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915" w:type="dxa"/>
        <w:tblInd w:w="-1168" w:type="dxa"/>
        <w:tblLook w:val="04A0"/>
      </w:tblPr>
      <w:tblGrid>
        <w:gridCol w:w="1560"/>
        <w:gridCol w:w="5103"/>
        <w:gridCol w:w="992"/>
        <w:gridCol w:w="3260"/>
      </w:tblGrid>
      <w:tr w:rsidR="002E5B3B" w:rsidRPr="00FF27E8" w:rsidTr="002E5B3B">
        <w:trPr>
          <w:trHeight w:val="360"/>
        </w:trPr>
        <w:tc>
          <w:tcPr>
            <w:tcW w:w="6663" w:type="dxa"/>
            <w:gridSpan w:val="2"/>
            <w:vMerge w:val="restart"/>
          </w:tcPr>
          <w:p w:rsidR="002E5B3B" w:rsidRPr="00FF27E8" w:rsidRDefault="002E5B3B" w:rsidP="0091287A">
            <w:pPr>
              <w:spacing w:beforeLines="100"/>
              <w:rPr>
                <w:rFonts w:ascii="Times New Roman" w:hAnsi="Times New Roman"/>
              </w:rPr>
            </w:pPr>
            <w:r w:rsidRPr="00FF27E8">
              <w:rPr>
                <w:rFonts w:ascii="Times New Roman" w:eastAsia="標楷體" w:hint="eastAsia"/>
                <w:sz w:val="32"/>
              </w:rPr>
              <w:t>台灣證券交易所</w:t>
            </w:r>
            <w:proofErr w:type="gramStart"/>
            <w:r w:rsidRPr="00FF27E8">
              <w:rPr>
                <w:rFonts w:ascii="Times New Roman" w:eastAsia="標楷體" w:hAnsi="Times New Roman" w:hint="eastAsia"/>
                <w:sz w:val="32"/>
              </w:rPr>
              <w:t>10</w:t>
            </w:r>
            <w:r w:rsidR="00BD417C">
              <w:rPr>
                <w:rFonts w:ascii="Times New Roman" w:eastAsia="標楷體" w:hAnsi="Times New Roman" w:hint="eastAsia"/>
                <w:sz w:val="32"/>
              </w:rPr>
              <w:t>2</w:t>
            </w:r>
            <w:proofErr w:type="gramEnd"/>
            <w:r w:rsidRPr="00FF27E8">
              <w:rPr>
                <w:rFonts w:ascii="Times New Roman" w:eastAsia="標楷體" w:hint="eastAsia"/>
                <w:sz w:val="32"/>
              </w:rPr>
              <w:t>年度研究報告提要表</w:t>
            </w:r>
          </w:p>
        </w:tc>
        <w:tc>
          <w:tcPr>
            <w:tcW w:w="4252" w:type="dxa"/>
            <w:gridSpan w:val="2"/>
          </w:tcPr>
          <w:p w:rsidR="002E5B3B" w:rsidRPr="00FF27E8" w:rsidRDefault="002E5B3B" w:rsidP="00445391">
            <w:pPr>
              <w:spacing w:line="440" w:lineRule="exact"/>
              <w:rPr>
                <w:rFonts w:ascii="Times New Roman" w:hAnsi="Times New Roman"/>
              </w:rPr>
            </w:pPr>
            <w:r w:rsidRPr="00FF27E8">
              <w:rPr>
                <w:rFonts w:ascii="Times New Roman" w:eastAsia="標楷體" w:hint="eastAsia"/>
                <w:sz w:val="32"/>
              </w:rPr>
              <w:t>填表人：許正誼</w:t>
            </w:r>
          </w:p>
        </w:tc>
      </w:tr>
      <w:tr w:rsidR="002E5B3B" w:rsidRPr="00FF27E8" w:rsidTr="002E5B3B">
        <w:trPr>
          <w:trHeight w:val="360"/>
        </w:trPr>
        <w:tc>
          <w:tcPr>
            <w:tcW w:w="6663" w:type="dxa"/>
            <w:gridSpan w:val="2"/>
            <w:vMerge/>
          </w:tcPr>
          <w:p w:rsidR="002E5B3B" w:rsidRPr="00FF27E8" w:rsidRDefault="002E5B3B">
            <w:pPr>
              <w:rPr>
                <w:rFonts w:ascii="Times New Roman" w:eastAsia="標楷體" w:hAnsi="Times New Roman"/>
                <w:sz w:val="32"/>
              </w:rPr>
            </w:pPr>
          </w:p>
        </w:tc>
        <w:tc>
          <w:tcPr>
            <w:tcW w:w="4252" w:type="dxa"/>
            <w:gridSpan w:val="2"/>
          </w:tcPr>
          <w:p w:rsidR="002E5B3B" w:rsidRPr="00FF27E8" w:rsidRDefault="002E5B3B" w:rsidP="00445391">
            <w:pPr>
              <w:spacing w:line="440" w:lineRule="exact"/>
              <w:rPr>
                <w:rFonts w:ascii="Times New Roman" w:eastAsia="標楷體" w:hAnsi="Times New Roman"/>
                <w:sz w:val="32"/>
              </w:rPr>
            </w:pPr>
            <w:r w:rsidRPr="00FF27E8">
              <w:rPr>
                <w:rFonts w:ascii="Times New Roman" w:eastAsia="標楷體" w:hint="eastAsia"/>
                <w:sz w:val="32"/>
              </w:rPr>
              <w:t>填表日期：</w:t>
            </w:r>
            <w:r w:rsidRPr="00FF27E8">
              <w:rPr>
                <w:rFonts w:ascii="Times New Roman" w:eastAsia="標楷體" w:hAnsi="Times New Roman" w:hint="eastAsia"/>
                <w:sz w:val="32"/>
              </w:rPr>
              <w:t>10</w:t>
            </w:r>
            <w:r w:rsidR="00BD417C">
              <w:rPr>
                <w:rFonts w:ascii="Times New Roman" w:eastAsia="標楷體" w:hAnsi="Times New Roman" w:hint="eastAsia"/>
                <w:sz w:val="32"/>
              </w:rPr>
              <w:t>2</w:t>
            </w:r>
            <w:r w:rsidRPr="00FF27E8">
              <w:rPr>
                <w:rFonts w:ascii="Times New Roman" w:eastAsia="標楷體" w:hint="eastAsia"/>
                <w:sz w:val="32"/>
              </w:rPr>
              <w:t>年</w:t>
            </w:r>
            <w:r w:rsidRPr="00FF27E8">
              <w:rPr>
                <w:rFonts w:ascii="Times New Roman" w:eastAsia="標楷體" w:hAnsi="Times New Roman" w:hint="eastAsia"/>
                <w:sz w:val="32"/>
              </w:rPr>
              <w:t>12</w:t>
            </w:r>
            <w:r w:rsidRPr="00FF27E8">
              <w:rPr>
                <w:rFonts w:ascii="Times New Roman" w:eastAsia="標楷體" w:hint="eastAsia"/>
                <w:sz w:val="32"/>
              </w:rPr>
              <w:t>月</w:t>
            </w:r>
            <w:r w:rsidRPr="00FF27E8">
              <w:rPr>
                <w:rFonts w:ascii="Times New Roman" w:eastAsia="標楷體" w:hAnsi="Times New Roman" w:hint="eastAsia"/>
                <w:sz w:val="32"/>
              </w:rPr>
              <w:t>23</w:t>
            </w:r>
            <w:r w:rsidRPr="00FF27E8">
              <w:rPr>
                <w:rFonts w:ascii="Times New Roman" w:eastAsia="標楷體" w:hint="eastAsia"/>
                <w:sz w:val="32"/>
              </w:rPr>
              <w:t>日</w:t>
            </w:r>
          </w:p>
        </w:tc>
      </w:tr>
      <w:tr w:rsidR="002E5B3B" w:rsidRPr="00FF27E8" w:rsidTr="002E5B3B">
        <w:tc>
          <w:tcPr>
            <w:tcW w:w="1560" w:type="dxa"/>
          </w:tcPr>
          <w:p w:rsidR="002E5B3B" w:rsidRPr="00FF27E8" w:rsidRDefault="002E5B3B" w:rsidP="0091287A">
            <w:pPr>
              <w:spacing w:beforeLines="50"/>
              <w:jc w:val="distribute"/>
              <w:rPr>
                <w:rFonts w:ascii="Times New Roman" w:hAnsi="Times New Roman"/>
              </w:rPr>
            </w:pPr>
            <w:r w:rsidRPr="00FF27E8">
              <w:rPr>
                <w:rFonts w:ascii="Times New Roman" w:eastAsia="標楷體" w:hint="eastAsia"/>
                <w:sz w:val="32"/>
              </w:rPr>
              <w:t>研究項目</w:t>
            </w:r>
          </w:p>
        </w:tc>
        <w:tc>
          <w:tcPr>
            <w:tcW w:w="9355" w:type="dxa"/>
            <w:gridSpan w:val="3"/>
          </w:tcPr>
          <w:p w:rsidR="002E5B3B" w:rsidRPr="00FF27E8" w:rsidRDefault="0094306D" w:rsidP="0091287A">
            <w:pPr>
              <w:spacing w:beforeLines="50" w:line="440" w:lineRule="exact"/>
              <w:rPr>
                <w:rFonts w:ascii="Times New Roman" w:hAnsi="Times New Roman"/>
              </w:rPr>
            </w:pPr>
            <w:r w:rsidRPr="009F3186">
              <w:rPr>
                <w:rFonts w:ascii="標楷體" w:eastAsia="標楷體" w:cs="標楷體" w:hint="eastAsia"/>
                <w:kern w:val="0"/>
                <w:sz w:val="32"/>
                <w:szCs w:val="32"/>
                <w:lang w:val="zh-TW"/>
              </w:rPr>
              <w:t>台灣證券市場</w:t>
            </w:r>
            <w:proofErr w:type="gramStart"/>
            <w:r w:rsidRPr="009F3186">
              <w:rPr>
                <w:rFonts w:ascii="標楷體" w:eastAsia="標楷體" w:cs="標楷體" w:hint="eastAsia"/>
                <w:kern w:val="0"/>
                <w:sz w:val="32"/>
                <w:szCs w:val="32"/>
                <w:lang w:val="zh-TW"/>
              </w:rPr>
              <w:t>券</w:t>
            </w:r>
            <w:proofErr w:type="gramEnd"/>
            <w:r w:rsidRPr="009F3186">
              <w:rPr>
                <w:rFonts w:ascii="標楷體" w:eastAsia="標楷體" w:cs="標楷體" w:hint="eastAsia"/>
                <w:kern w:val="0"/>
                <w:sz w:val="32"/>
                <w:szCs w:val="32"/>
                <w:lang w:val="zh-TW"/>
              </w:rPr>
              <w:t>項交割落實兩段式作業之可行性研究</w:t>
            </w:r>
          </w:p>
        </w:tc>
      </w:tr>
      <w:tr w:rsidR="002E5B3B" w:rsidRPr="00FF27E8" w:rsidTr="002E5B3B">
        <w:trPr>
          <w:trHeight w:val="874"/>
        </w:trPr>
        <w:tc>
          <w:tcPr>
            <w:tcW w:w="1560" w:type="dxa"/>
          </w:tcPr>
          <w:p w:rsidR="002E5B3B" w:rsidRPr="00FF27E8" w:rsidRDefault="002E5B3B" w:rsidP="002E5B3B">
            <w:pPr>
              <w:spacing w:line="440" w:lineRule="exact"/>
              <w:rPr>
                <w:rFonts w:ascii="Times New Roman" w:hAnsi="Times New Roman"/>
              </w:rPr>
            </w:pPr>
            <w:r w:rsidRPr="00FF27E8">
              <w:rPr>
                <w:rFonts w:ascii="Times New Roman" w:eastAsia="標楷體" w:hint="eastAsia"/>
                <w:sz w:val="32"/>
              </w:rPr>
              <w:t>研究單位及人員</w:t>
            </w:r>
          </w:p>
        </w:tc>
        <w:tc>
          <w:tcPr>
            <w:tcW w:w="5103" w:type="dxa"/>
          </w:tcPr>
          <w:p w:rsidR="002E5B3B" w:rsidRPr="00FF27E8" w:rsidRDefault="002E5B3B" w:rsidP="0091287A">
            <w:pPr>
              <w:spacing w:beforeLines="30"/>
              <w:rPr>
                <w:rFonts w:ascii="Times New Roman" w:hAnsi="Times New Roman"/>
              </w:rPr>
            </w:pPr>
            <w:r w:rsidRPr="00FF27E8">
              <w:rPr>
                <w:rFonts w:ascii="Times New Roman" w:eastAsia="標楷體" w:hint="eastAsia"/>
                <w:sz w:val="32"/>
              </w:rPr>
              <w:t>結算部　　許正誼</w:t>
            </w:r>
          </w:p>
        </w:tc>
        <w:tc>
          <w:tcPr>
            <w:tcW w:w="992" w:type="dxa"/>
          </w:tcPr>
          <w:p w:rsidR="002E5B3B" w:rsidRPr="00FF27E8" w:rsidRDefault="002E5B3B" w:rsidP="00445391">
            <w:pPr>
              <w:spacing w:line="440" w:lineRule="exact"/>
              <w:rPr>
                <w:rFonts w:ascii="Times New Roman" w:hAnsi="Times New Roman"/>
              </w:rPr>
            </w:pPr>
            <w:r w:rsidRPr="00FF27E8">
              <w:rPr>
                <w:rFonts w:ascii="Times New Roman" w:eastAsia="標楷體" w:hint="eastAsia"/>
                <w:sz w:val="32"/>
              </w:rPr>
              <w:t>研究時間</w:t>
            </w:r>
          </w:p>
        </w:tc>
        <w:tc>
          <w:tcPr>
            <w:tcW w:w="3260" w:type="dxa"/>
          </w:tcPr>
          <w:p w:rsidR="002E5B3B" w:rsidRPr="00FF27E8" w:rsidRDefault="002E5B3B" w:rsidP="00445391">
            <w:pPr>
              <w:spacing w:line="440" w:lineRule="exact"/>
              <w:rPr>
                <w:rFonts w:ascii="Times New Roman" w:eastAsia="標楷體" w:hAnsi="Times New Roman"/>
                <w:sz w:val="32"/>
              </w:rPr>
            </w:pPr>
            <w:r w:rsidRPr="00FF27E8">
              <w:rPr>
                <w:rFonts w:ascii="Times New Roman" w:eastAsia="標楷體" w:hint="eastAsia"/>
                <w:sz w:val="32"/>
              </w:rPr>
              <w:t>自</w:t>
            </w:r>
            <w:r w:rsidRPr="00FF27E8">
              <w:rPr>
                <w:rFonts w:ascii="Times New Roman" w:eastAsia="標楷體" w:hAnsi="Times New Roman" w:hint="eastAsia"/>
                <w:sz w:val="32"/>
              </w:rPr>
              <w:t>10</w:t>
            </w:r>
            <w:r w:rsidR="0094306D">
              <w:rPr>
                <w:rFonts w:ascii="Times New Roman" w:eastAsia="標楷體" w:hAnsi="Times New Roman" w:hint="eastAsia"/>
                <w:sz w:val="32"/>
              </w:rPr>
              <w:t>2</w:t>
            </w:r>
            <w:r w:rsidRPr="00FF27E8">
              <w:rPr>
                <w:rFonts w:ascii="Times New Roman" w:eastAsia="標楷體" w:hint="eastAsia"/>
                <w:sz w:val="32"/>
              </w:rPr>
              <w:t>年</w:t>
            </w:r>
            <w:r w:rsidRPr="00FF27E8">
              <w:rPr>
                <w:rFonts w:ascii="Times New Roman" w:eastAsia="標楷體" w:hAnsi="Times New Roman" w:hint="eastAsia"/>
                <w:sz w:val="32"/>
              </w:rPr>
              <w:t xml:space="preserve">  1</w:t>
            </w:r>
            <w:r w:rsidRPr="00FF27E8">
              <w:rPr>
                <w:rFonts w:ascii="Times New Roman" w:eastAsia="標楷體" w:hint="eastAsia"/>
                <w:sz w:val="32"/>
              </w:rPr>
              <w:t>月</w:t>
            </w:r>
            <w:r w:rsidRPr="00FF27E8">
              <w:rPr>
                <w:rFonts w:ascii="Times New Roman" w:eastAsia="標楷體" w:hAnsi="Times New Roman" w:hint="eastAsia"/>
                <w:sz w:val="32"/>
              </w:rPr>
              <w:t xml:space="preserve">  1</w:t>
            </w:r>
            <w:r w:rsidRPr="00FF27E8">
              <w:rPr>
                <w:rFonts w:ascii="Times New Roman" w:eastAsia="標楷體" w:hint="eastAsia"/>
                <w:sz w:val="32"/>
              </w:rPr>
              <w:t>日</w:t>
            </w:r>
          </w:p>
          <w:p w:rsidR="002E5B3B" w:rsidRPr="00FF27E8" w:rsidRDefault="002E5B3B" w:rsidP="00445391">
            <w:pPr>
              <w:spacing w:line="440" w:lineRule="exact"/>
              <w:rPr>
                <w:rFonts w:ascii="Times New Roman" w:hAnsi="Times New Roman"/>
              </w:rPr>
            </w:pPr>
            <w:r w:rsidRPr="00FF27E8">
              <w:rPr>
                <w:rFonts w:ascii="Times New Roman" w:eastAsia="標楷體" w:hint="eastAsia"/>
                <w:sz w:val="32"/>
              </w:rPr>
              <w:t>至</w:t>
            </w:r>
            <w:r w:rsidRPr="00FF27E8">
              <w:rPr>
                <w:rFonts w:ascii="Times New Roman" w:eastAsia="標楷體" w:hAnsi="Times New Roman" w:hint="eastAsia"/>
                <w:sz w:val="32"/>
              </w:rPr>
              <w:t>10</w:t>
            </w:r>
            <w:r w:rsidR="0094306D">
              <w:rPr>
                <w:rFonts w:ascii="Times New Roman" w:eastAsia="標楷體" w:hAnsi="Times New Roman" w:hint="eastAsia"/>
                <w:sz w:val="32"/>
              </w:rPr>
              <w:t>2</w:t>
            </w:r>
            <w:r w:rsidRPr="00FF27E8">
              <w:rPr>
                <w:rFonts w:ascii="Times New Roman" w:eastAsia="標楷體" w:hint="eastAsia"/>
                <w:sz w:val="32"/>
              </w:rPr>
              <w:t>年</w:t>
            </w:r>
            <w:r w:rsidRPr="00FF27E8">
              <w:rPr>
                <w:rFonts w:ascii="Times New Roman" w:eastAsia="標楷體" w:hAnsi="Times New Roman" w:hint="eastAsia"/>
                <w:sz w:val="32"/>
              </w:rPr>
              <w:t xml:space="preserve"> 12</w:t>
            </w:r>
            <w:r w:rsidRPr="00FF27E8">
              <w:rPr>
                <w:rFonts w:ascii="Times New Roman" w:eastAsia="標楷體" w:hint="eastAsia"/>
                <w:sz w:val="32"/>
              </w:rPr>
              <w:t>月</w:t>
            </w:r>
            <w:r w:rsidRPr="00FF27E8">
              <w:rPr>
                <w:rFonts w:ascii="Times New Roman" w:eastAsia="標楷體" w:hAnsi="Times New Roman" w:hint="eastAsia"/>
                <w:sz w:val="32"/>
              </w:rPr>
              <w:t xml:space="preserve"> 13</w:t>
            </w:r>
            <w:r w:rsidRPr="00FF27E8">
              <w:rPr>
                <w:rFonts w:ascii="Times New Roman" w:eastAsia="標楷體" w:hint="eastAsia"/>
                <w:sz w:val="32"/>
              </w:rPr>
              <w:t>日</w:t>
            </w:r>
          </w:p>
        </w:tc>
      </w:tr>
      <w:tr w:rsidR="002E5B3B" w:rsidRPr="00FF27E8" w:rsidTr="002E5B3B">
        <w:tc>
          <w:tcPr>
            <w:tcW w:w="10915" w:type="dxa"/>
            <w:gridSpan w:val="4"/>
          </w:tcPr>
          <w:p w:rsidR="002E5B3B" w:rsidRPr="00FF27E8" w:rsidRDefault="002E5B3B" w:rsidP="00445391">
            <w:pPr>
              <w:spacing w:line="440" w:lineRule="exact"/>
              <w:jc w:val="center"/>
              <w:rPr>
                <w:rFonts w:ascii="Times New Roman" w:hAnsi="Times New Roman"/>
              </w:rPr>
            </w:pPr>
            <w:r w:rsidRPr="00FF27E8">
              <w:rPr>
                <w:rFonts w:ascii="Times New Roman" w:eastAsia="標楷體" w:hint="eastAsia"/>
                <w:sz w:val="32"/>
              </w:rPr>
              <w:t>報　　　　　告　　　　　內　　　　　容　　　　　提　　　　　要</w:t>
            </w:r>
          </w:p>
        </w:tc>
      </w:tr>
      <w:tr w:rsidR="002E5B3B" w:rsidRPr="00FF27E8" w:rsidTr="002E5B3B">
        <w:tc>
          <w:tcPr>
            <w:tcW w:w="10915" w:type="dxa"/>
            <w:gridSpan w:val="4"/>
          </w:tcPr>
          <w:p w:rsidR="002E5B3B" w:rsidRPr="0091287A" w:rsidRDefault="002E5B3B" w:rsidP="0091287A">
            <w:pPr>
              <w:pStyle w:val="af"/>
              <w:numPr>
                <w:ilvl w:val="0"/>
                <w:numId w:val="6"/>
              </w:numPr>
              <w:spacing w:line="420" w:lineRule="exact"/>
              <w:ind w:leftChars="0"/>
              <w:jc w:val="both"/>
              <w:rPr>
                <w:rFonts w:ascii="Times New Roman" w:eastAsia="標楷體" w:hAnsi="Times New Roman"/>
                <w:b/>
                <w:sz w:val="28"/>
                <w:szCs w:val="28"/>
              </w:rPr>
            </w:pPr>
            <w:r w:rsidRPr="0091287A">
              <w:rPr>
                <w:rFonts w:ascii="Times New Roman" w:eastAsia="標楷體" w:hint="eastAsia"/>
                <w:b/>
                <w:sz w:val="28"/>
                <w:szCs w:val="28"/>
              </w:rPr>
              <w:t>研究內容重點：</w:t>
            </w:r>
          </w:p>
          <w:p w:rsidR="006D61A5" w:rsidRPr="00BC2F58" w:rsidRDefault="00596AD2" w:rsidP="00445391">
            <w:pPr>
              <w:pStyle w:val="a4"/>
              <w:spacing w:line="420" w:lineRule="exact"/>
              <w:ind w:firstLineChars="0" w:firstLine="0"/>
              <w:rPr>
                <w:rFonts w:ascii="Times New Roman"/>
                <w:sz w:val="28"/>
                <w:szCs w:val="28"/>
              </w:rPr>
            </w:pPr>
            <w:r>
              <w:rPr>
                <w:rFonts w:ascii="Times New Roman" w:hint="eastAsia"/>
                <w:b/>
                <w:sz w:val="28"/>
                <w:szCs w:val="28"/>
                <w:u w:val="single"/>
              </w:rPr>
              <w:t>第一</w:t>
            </w:r>
            <w:r w:rsidR="006D61A5" w:rsidRPr="006D61A5">
              <w:rPr>
                <w:rFonts w:ascii="Times New Roman" w:hint="eastAsia"/>
                <w:b/>
                <w:sz w:val="28"/>
                <w:szCs w:val="28"/>
                <w:u w:val="single"/>
              </w:rPr>
              <w:t>章</w:t>
            </w:r>
            <w:r w:rsidR="006D61A5">
              <w:rPr>
                <w:rFonts w:ascii="Times New Roman" w:hint="eastAsia"/>
                <w:sz w:val="28"/>
                <w:szCs w:val="28"/>
              </w:rPr>
              <w:t>：</w:t>
            </w:r>
            <w:r w:rsidR="00BC2F58">
              <w:rPr>
                <w:rFonts w:ascii="Times New Roman" w:hint="eastAsia"/>
                <w:sz w:val="28"/>
                <w:szCs w:val="28"/>
              </w:rPr>
              <w:t>緒論中闡述本研究之背景與目的，</w:t>
            </w:r>
            <w:r w:rsidR="009F3E7B">
              <w:rPr>
                <w:rFonts w:ascii="Times New Roman" w:hint="eastAsia"/>
                <w:sz w:val="28"/>
                <w:szCs w:val="28"/>
              </w:rPr>
              <w:t>主要是希望經由對</w:t>
            </w:r>
            <w:r w:rsidR="0091287A">
              <w:rPr>
                <w:rFonts w:hint="eastAsia"/>
                <w:sz w:val="28"/>
                <w:szCs w:val="28"/>
              </w:rPr>
              <w:t>我國集</w:t>
            </w:r>
            <w:r w:rsidR="00CF7886">
              <w:rPr>
                <w:rFonts w:hint="eastAsia"/>
                <w:sz w:val="28"/>
                <w:szCs w:val="28"/>
              </w:rPr>
              <w:t>保</w:t>
            </w:r>
            <w:r w:rsidR="0091287A">
              <w:rPr>
                <w:rFonts w:hint="eastAsia"/>
                <w:sz w:val="28"/>
                <w:szCs w:val="28"/>
              </w:rPr>
              <w:t>公司</w:t>
            </w:r>
            <w:r w:rsidR="00CF7886">
              <w:rPr>
                <w:rFonts w:hint="eastAsia"/>
                <w:sz w:val="28"/>
                <w:szCs w:val="28"/>
              </w:rPr>
              <w:t>一段式撥</w:t>
            </w:r>
            <w:proofErr w:type="gramStart"/>
            <w:r w:rsidR="00CF7886">
              <w:rPr>
                <w:rFonts w:hint="eastAsia"/>
                <w:sz w:val="28"/>
                <w:szCs w:val="28"/>
              </w:rPr>
              <w:t>券</w:t>
            </w:r>
            <w:proofErr w:type="gramEnd"/>
            <w:r w:rsidR="00CF7886">
              <w:rPr>
                <w:rFonts w:hint="eastAsia"/>
                <w:sz w:val="28"/>
                <w:szCs w:val="28"/>
              </w:rPr>
              <w:t>作業的說明</w:t>
            </w:r>
            <w:r w:rsidR="00CF7886">
              <w:rPr>
                <w:rFonts w:ascii="Times New Roman" w:hint="eastAsia"/>
                <w:sz w:val="28"/>
                <w:szCs w:val="28"/>
              </w:rPr>
              <w:t>，以及對</w:t>
            </w:r>
            <w:r w:rsidR="002E5B3B" w:rsidRPr="00FF27E8">
              <w:rPr>
                <w:rFonts w:ascii="Times New Roman" w:hint="eastAsia"/>
                <w:sz w:val="28"/>
                <w:szCs w:val="28"/>
              </w:rPr>
              <w:t>各國集中結算機構</w:t>
            </w:r>
            <w:r w:rsidR="002E5B3B" w:rsidRPr="00FF27E8">
              <w:rPr>
                <w:rFonts w:ascii="Times New Roman" w:hAnsi="Times New Roman" w:hint="eastAsia"/>
                <w:sz w:val="28"/>
                <w:szCs w:val="28"/>
              </w:rPr>
              <w:t>(CCP)</w:t>
            </w:r>
            <w:r w:rsidR="00BC2F58">
              <w:rPr>
                <w:rFonts w:hint="eastAsia"/>
                <w:sz w:val="28"/>
                <w:szCs w:val="28"/>
              </w:rPr>
              <w:t>與</w:t>
            </w:r>
            <w:r w:rsidR="00FC447B" w:rsidRPr="00594360">
              <w:rPr>
                <w:rFonts w:hint="eastAsia"/>
                <w:sz w:val="28"/>
                <w:szCs w:val="28"/>
              </w:rPr>
              <w:t>集中保管機構</w:t>
            </w:r>
            <w:r w:rsidR="00FC447B" w:rsidRPr="00594360">
              <w:rPr>
                <w:rFonts w:ascii="Times New Roman" w:hAnsi="Times New Roman"/>
                <w:sz w:val="28"/>
                <w:szCs w:val="28"/>
              </w:rPr>
              <w:t>(CSD)</w:t>
            </w:r>
            <w:r w:rsidR="00BC2F58">
              <w:rPr>
                <w:rFonts w:hint="eastAsia"/>
                <w:sz w:val="28"/>
                <w:szCs w:val="28"/>
              </w:rPr>
              <w:t>的證</w:t>
            </w:r>
            <w:r w:rsidR="00FC447B" w:rsidRPr="00594360">
              <w:rPr>
                <w:rFonts w:hint="eastAsia"/>
                <w:sz w:val="28"/>
                <w:szCs w:val="28"/>
              </w:rPr>
              <w:t>券交割制度</w:t>
            </w:r>
            <w:r w:rsidR="00BC2F58">
              <w:rPr>
                <w:rFonts w:hint="eastAsia"/>
                <w:sz w:val="28"/>
                <w:szCs w:val="28"/>
              </w:rPr>
              <w:t>與</w:t>
            </w:r>
            <w:r w:rsidR="00BC2F58" w:rsidRPr="00594360">
              <w:rPr>
                <w:rFonts w:hint="eastAsia"/>
                <w:sz w:val="28"/>
                <w:szCs w:val="28"/>
              </w:rPr>
              <w:t>系</w:t>
            </w:r>
            <w:r w:rsidR="00BC2F58" w:rsidRPr="00BC2F58">
              <w:rPr>
                <w:rFonts w:hint="eastAsia"/>
                <w:sz w:val="28"/>
                <w:szCs w:val="28"/>
              </w:rPr>
              <w:t>統作業</w:t>
            </w:r>
            <w:r w:rsidR="00CF7886">
              <w:rPr>
                <w:rFonts w:hint="eastAsia"/>
                <w:sz w:val="28"/>
                <w:szCs w:val="28"/>
              </w:rPr>
              <w:t>的研究</w:t>
            </w:r>
            <w:r w:rsidR="00701AF4" w:rsidRPr="00BC2F58">
              <w:rPr>
                <w:rFonts w:hint="eastAsia"/>
                <w:sz w:val="28"/>
                <w:szCs w:val="28"/>
              </w:rPr>
              <w:t>，</w:t>
            </w:r>
            <w:r w:rsidR="009F3E7B">
              <w:rPr>
                <w:rFonts w:hint="eastAsia"/>
                <w:sz w:val="28"/>
                <w:szCs w:val="28"/>
              </w:rPr>
              <w:t>探討現行作業的優缺點及對於前台的影響，以及調整為兩段式作業的可行性。</w:t>
            </w:r>
          </w:p>
          <w:p w:rsidR="006D61A5" w:rsidRDefault="00596AD2" w:rsidP="00445391">
            <w:pPr>
              <w:pStyle w:val="a4"/>
              <w:spacing w:line="420" w:lineRule="exact"/>
              <w:ind w:firstLineChars="0" w:firstLine="0"/>
              <w:rPr>
                <w:rStyle w:val="gray121"/>
                <w:rFonts w:ascii="Times New Roman"/>
                <w:color w:val="000000"/>
                <w:sz w:val="28"/>
                <w:szCs w:val="28"/>
              </w:rPr>
            </w:pPr>
            <w:r>
              <w:rPr>
                <w:rFonts w:ascii="Times New Roman" w:hint="eastAsia"/>
                <w:b/>
                <w:sz w:val="28"/>
                <w:szCs w:val="28"/>
                <w:u w:val="single"/>
              </w:rPr>
              <w:t>第二</w:t>
            </w:r>
            <w:r w:rsidR="002E5B3B" w:rsidRPr="006D61A5">
              <w:rPr>
                <w:rFonts w:ascii="Times New Roman" w:hint="eastAsia"/>
                <w:b/>
                <w:sz w:val="28"/>
                <w:szCs w:val="28"/>
                <w:u w:val="single"/>
              </w:rPr>
              <w:t>章</w:t>
            </w:r>
            <w:r w:rsidR="0091287A" w:rsidRPr="0091287A">
              <w:rPr>
                <w:rFonts w:ascii="Times New Roman" w:hint="eastAsia"/>
                <w:b/>
                <w:sz w:val="28"/>
                <w:szCs w:val="28"/>
              </w:rPr>
              <w:t>：</w:t>
            </w:r>
            <w:r w:rsidR="002E5B3B" w:rsidRPr="00FF27E8">
              <w:rPr>
                <w:rFonts w:ascii="Times New Roman" w:hint="eastAsia"/>
                <w:sz w:val="28"/>
                <w:szCs w:val="28"/>
              </w:rPr>
              <w:t>探討</w:t>
            </w:r>
            <w:r w:rsidR="00A75B60">
              <w:rPr>
                <w:rFonts w:hint="eastAsia"/>
                <w:color w:val="000000" w:themeColor="text1"/>
                <w:sz w:val="28"/>
                <w:szCs w:val="28"/>
              </w:rPr>
              <w:t>兩段式交割制度之基礎</w:t>
            </w:r>
            <w:r w:rsidR="00EB43CA">
              <w:rPr>
                <w:rFonts w:hint="eastAsia"/>
                <w:color w:val="000000" w:themeColor="text1"/>
                <w:sz w:val="28"/>
                <w:szCs w:val="28"/>
              </w:rPr>
              <w:t>，</w:t>
            </w:r>
            <w:r w:rsidR="009F3E7B">
              <w:rPr>
                <w:rFonts w:hint="eastAsia"/>
                <w:color w:val="000000" w:themeColor="text1"/>
                <w:sz w:val="28"/>
                <w:szCs w:val="28"/>
              </w:rPr>
              <w:t>對於</w:t>
            </w:r>
            <w:r w:rsidR="00EB43CA">
              <w:rPr>
                <w:rFonts w:hint="eastAsia"/>
                <w:color w:val="000000" w:themeColor="text1"/>
                <w:sz w:val="28"/>
                <w:szCs w:val="28"/>
              </w:rPr>
              <w:t>兩段式法律架構與兩段式</w:t>
            </w:r>
            <w:r w:rsidR="00A75B60">
              <w:rPr>
                <w:rFonts w:hint="eastAsia"/>
                <w:color w:val="000000" w:themeColor="text1"/>
                <w:sz w:val="28"/>
                <w:szCs w:val="28"/>
              </w:rPr>
              <w:t>系統</w:t>
            </w:r>
            <w:r w:rsidR="00EB43CA">
              <w:rPr>
                <w:rFonts w:hint="eastAsia"/>
                <w:color w:val="000000" w:themeColor="text1"/>
                <w:sz w:val="28"/>
                <w:szCs w:val="28"/>
              </w:rPr>
              <w:t>作業</w:t>
            </w:r>
            <w:r w:rsidR="009F3E7B">
              <w:rPr>
                <w:rFonts w:hint="eastAsia"/>
                <w:color w:val="000000" w:themeColor="text1"/>
                <w:sz w:val="28"/>
                <w:szCs w:val="28"/>
              </w:rPr>
              <w:t>加以說明</w:t>
            </w:r>
            <w:r w:rsidR="00A75B60">
              <w:rPr>
                <w:rStyle w:val="gray121"/>
                <w:rFonts w:ascii="Times New Roman" w:hint="eastAsia"/>
                <w:color w:val="000000"/>
                <w:sz w:val="28"/>
                <w:szCs w:val="28"/>
              </w:rPr>
              <w:t>，</w:t>
            </w:r>
            <w:r w:rsidR="00A75B60" w:rsidRPr="00873270">
              <w:rPr>
                <w:rFonts w:ascii="Times New Roman" w:hAnsi="Arial" w:cs="Arial" w:hint="eastAsia"/>
                <w:kern w:val="0"/>
                <w:sz w:val="28"/>
                <w:szCs w:val="28"/>
              </w:rPr>
              <w:t>即</w:t>
            </w:r>
            <w:r w:rsidR="00A75B60">
              <w:rPr>
                <w:rFonts w:ascii="Times New Roman" w:hAnsi="Arial" w:cs="Arial" w:hint="eastAsia"/>
                <w:kern w:val="0"/>
                <w:sz w:val="28"/>
                <w:szCs w:val="28"/>
              </w:rPr>
              <w:t>集中</w:t>
            </w:r>
            <w:r w:rsidR="00A75B60" w:rsidRPr="00873270">
              <w:rPr>
                <w:rFonts w:ascii="Times New Roman" w:hAnsi="Arial" w:cs="Arial" w:hint="eastAsia"/>
                <w:kern w:val="0"/>
                <w:sz w:val="28"/>
                <w:szCs w:val="28"/>
              </w:rPr>
              <w:t>結算機構與證券</w:t>
            </w:r>
            <w:r w:rsidR="00A75B60">
              <w:rPr>
                <w:rFonts w:ascii="Times New Roman" w:hAnsi="Arial" w:cs="Arial" w:hint="eastAsia"/>
                <w:kern w:val="0"/>
                <w:sz w:val="28"/>
                <w:szCs w:val="28"/>
              </w:rPr>
              <w:t>商</w:t>
            </w:r>
            <w:r w:rsidR="00A75B60" w:rsidRPr="00873270">
              <w:rPr>
                <w:rFonts w:ascii="Times New Roman" w:hAnsi="Arial" w:cs="Arial" w:hint="eastAsia"/>
                <w:kern w:val="0"/>
                <w:sz w:val="28"/>
                <w:szCs w:val="28"/>
              </w:rPr>
              <w:t>等結算</w:t>
            </w:r>
            <w:r w:rsidR="00A75B60">
              <w:rPr>
                <w:rFonts w:ascii="Times New Roman" w:hAnsi="Arial" w:cs="Arial" w:hint="eastAsia"/>
                <w:kern w:val="0"/>
                <w:sz w:val="28"/>
                <w:szCs w:val="28"/>
              </w:rPr>
              <w:t>會員進行款項和證券的第一段交割</w:t>
            </w:r>
            <w:r w:rsidR="009F3E7B">
              <w:rPr>
                <w:rFonts w:ascii="Times New Roman" w:hAnsi="Arial" w:cs="Arial" w:hint="eastAsia"/>
                <w:kern w:val="0"/>
                <w:sz w:val="28"/>
                <w:szCs w:val="28"/>
              </w:rPr>
              <w:t>，</w:t>
            </w:r>
            <w:r w:rsidR="00B810E8">
              <w:rPr>
                <w:rFonts w:ascii="Times New Roman" w:hAnsi="Arial" w:cs="Arial" w:hint="eastAsia"/>
                <w:kern w:val="0"/>
                <w:sz w:val="28"/>
                <w:szCs w:val="28"/>
              </w:rPr>
              <w:t>證券商再與其客戶（</w:t>
            </w:r>
            <w:r w:rsidR="00A75B60">
              <w:rPr>
                <w:rFonts w:ascii="Times New Roman" w:hAnsi="Arial" w:cs="Arial" w:hint="eastAsia"/>
                <w:kern w:val="0"/>
                <w:sz w:val="28"/>
                <w:szCs w:val="28"/>
              </w:rPr>
              <w:t>投資人）</w:t>
            </w:r>
            <w:r w:rsidR="00A75B60" w:rsidRPr="00873270">
              <w:rPr>
                <w:rFonts w:ascii="Times New Roman" w:hAnsi="Arial" w:cs="Arial" w:hint="eastAsia"/>
                <w:kern w:val="0"/>
                <w:sz w:val="28"/>
                <w:szCs w:val="28"/>
              </w:rPr>
              <w:t>進行</w:t>
            </w:r>
            <w:r w:rsidR="00A75B60">
              <w:rPr>
                <w:rFonts w:ascii="Times New Roman" w:hAnsi="Arial" w:cs="Arial" w:hint="eastAsia"/>
                <w:kern w:val="0"/>
                <w:sz w:val="28"/>
                <w:szCs w:val="28"/>
              </w:rPr>
              <w:t>第二段交割。</w:t>
            </w:r>
            <w:r w:rsidR="00B810E8">
              <w:rPr>
                <w:rFonts w:ascii="Times New Roman" w:hAnsi="Arial" w:cs="Arial" w:hint="eastAsia"/>
                <w:kern w:val="0"/>
                <w:sz w:val="28"/>
                <w:szCs w:val="28"/>
              </w:rPr>
              <w:t>通常當</w:t>
            </w:r>
            <w:r w:rsidR="00A75B60">
              <w:rPr>
                <w:rFonts w:ascii="Times New Roman" w:hAnsi="Arial" w:cs="Arial" w:hint="eastAsia"/>
                <w:kern w:val="0"/>
                <w:sz w:val="28"/>
                <w:szCs w:val="28"/>
              </w:rPr>
              <w:t>證券市場發展</w:t>
            </w:r>
            <w:r w:rsidR="00B810E8">
              <w:rPr>
                <w:rFonts w:ascii="Times New Roman" w:hAnsi="Arial" w:cs="Arial" w:hint="eastAsia"/>
                <w:kern w:val="0"/>
                <w:sz w:val="28"/>
                <w:szCs w:val="28"/>
              </w:rPr>
              <w:t>，及</w:t>
            </w:r>
            <w:r w:rsidR="00B810E8" w:rsidRPr="00594360">
              <w:rPr>
                <w:rFonts w:ascii="Times New Roman" w:hAnsi="Arial" w:cs="Arial" w:hint="eastAsia"/>
                <w:kern w:val="0"/>
                <w:sz w:val="28"/>
                <w:szCs w:val="28"/>
              </w:rPr>
              <w:t>結算會員的營運模式、自律性趨向成熟時，</w:t>
            </w:r>
            <w:r w:rsidR="00B810E8">
              <w:rPr>
                <w:rFonts w:ascii="Times New Roman" w:hAnsi="Arial" w:cs="Arial" w:hint="eastAsia"/>
                <w:kern w:val="0"/>
                <w:sz w:val="28"/>
                <w:szCs w:val="28"/>
              </w:rPr>
              <w:t>市場</w:t>
            </w:r>
            <w:r w:rsidR="00A75B60">
              <w:rPr>
                <w:rFonts w:ascii="Times New Roman" w:hAnsi="Arial" w:cs="Arial" w:hint="eastAsia"/>
                <w:kern w:val="0"/>
                <w:sz w:val="28"/>
                <w:szCs w:val="28"/>
              </w:rPr>
              <w:t>會朝向實施</w:t>
            </w:r>
            <w:r w:rsidR="00A75B60">
              <w:rPr>
                <w:rFonts w:ascii="Times New Roman" w:hAnsi="Times New Roman" w:cs="Arial" w:hint="eastAsia"/>
                <w:kern w:val="0"/>
                <w:sz w:val="28"/>
                <w:szCs w:val="28"/>
              </w:rPr>
              <w:t>「</w:t>
            </w:r>
            <w:r w:rsidR="00A75B60">
              <w:rPr>
                <w:rFonts w:ascii="Times New Roman" w:hAnsi="Arial" w:cs="Arial" w:hint="eastAsia"/>
                <w:kern w:val="0"/>
                <w:sz w:val="28"/>
                <w:szCs w:val="28"/>
              </w:rPr>
              <w:t>兩段式交割</w:t>
            </w:r>
            <w:r w:rsidR="00A75B60">
              <w:rPr>
                <w:rFonts w:ascii="Times New Roman" w:hAnsi="Times New Roman" w:cs="Arial" w:hint="eastAsia"/>
                <w:kern w:val="0"/>
                <w:sz w:val="28"/>
                <w:szCs w:val="28"/>
              </w:rPr>
              <w:t>」</w:t>
            </w:r>
            <w:r w:rsidR="00A75B60">
              <w:rPr>
                <w:rFonts w:ascii="Times New Roman" w:hAnsi="Arial" w:cs="Arial" w:hint="eastAsia"/>
                <w:kern w:val="0"/>
                <w:sz w:val="28"/>
                <w:szCs w:val="28"/>
              </w:rPr>
              <w:t>制度，以提升</w:t>
            </w:r>
            <w:r w:rsidR="00B810E8">
              <w:rPr>
                <w:rFonts w:ascii="Times New Roman" w:hAnsi="Arial" w:cs="Arial" w:hint="eastAsia"/>
                <w:kern w:val="0"/>
                <w:sz w:val="28"/>
                <w:szCs w:val="28"/>
              </w:rPr>
              <w:t>整體</w:t>
            </w:r>
            <w:r w:rsidR="00A75B60" w:rsidRPr="00ED0574">
              <w:rPr>
                <w:rFonts w:ascii="Times New Roman" w:hAnsi="Arial" w:cs="Arial" w:hint="eastAsia"/>
                <w:kern w:val="0"/>
                <w:sz w:val="28"/>
                <w:szCs w:val="28"/>
              </w:rPr>
              <w:t>交割</w:t>
            </w:r>
            <w:r w:rsidR="00A75B60" w:rsidRPr="00873270">
              <w:rPr>
                <w:rFonts w:ascii="Times New Roman" w:hAnsi="Arial" w:cs="Arial" w:hint="eastAsia"/>
                <w:kern w:val="0"/>
                <w:sz w:val="28"/>
                <w:szCs w:val="28"/>
              </w:rPr>
              <w:t>效率和安全</w:t>
            </w:r>
            <w:r w:rsidR="00A75B60">
              <w:rPr>
                <w:rFonts w:ascii="Times New Roman" w:hAnsi="Arial" w:cs="Arial" w:hint="eastAsia"/>
                <w:kern w:val="0"/>
                <w:sz w:val="28"/>
                <w:szCs w:val="28"/>
              </w:rPr>
              <w:t>度</w:t>
            </w:r>
            <w:r w:rsidR="00A75B60" w:rsidRPr="00873270">
              <w:rPr>
                <w:rFonts w:ascii="Times New Roman" w:hAnsi="Arial" w:cs="Arial" w:hint="eastAsia"/>
                <w:kern w:val="0"/>
                <w:sz w:val="28"/>
                <w:szCs w:val="28"/>
              </w:rPr>
              <w:t>，</w:t>
            </w:r>
            <w:r w:rsidR="00A75B60">
              <w:rPr>
                <w:rFonts w:ascii="Times New Roman" w:hAnsi="Arial" w:cs="Arial" w:hint="eastAsia"/>
                <w:kern w:val="0"/>
                <w:sz w:val="28"/>
                <w:szCs w:val="28"/>
              </w:rPr>
              <w:t>這也是</w:t>
            </w:r>
            <w:hyperlink r:id="rId8" w:tooltip="国际证券" w:history="1">
              <w:r w:rsidR="00A75B60" w:rsidRPr="00873270">
                <w:rPr>
                  <w:rFonts w:ascii="Times New Roman" w:hAnsi="Arial" w:cs="Arial" w:hint="eastAsia"/>
                  <w:kern w:val="0"/>
                  <w:sz w:val="28"/>
                  <w:szCs w:val="28"/>
                </w:rPr>
                <w:t>國際證券</w:t>
              </w:r>
            </w:hyperlink>
            <w:r w:rsidR="00A75B60" w:rsidRPr="00873270">
              <w:rPr>
                <w:rFonts w:ascii="Times New Roman" w:hAnsi="Arial" w:cs="Arial" w:hint="eastAsia"/>
                <w:kern w:val="0"/>
                <w:sz w:val="28"/>
                <w:szCs w:val="28"/>
              </w:rPr>
              <w:t>市場較為通行的做法。</w:t>
            </w:r>
          </w:p>
          <w:p w:rsidR="0091287A" w:rsidRDefault="00596AD2" w:rsidP="00445391">
            <w:pPr>
              <w:pStyle w:val="a4"/>
              <w:spacing w:line="420" w:lineRule="exact"/>
              <w:ind w:firstLineChars="0" w:firstLine="0"/>
              <w:rPr>
                <w:rFonts w:hint="eastAsia"/>
                <w:sz w:val="28"/>
              </w:rPr>
            </w:pPr>
            <w:r>
              <w:rPr>
                <w:rFonts w:ascii="Times New Roman" w:hint="eastAsia"/>
                <w:b/>
                <w:sz w:val="28"/>
                <w:szCs w:val="28"/>
                <w:u w:val="single"/>
              </w:rPr>
              <w:t>第三章</w:t>
            </w:r>
            <w:r w:rsidR="0091287A">
              <w:rPr>
                <w:rFonts w:ascii="Times New Roman" w:hint="eastAsia"/>
                <w:b/>
                <w:sz w:val="28"/>
                <w:szCs w:val="28"/>
              </w:rPr>
              <w:t>：</w:t>
            </w:r>
            <w:r w:rsidR="002E5B3B" w:rsidRPr="00FF27E8">
              <w:rPr>
                <w:rFonts w:ascii="Times New Roman" w:hint="eastAsia"/>
                <w:sz w:val="28"/>
                <w:szCs w:val="28"/>
              </w:rPr>
              <w:t>分析國內證券市場</w:t>
            </w:r>
            <w:proofErr w:type="gramStart"/>
            <w:r w:rsidR="00982247" w:rsidRPr="00982247">
              <w:rPr>
                <w:rFonts w:hint="eastAsia"/>
                <w:sz w:val="28"/>
                <w:szCs w:val="28"/>
              </w:rPr>
              <w:t>券</w:t>
            </w:r>
            <w:proofErr w:type="gramEnd"/>
            <w:r w:rsidR="00982247" w:rsidRPr="00982247">
              <w:rPr>
                <w:rFonts w:hint="eastAsia"/>
                <w:sz w:val="28"/>
                <w:szCs w:val="28"/>
              </w:rPr>
              <w:t>項交割制度架構與實務作業方式</w:t>
            </w:r>
            <w:r w:rsidR="00982247">
              <w:rPr>
                <w:rFonts w:hint="eastAsia"/>
                <w:sz w:val="28"/>
                <w:szCs w:val="28"/>
              </w:rPr>
              <w:t>。</w:t>
            </w:r>
            <w:r w:rsidR="00723287">
              <w:rPr>
                <w:rFonts w:hint="eastAsia"/>
                <w:sz w:val="28"/>
              </w:rPr>
              <w:t>目前集保</w:t>
            </w:r>
            <w:r w:rsidR="0091287A">
              <w:rPr>
                <w:rFonts w:hint="eastAsia"/>
                <w:sz w:val="28"/>
              </w:rPr>
              <w:t>公司</w:t>
            </w:r>
            <w:r w:rsidR="00723287">
              <w:rPr>
                <w:rFonts w:hint="eastAsia"/>
                <w:sz w:val="28"/>
              </w:rPr>
              <w:t>有關證券帳簿劃撥交割的相關法規，已明訂</w:t>
            </w:r>
            <w:r w:rsidR="00723287" w:rsidRPr="00142FFA">
              <w:rPr>
                <w:rFonts w:hint="eastAsia"/>
                <w:sz w:val="28"/>
              </w:rPr>
              <w:t>採</w:t>
            </w:r>
            <w:r w:rsidR="00723287">
              <w:rPr>
                <w:rFonts w:hint="eastAsia"/>
                <w:sz w:val="28"/>
              </w:rPr>
              <w:t>取</w:t>
            </w:r>
            <w:r w:rsidR="00723287" w:rsidRPr="00142FFA">
              <w:rPr>
                <w:rFonts w:hint="eastAsia"/>
                <w:sz w:val="28"/>
              </w:rPr>
              <w:t>投資人</w:t>
            </w:r>
            <w:r w:rsidR="00723287">
              <w:rPr>
                <w:rFonts w:hint="eastAsia"/>
                <w:sz w:val="28"/>
              </w:rPr>
              <w:t>與證券商</w:t>
            </w:r>
            <w:r w:rsidR="00B810E8">
              <w:rPr>
                <w:rFonts w:hint="eastAsia"/>
                <w:sz w:val="28"/>
              </w:rPr>
              <w:t>(結算會員)</w:t>
            </w:r>
            <w:r w:rsidR="00723287">
              <w:rPr>
                <w:rFonts w:hint="eastAsia"/>
                <w:sz w:val="28"/>
              </w:rPr>
              <w:t>、證券商</w:t>
            </w:r>
            <w:r w:rsidR="00723287" w:rsidRPr="00142FFA">
              <w:rPr>
                <w:rFonts w:hint="eastAsia"/>
                <w:sz w:val="28"/>
              </w:rPr>
              <w:t>與</w:t>
            </w:r>
            <w:r w:rsidR="00723287">
              <w:rPr>
                <w:rFonts w:hint="eastAsia"/>
                <w:sz w:val="28"/>
              </w:rPr>
              <w:t>證交所（結算機構）之間的兩階段交割</w:t>
            </w:r>
            <w:r w:rsidR="00723287" w:rsidRPr="00142FFA">
              <w:rPr>
                <w:rFonts w:hint="eastAsia"/>
                <w:sz w:val="28"/>
              </w:rPr>
              <w:t>程序</w:t>
            </w:r>
            <w:r w:rsidR="00723287">
              <w:rPr>
                <w:rFonts w:hint="eastAsia"/>
                <w:sz w:val="28"/>
              </w:rPr>
              <w:t>，於交割日依序辦理證券於客戶</w:t>
            </w:r>
            <w:r w:rsidR="00723287" w:rsidRPr="00142FFA">
              <w:rPr>
                <w:rFonts w:hint="eastAsia"/>
                <w:sz w:val="28"/>
              </w:rPr>
              <w:t>帳、證券商待交割帳及證交所劃撥交割帳戶</w:t>
            </w:r>
            <w:r w:rsidR="00B810E8">
              <w:rPr>
                <w:rFonts w:hint="eastAsia"/>
                <w:sz w:val="28"/>
              </w:rPr>
              <w:t>之</w:t>
            </w:r>
            <w:r w:rsidR="00723287" w:rsidRPr="00142FFA">
              <w:rPr>
                <w:rFonts w:hint="eastAsia"/>
                <w:sz w:val="28"/>
              </w:rPr>
              <w:t>間之兩階段餘額交割作業。</w:t>
            </w:r>
            <w:r w:rsidR="009F3E7B">
              <w:rPr>
                <w:rFonts w:hint="eastAsia"/>
                <w:sz w:val="28"/>
              </w:rPr>
              <w:t>本章除加以說明外，並對集保</w:t>
            </w:r>
            <w:r w:rsidR="0091287A">
              <w:rPr>
                <w:rFonts w:hint="eastAsia"/>
                <w:sz w:val="28"/>
              </w:rPr>
              <w:t>公司</w:t>
            </w:r>
            <w:r w:rsidR="009F3E7B">
              <w:rPr>
                <w:rFonts w:hint="eastAsia"/>
                <w:sz w:val="28"/>
              </w:rPr>
              <w:t>目前實務作業內容以及與法規的差異進行分析。</w:t>
            </w:r>
          </w:p>
          <w:p w:rsidR="0091287A" w:rsidRDefault="00541234" w:rsidP="00445391">
            <w:pPr>
              <w:pStyle w:val="a4"/>
              <w:spacing w:line="420" w:lineRule="exact"/>
              <w:ind w:firstLineChars="0" w:firstLine="0"/>
              <w:rPr>
                <w:rFonts w:ascii="Times New Roman" w:hint="eastAsia"/>
                <w:sz w:val="28"/>
                <w:szCs w:val="28"/>
              </w:rPr>
            </w:pPr>
            <w:r>
              <w:rPr>
                <w:rFonts w:ascii="Times New Roman" w:hint="eastAsia"/>
                <w:b/>
                <w:sz w:val="28"/>
                <w:szCs w:val="28"/>
                <w:u w:val="single"/>
              </w:rPr>
              <w:t>第四</w:t>
            </w:r>
            <w:r w:rsidRPr="006D61A5">
              <w:rPr>
                <w:rFonts w:ascii="Times New Roman" w:hint="eastAsia"/>
                <w:b/>
                <w:sz w:val="28"/>
                <w:szCs w:val="28"/>
                <w:u w:val="single"/>
              </w:rPr>
              <w:t>章</w:t>
            </w:r>
            <w:r w:rsidR="0091287A">
              <w:rPr>
                <w:rFonts w:ascii="Times New Roman" w:hint="eastAsia"/>
                <w:b/>
                <w:sz w:val="28"/>
                <w:szCs w:val="28"/>
              </w:rPr>
              <w:t>：</w:t>
            </w:r>
            <w:r w:rsidR="006A72AD" w:rsidRPr="0091287A">
              <w:rPr>
                <w:rFonts w:ascii="Times New Roman" w:hint="eastAsia"/>
                <w:sz w:val="28"/>
                <w:szCs w:val="28"/>
              </w:rPr>
              <w:t>對其他國家證券市場的做法，如</w:t>
            </w:r>
            <w:r w:rsidR="006A72AD">
              <w:rPr>
                <w:rFonts w:ascii="Times New Roman" w:hint="eastAsia"/>
                <w:sz w:val="28"/>
                <w:szCs w:val="28"/>
              </w:rPr>
              <w:t>中國大陸、新加坡、馬來西亞、印度及巴西等加以介紹，</w:t>
            </w:r>
            <w:r w:rsidR="00CF7886">
              <w:rPr>
                <w:rFonts w:ascii="Times New Roman" w:hint="eastAsia"/>
                <w:sz w:val="28"/>
                <w:szCs w:val="28"/>
              </w:rPr>
              <w:t>並藉</w:t>
            </w:r>
            <w:r w:rsidR="006A72AD">
              <w:rPr>
                <w:rFonts w:ascii="Times New Roman" w:hint="eastAsia"/>
                <w:sz w:val="28"/>
                <w:szCs w:val="28"/>
              </w:rPr>
              <w:t>以瞭解集保</w:t>
            </w:r>
            <w:r w:rsidR="0091287A">
              <w:rPr>
                <w:rFonts w:ascii="Times New Roman" w:hint="eastAsia"/>
                <w:sz w:val="28"/>
                <w:szCs w:val="28"/>
              </w:rPr>
              <w:t>公司</w:t>
            </w:r>
            <w:r w:rsidR="006A72AD">
              <w:rPr>
                <w:rFonts w:ascii="Times New Roman" w:hint="eastAsia"/>
                <w:sz w:val="28"/>
                <w:szCs w:val="28"/>
              </w:rPr>
              <w:t>現行作業方式與其他國家的不同。</w:t>
            </w:r>
          </w:p>
          <w:p w:rsidR="006D61A5" w:rsidRDefault="00596AD2" w:rsidP="00445391">
            <w:pPr>
              <w:pStyle w:val="a4"/>
              <w:spacing w:line="420" w:lineRule="exact"/>
              <w:ind w:firstLineChars="0" w:firstLine="0"/>
              <w:rPr>
                <w:rFonts w:ascii="Times New Roman"/>
                <w:sz w:val="28"/>
                <w:szCs w:val="28"/>
              </w:rPr>
            </w:pPr>
            <w:r>
              <w:rPr>
                <w:rFonts w:ascii="Times New Roman" w:hint="eastAsia"/>
                <w:b/>
                <w:sz w:val="28"/>
                <w:szCs w:val="28"/>
                <w:u w:val="single"/>
              </w:rPr>
              <w:t>第五</w:t>
            </w:r>
            <w:r w:rsidR="002E5B3B" w:rsidRPr="006D61A5">
              <w:rPr>
                <w:rFonts w:ascii="Times New Roman" w:hint="eastAsia"/>
                <w:b/>
                <w:sz w:val="28"/>
                <w:szCs w:val="28"/>
                <w:u w:val="single"/>
              </w:rPr>
              <w:t>章</w:t>
            </w:r>
            <w:r w:rsidR="0091287A">
              <w:rPr>
                <w:rFonts w:ascii="Times New Roman" w:hint="eastAsia"/>
                <w:b/>
                <w:sz w:val="28"/>
                <w:szCs w:val="28"/>
              </w:rPr>
              <w:t>：</w:t>
            </w:r>
            <w:r w:rsidR="0021481A" w:rsidRPr="0021481A">
              <w:rPr>
                <w:rFonts w:ascii="Times New Roman" w:hint="eastAsia"/>
                <w:sz w:val="28"/>
                <w:szCs w:val="28"/>
              </w:rPr>
              <w:t>探討</w:t>
            </w:r>
            <w:proofErr w:type="gramStart"/>
            <w:r w:rsidR="0021481A" w:rsidRPr="0021481A">
              <w:rPr>
                <w:rFonts w:ascii="Times New Roman" w:hint="eastAsia"/>
                <w:sz w:val="28"/>
                <w:szCs w:val="28"/>
              </w:rPr>
              <w:t>一段式與兩段</w:t>
            </w:r>
            <w:proofErr w:type="gramEnd"/>
            <w:r w:rsidR="0021481A" w:rsidRPr="0021481A">
              <w:rPr>
                <w:rFonts w:ascii="Times New Roman" w:hint="eastAsia"/>
                <w:sz w:val="28"/>
                <w:szCs w:val="28"/>
              </w:rPr>
              <w:t>式</w:t>
            </w:r>
            <w:r w:rsidR="0021481A">
              <w:rPr>
                <w:rFonts w:ascii="Times New Roman" w:hint="eastAsia"/>
                <w:sz w:val="28"/>
                <w:szCs w:val="28"/>
              </w:rPr>
              <w:t>證券交割</w:t>
            </w:r>
            <w:r w:rsidR="0021481A" w:rsidRPr="0021481A">
              <w:rPr>
                <w:rFonts w:ascii="Times New Roman" w:hint="eastAsia"/>
                <w:sz w:val="28"/>
                <w:szCs w:val="28"/>
              </w:rPr>
              <w:t>系統作業的優缺點</w:t>
            </w:r>
            <w:r w:rsidR="0021481A">
              <w:rPr>
                <w:rFonts w:ascii="Times New Roman" w:hint="eastAsia"/>
                <w:sz w:val="28"/>
                <w:szCs w:val="28"/>
              </w:rPr>
              <w:t>。一段式作業的優點包含對投資人證券交割帳戶有較高的保護度</w:t>
            </w:r>
            <w:r w:rsidR="00741E46">
              <w:rPr>
                <w:rFonts w:ascii="Times New Roman" w:hint="eastAsia"/>
                <w:sz w:val="28"/>
                <w:szCs w:val="28"/>
              </w:rPr>
              <w:t>、券商的作業成本較低；缺點包含降低前台交易制度與作業</w:t>
            </w:r>
            <w:r w:rsidR="00DC1868">
              <w:rPr>
                <w:rFonts w:ascii="Times New Roman" w:hint="eastAsia"/>
                <w:sz w:val="28"/>
                <w:szCs w:val="28"/>
              </w:rPr>
              <w:t>的發展彈性、產生法規與實務系統作業的歧異，及集保公司作業成本較高</w:t>
            </w:r>
            <w:r w:rsidR="00741E46">
              <w:rPr>
                <w:rFonts w:ascii="Times New Roman" w:hint="eastAsia"/>
                <w:sz w:val="28"/>
                <w:szCs w:val="28"/>
              </w:rPr>
              <w:t>。</w:t>
            </w:r>
            <w:r w:rsidR="00DC1868">
              <w:rPr>
                <w:rFonts w:ascii="Times New Roman" w:hint="eastAsia"/>
                <w:sz w:val="28"/>
                <w:szCs w:val="28"/>
              </w:rPr>
              <w:t>二段式作業的優點</w:t>
            </w:r>
            <w:r w:rsidR="001E47FD">
              <w:rPr>
                <w:rFonts w:ascii="Times New Roman" w:hint="eastAsia"/>
                <w:sz w:val="28"/>
                <w:szCs w:val="28"/>
              </w:rPr>
              <w:t>包含符合多數市場發展的國際趨勢、</w:t>
            </w:r>
            <w:r w:rsidR="001E47FD" w:rsidRPr="00DC1868">
              <w:rPr>
                <w:rFonts w:hint="eastAsia"/>
                <w:sz w:val="28"/>
                <w:szCs w:val="28"/>
              </w:rPr>
              <w:t>降低集保公司作業成本、</w:t>
            </w:r>
            <w:r w:rsidR="00DC1868" w:rsidRPr="00DC1868">
              <w:rPr>
                <w:rFonts w:hint="eastAsia"/>
                <w:sz w:val="28"/>
                <w:szCs w:val="28"/>
              </w:rPr>
              <w:t>提昇前台交易作業之發展彈性，及消除法規與實務的歧異；缺點包含證券商作業成本高，及</w:t>
            </w:r>
            <w:r w:rsidR="00DC1868" w:rsidRPr="00DC1868">
              <w:rPr>
                <w:rFonts w:hint="eastAsia"/>
                <w:sz w:val="28"/>
              </w:rPr>
              <w:t>投資人保護度較低。</w:t>
            </w:r>
          </w:p>
          <w:p w:rsidR="001D6A28" w:rsidRPr="001D6A28" w:rsidRDefault="00596AD2" w:rsidP="00445391">
            <w:pPr>
              <w:pStyle w:val="a4"/>
              <w:spacing w:line="420" w:lineRule="exact"/>
              <w:ind w:firstLineChars="0" w:firstLine="0"/>
              <w:rPr>
                <w:sz w:val="28"/>
                <w:szCs w:val="28"/>
              </w:rPr>
            </w:pPr>
            <w:r>
              <w:rPr>
                <w:rFonts w:ascii="Times New Roman" w:hint="eastAsia"/>
                <w:b/>
                <w:sz w:val="28"/>
                <w:szCs w:val="28"/>
                <w:u w:val="single"/>
              </w:rPr>
              <w:t>第六</w:t>
            </w:r>
            <w:r w:rsidR="002E5B3B" w:rsidRPr="006D61A5">
              <w:rPr>
                <w:rFonts w:ascii="Times New Roman" w:hint="eastAsia"/>
                <w:b/>
                <w:sz w:val="28"/>
                <w:szCs w:val="28"/>
                <w:u w:val="single"/>
              </w:rPr>
              <w:t>章</w:t>
            </w:r>
            <w:r w:rsidR="0091287A">
              <w:rPr>
                <w:rFonts w:ascii="Times New Roman" w:hint="eastAsia"/>
                <w:b/>
                <w:sz w:val="28"/>
                <w:szCs w:val="28"/>
              </w:rPr>
              <w:t>：</w:t>
            </w:r>
            <w:r w:rsidR="00533D8E" w:rsidRPr="00533D8E">
              <w:rPr>
                <w:rFonts w:ascii="Times New Roman" w:hint="eastAsia"/>
                <w:sz w:val="28"/>
                <w:szCs w:val="28"/>
              </w:rPr>
              <w:t>探討</w:t>
            </w:r>
            <w:r w:rsidR="00533D8E" w:rsidRPr="00533D8E">
              <w:rPr>
                <w:rFonts w:hint="eastAsia"/>
                <w:sz w:val="28"/>
                <w:szCs w:val="28"/>
              </w:rPr>
              <w:t>一段式作業改成兩段式作業之可行性</w:t>
            </w:r>
            <w:r w:rsidR="00533D8E">
              <w:rPr>
                <w:rFonts w:hint="eastAsia"/>
                <w:sz w:val="28"/>
                <w:szCs w:val="28"/>
              </w:rPr>
              <w:t>。</w:t>
            </w:r>
            <w:r w:rsidR="00944917">
              <w:rPr>
                <w:rFonts w:hint="eastAsia"/>
                <w:sz w:val="28"/>
                <w:szCs w:val="28"/>
              </w:rPr>
              <w:t>未來</w:t>
            </w:r>
            <w:r w:rsidR="007F78D5">
              <w:rPr>
                <w:rFonts w:hint="eastAsia"/>
                <w:sz w:val="28"/>
                <w:szCs w:val="28"/>
              </w:rPr>
              <w:t>若</w:t>
            </w:r>
            <w:r w:rsidR="006A72AD">
              <w:rPr>
                <w:rFonts w:hint="eastAsia"/>
                <w:sz w:val="28"/>
                <w:szCs w:val="28"/>
              </w:rPr>
              <w:t>我國</w:t>
            </w:r>
            <w:r w:rsidR="00944917">
              <w:rPr>
                <w:rFonts w:hint="eastAsia"/>
                <w:sz w:val="28"/>
                <w:szCs w:val="28"/>
              </w:rPr>
              <w:t>要落實證券兩段式交割作業，</w:t>
            </w:r>
            <w:r w:rsidR="007F78D5">
              <w:rPr>
                <w:rFonts w:hint="eastAsia"/>
                <w:sz w:val="28"/>
                <w:szCs w:val="28"/>
              </w:rPr>
              <w:t>主要</w:t>
            </w:r>
            <w:r w:rsidR="00944917">
              <w:rPr>
                <w:rFonts w:hint="eastAsia"/>
                <w:sz w:val="28"/>
                <w:szCs w:val="28"/>
              </w:rPr>
              <w:t>需調整</w:t>
            </w:r>
            <w:r w:rsidR="007F78D5">
              <w:rPr>
                <w:rFonts w:hint="eastAsia"/>
                <w:sz w:val="28"/>
                <w:szCs w:val="28"/>
              </w:rPr>
              <w:t>的應是集保公</w:t>
            </w:r>
            <w:r w:rsidR="007F78D5" w:rsidRPr="001D6A28">
              <w:rPr>
                <w:rFonts w:hint="eastAsia"/>
                <w:sz w:val="28"/>
                <w:szCs w:val="28"/>
              </w:rPr>
              <w:t>司的</w:t>
            </w:r>
            <w:r w:rsidR="007F78D5" w:rsidRPr="001D6A28">
              <w:rPr>
                <w:rFonts w:ascii="Times New Roman" w:hAnsi="Times New Roman" w:hint="eastAsia"/>
                <w:sz w:val="28"/>
                <w:szCs w:val="28"/>
              </w:rPr>
              <w:t>證券交割</w:t>
            </w:r>
            <w:r w:rsidR="007F78D5" w:rsidRPr="001D6A28">
              <w:rPr>
                <w:rFonts w:hint="eastAsia"/>
                <w:sz w:val="28"/>
                <w:szCs w:val="28"/>
              </w:rPr>
              <w:t>系統</w:t>
            </w:r>
            <w:r w:rsidR="0091287A">
              <w:rPr>
                <w:rFonts w:hint="eastAsia"/>
                <w:sz w:val="28"/>
                <w:szCs w:val="28"/>
              </w:rPr>
              <w:t>。因此，</w:t>
            </w:r>
            <w:r w:rsidR="001D6A28" w:rsidRPr="001D6A28">
              <w:rPr>
                <w:rFonts w:hint="eastAsia"/>
                <w:color w:val="000000" w:themeColor="text1"/>
                <w:sz w:val="28"/>
                <w:szCs w:val="28"/>
              </w:rPr>
              <w:t>首先應</w:t>
            </w:r>
            <w:r w:rsidR="001D6A28" w:rsidRPr="001D6A28">
              <w:rPr>
                <w:rFonts w:hint="eastAsia"/>
                <w:sz w:val="28"/>
                <w:szCs w:val="28"/>
              </w:rPr>
              <w:t>評估集保公司與證券</w:t>
            </w:r>
            <w:r w:rsidR="001D6A28" w:rsidRPr="001D6A28">
              <w:rPr>
                <w:rFonts w:hint="eastAsia"/>
                <w:sz w:val="28"/>
                <w:szCs w:val="28"/>
              </w:rPr>
              <w:lastRenderedPageBreak/>
              <w:t>商的意願</w:t>
            </w:r>
            <w:r w:rsidR="001D6A28" w:rsidRPr="001D6A28">
              <w:rPr>
                <w:rFonts w:hint="eastAsia"/>
                <w:color w:val="000000" w:themeColor="text1"/>
                <w:sz w:val="28"/>
                <w:szCs w:val="28"/>
              </w:rPr>
              <w:t>，</w:t>
            </w:r>
            <w:r w:rsidR="007F78D5">
              <w:rPr>
                <w:rFonts w:hint="eastAsia"/>
                <w:color w:val="000000" w:themeColor="text1"/>
                <w:sz w:val="28"/>
                <w:szCs w:val="28"/>
              </w:rPr>
              <w:t>以</w:t>
            </w:r>
            <w:r w:rsidR="00CB0FFD">
              <w:rPr>
                <w:rFonts w:hint="eastAsia"/>
                <w:color w:val="000000" w:themeColor="text1"/>
                <w:sz w:val="28"/>
                <w:szCs w:val="28"/>
              </w:rPr>
              <w:t>獲取</w:t>
            </w:r>
            <w:r w:rsidR="001D6A28" w:rsidRPr="001D6A28">
              <w:rPr>
                <w:rFonts w:hint="eastAsia"/>
                <w:color w:val="000000" w:themeColor="text1"/>
                <w:sz w:val="28"/>
                <w:szCs w:val="28"/>
              </w:rPr>
              <w:t>認同與共識。而在</w:t>
            </w:r>
            <w:r w:rsidR="001D6A28" w:rsidRPr="001D6A28">
              <w:rPr>
                <w:rFonts w:hint="eastAsia"/>
                <w:sz w:val="28"/>
                <w:szCs w:val="28"/>
              </w:rPr>
              <w:t>系統作業調整步驟的設計上，</w:t>
            </w:r>
            <w:r w:rsidR="001B6953">
              <w:rPr>
                <w:rFonts w:cs="標楷體" w:hint="eastAsia"/>
                <w:kern w:val="0"/>
                <w:sz w:val="28"/>
                <w:szCs w:val="28"/>
                <w:lang w:val="zh-TW"/>
              </w:rPr>
              <w:t>首先</w:t>
            </w:r>
            <w:r w:rsidR="00CB0FFD">
              <w:rPr>
                <w:rFonts w:cs="標楷體" w:hint="eastAsia"/>
                <w:kern w:val="0"/>
                <w:sz w:val="28"/>
                <w:szCs w:val="28"/>
                <w:lang w:val="zh-TW"/>
              </w:rPr>
              <w:t>建議</w:t>
            </w:r>
            <w:r w:rsidR="00CB0FFD" w:rsidRPr="001D6A28">
              <w:rPr>
                <w:rFonts w:cs="標楷體" w:hint="eastAsia"/>
                <w:kern w:val="0"/>
                <w:sz w:val="28"/>
                <w:szCs w:val="28"/>
              </w:rPr>
              <w:t>參考國外結算或集保機構做法，於</w:t>
            </w:r>
            <w:r w:rsidR="00CB0FFD" w:rsidRPr="001D6A28">
              <w:rPr>
                <w:rFonts w:hint="eastAsia"/>
                <w:sz w:val="28"/>
                <w:szCs w:val="28"/>
              </w:rPr>
              <w:t>國內</w:t>
            </w:r>
            <w:r w:rsidR="00CB0FFD" w:rsidRPr="001D6A28">
              <w:rPr>
                <w:rFonts w:cs="標楷體" w:hint="eastAsia"/>
                <w:kern w:val="0"/>
                <w:sz w:val="28"/>
                <w:szCs w:val="28"/>
              </w:rPr>
              <w:t>法規及</w:t>
            </w:r>
            <w:r w:rsidR="008E4954">
              <w:rPr>
                <w:rFonts w:cs="標楷體" w:hint="eastAsia"/>
                <w:kern w:val="0"/>
                <w:sz w:val="28"/>
                <w:szCs w:val="28"/>
              </w:rPr>
              <w:t>相關機構</w:t>
            </w:r>
            <w:r w:rsidR="00CB0FFD">
              <w:rPr>
                <w:rFonts w:cs="標楷體" w:hint="eastAsia"/>
                <w:kern w:val="0"/>
                <w:sz w:val="28"/>
                <w:szCs w:val="28"/>
              </w:rPr>
              <w:t>公開</w:t>
            </w:r>
            <w:r w:rsidR="00CB0FFD" w:rsidRPr="001D6A28">
              <w:rPr>
                <w:rFonts w:cs="標楷體" w:hint="eastAsia"/>
                <w:kern w:val="0"/>
                <w:sz w:val="28"/>
                <w:szCs w:val="28"/>
              </w:rPr>
              <w:t>網頁中，增加對</w:t>
            </w:r>
            <w:r w:rsidR="00CB0FFD" w:rsidRPr="001D6A28">
              <w:rPr>
                <w:rFonts w:hint="eastAsia"/>
                <w:sz w:val="28"/>
                <w:szCs w:val="28"/>
              </w:rPr>
              <w:t>證券兩段式交割撥轉流程的實務作業</w:t>
            </w:r>
            <w:r w:rsidR="00CB0FFD">
              <w:rPr>
                <w:rFonts w:hint="eastAsia"/>
                <w:sz w:val="28"/>
                <w:szCs w:val="28"/>
              </w:rPr>
              <w:t>之</w:t>
            </w:r>
            <w:r w:rsidR="00CB0FFD" w:rsidRPr="001D6A28">
              <w:rPr>
                <w:rFonts w:hint="eastAsia"/>
                <w:sz w:val="28"/>
                <w:szCs w:val="28"/>
              </w:rPr>
              <w:t>清楚且一致化論述</w:t>
            </w:r>
            <w:r w:rsidR="00CB0FFD">
              <w:rPr>
                <w:rFonts w:hint="eastAsia"/>
                <w:sz w:val="28"/>
                <w:szCs w:val="28"/>
              </w:rPr>
              <w:t>。其次，是</w:t>
            </w:r>
            <w:r w:rsidR="002E1E6C" w:rsidRPr="001D6A28">
              <w:rPr>
                <w:rFonts w:ascii="Times New Roman" w:hint="eastAsia"/>
                <w:sz w:val="28"/>
                <w:szCs w:val="28"/>
              </w:rPr>
              <w:t>建議</w:t>
            </w:r>
            <w:r w:rsidR="002E1E6C" w:rsidRPr="001D6A28">
              <w:rPr>
                <w:rFonts w:hint="eastAsia"/>
                <w:sz w:val="28"/>
                <w:szCs w:val="28"/>
              </w:rPr>
              <w:t>集保公司</w:t>
            </w:r>
            <w:r w:rsidR="00CB0FFD" w:rsidRPr="001D6A28">
              <w:rPr>
                <w:rFonts w:ascii="Times New Roman" w:hint="eastAsia"/>
                <w:sz w:val="28"/>
                <w:szCs w:val="28"/>
              </w:rPr>
              <w:t>依循國外市場的普遍作法，</w:t>
            </w:r>
            <w:proofErr w:type="gramStart"/>
            <w:r w:rsidR="00CB0FFD" w:rsidRPr="001D6A28">
              <w:rPr>
                <w:rFonts w:hint="eastAsia"/>
                <w:sz w:val="28"/>
                <w:szCs w:val="28"/>
              </w:rPr>
              <w:t>研</w:t>
            </w:r>
            <w:proofErr w:type="gramEnd"/>
            <w:r w:rsidR="00CB0FFD" w:rsidRPr="001D6A28">
              <w:rPr>
                <w:rFonts w:hint="eastAsia"/>
                <w:sz w:val="28"/>
                <w:szCs w:val="28"/>
              </w:rPr>
              <w:t>議調整證券交割系統</w:t>
            </w:r>
            <w:r w:rsidR="001C19D8" w:rsidRPr="001D6A28">
              <w:rPr>
                <w:rFonts w:hint="eastAsia"/>
                <w:sz w:val="28"/>
                <w:szCs w:val="28"/>
              </w:rPr>
              <w:t>之</w:t>
            </w:r>
            <w:r w:rsidR="00CB0FFD" w:rsidRPr="001D6A28">
              <w:rPr>
                <w:rFonts w:hint="eastAsia"/>
                <w:sz w:val="28"/>
                <w:szCs w:val="28"/>
              </w:rPr>
              <w:t>作業方式</w:t>
            </w:r>
            <w:r w:rsidR="00CB0FFD">
              <w:rPr>
                <w:rFonts w:hint="eastAsia"/>
                <w:sz w:val="28"/>
                <w:szCs w:val="28"/>
              </w:rPr>
              <w:t>，以</w:t>
            </w:r>
            <w:r w:rsidR="00CB0FFD" w:rsidRPr="001D6A28">
              <w:rPr>
                <w:rFonts w:hint="eastAsia"/>
                <w:sz w:val="28"/>
                <w:szCs w:val="28"/>
              </w:rPr>
              <w:t>落實證交所劃撥交割帳戶與證券商待交割帳戶的</w:t>
            </w:r>
            <w:proofErr w:type="gramStart"/>
            <w:r w:rsidR="00CB0FFD" w:rsidRPr="001D6A28">
              <w:rPr>
                <w:rFonts w:hint="eastAsia"/>
                <w:sz w:val="28"/>
                <w:szCs w:val="28"/>
              </w:rPr>
              <w:t>券</w:t>
            </w:r>
            <w:proofErr w:type="gramEnd"/>
            <w:r w:rsidR="00CB0FFD" w:rsidRPr="001D6A28">
              <w:rPr>
                <w:rFonts w:hint="eastAsia"/>
                <w:sz w:val="28"/>
                <w:szCs w:val="28"/>
              </w:rPr>
              <w:t>項部位留存與記錄軌跡。</w:t>
            </w:r>
            <w:r w:rsidR="00CB0FFD">
              <w:rPr>
                <w:rFonts w:hint="eastAsia"/>
                <w:sz w:val="28"/>
                <w:szCs w:val="28"/>
              </w:rPr>
              <w:t>最後，</w:t>
            </w:r>
            <w:r w:rsidR="00F40A2E">
              <w:rPr>
                <w:rFonts w:hint="eastAsia"/>
                <w:sz w:val="28"/>
                <w:szCs w:val="28"/>
              </w:rPr>
              <w:t>由於</w:t>
            </w:r>
            <w:r w:rsidR="00CB0FFD" w:rsidRPr="001D6A28">
              <w:rPr>
                <w:rFonts w:hint="eastAsia"/>
                <w:sz w:val="28"/>
                <w:szCs w:val="28"/>
              </w:rPr>
              <w:t>兩段式作業的系統調整，</w:t>
            </w:r>
            <w:r w:rsidR="00F40A2E">
              <w:rPr>
                <w:rFonts w:hint="eastAsia"/>
                <w:sz w:val="28"/>
                <w:szCs w:val="28"/>
              </w:rPr>
              <w:t>會影響</w:t>
            </w:r>
            <w:r w:rsidR="00F40A2E" w:rsidRPr="001D6A28">
              <w:rPr>
                <w:rFonts w:hint="eastAsia"/>
                <w:sz w:val="28"/>
                <w:szCs w:val="28"/>
              </w:rPr>
              <w:t>證交所、集保公司與證券商的資訊系統與作業習慣</w:t>
            </w:r>
            <w:r w:rsidR="00F40A2E">
              <w:rPr>
                <w:rFonts w:hint="eastAsia"/>
                <w:sz w:val="28"/>
                <w:szCs w:val="28"/>
              </w:rPr>
              <w:t>，並</w:t>
            </w:r>
            <w:r w:rsidR="00F40A2E" w:rsidRPr="001D6A28">
              <w:rPr>
                <w:rFonts w:hint="eastAsia"/>
                <w:sz w:val="28"/>
                <w:szCs w:val="28"/>
              </w:rPr>
              <w:t>產生</w:t>
            </w:r>
            <w:r w:rsidR="00F40A2E">
              <w:rPr>
                <w:rFonts w:hint="eastAsia"/>
                <w:sz w:val="28"/>
                <w:szCs w:val="28"/>
              </w:rPr>
              <w:t>相關</w:t>
            </w:r>
            <w:r w:rsidR="00F40A2E" w:rsidRPr="001D6A28">
              <w:rPr>
                <w:rFonts w:hint="eastAsia"/>
                <w:sz w:val="28"/>
                <w:szCs w:val="28"/>
              </w:rPr>
              <w:t>成本，</w:t>
            </w:r>
            <w:r w:rsidR="00F40A2E">
              <w:rPr>
                <w:rFonts w:hint="eastAsia"/>
                <w:sz w:val="28"/>
                <w:szCs w:val="28"/>
              </w:rPr>
              <w:t>故建議</w:t>
            </w:r>
            <w:r w:rsidR="001D6A28" w:rsidRPr="001D6A28">
              <w:rPr>
                <w:rFonts w:hint="eastAsia"/>
                <w:sz w:val="28"/>
                <w:szCs w:val="28"/>
              </w:rPr>
              <w:t>證交所</w:t>
            </w:r>
            <w:r w:rsidR="00F40A2E">
              <w:rPr>
                <w:rFonts w:hint="eastAsia"/>
                <w:sz w:val="28"/>
                <w:szCs w:val="28"/>
              </w:rPr>
              <w:t>與</w:t>
            </w:r>
            <w:r w:rsidR="001D6A28" w:rsidRPr="001D6A28">
              <w:rPr>
                <w:rFonts w:hint="eastAsia"/>
                <w:sz w:val="28"/>
                <w:szCs w:val="28"/>
              </w:rPr>
              <w:t>集保公司共同確定兩階段交割之作業原則、制修規章及系統內容</w:t>
            </w:r>
            <w:r w:rsidR="00F40A2E">
              <w:rPr>
                <w:rFonts w:hint="eastAsia"/>
                <w:sz w:val="28"/>
                <w:szCs w:val="28"/>
              </w:rPr>
              <w:t>，</w:t>
            </w:r>
            <w:r w:rsidR="004B276E">
              <w:rPr>
                <w:rFonts w:hint="eastAsia"/>
                <w:sz w:val="28"/>
                <w:szCs w:val="28"/>
              </w:rPr>
              <w:t>以利</w:t>
            </w:r>
            <w:r w:rsidR="004B276E" w:rsidRPr="001D6A28">
              <w:rPr>
                <w:rFonts w:hint="eastAsia"/>
                <w:sz w:val="28"/>
                <w:szCs w:val="28"/>
              </w:rPr>
              <w:t>證券商</w:t>
            </w:r>
            <w:r w:rsidR="001C19D8">
              <w:rPr>
                <w:rFonts w:hint="eastAsia"/>
                <w:sz w:val="28"/>
                <w:szCs w:val="28"/>
              </w:rPr>
              <w:t>等市場參加人</w:t>
            </w:r>
            <w:r w:rsidR="004B276E" w:rsidRPr="001D6A28">
              <w:rPr>
                <w:rFonts w:hint="eastAsia"/>
                <w:sz w:val="28"/>
                <w:szCs w:val="28"/>
              </w:rPr>
              <w:t>依循辦理內部規章及系統的修訂。</w:t>
            </w:r>
          </w:p>
          <w:p w:rsidR="0091287A" w:rsidRPr="0091287A" w:rsidRDefault="009E75AF" w:rsidP="0091287A">
            <w:pPr>
              <w:pStyle w:val="af"/>
              <w:numPr>
                <w:ilvl w:val="0"/>
                <w:numId w:val="6"/>
              </w:numPr>
              <w:spacing w:line="420" w:lineRule="exact"/>
              <w:ind w:leftChars="0"/>
              <w:jc w:val="both"/>
              <w:rPr>
                <w:rFonts w:ascii="Times New Roman" w:eastAsia="標楷體" w:hint="eastAsia"/>
                <w:b/>
                <w:sz w:val="28"/>
                <w:szCs w:val="28"/>
              </w:rPr>
            </w:pPr>
            <w:r w:rsidRPr="0091287A">
              <w:rPr>
                <w:rFonts w:ascii="Times New Roman" w:eastAsia="標楷體" w:hint="eastAsia"/>
                <w:b/>
                <w:sz w:val="28"/>
                <w:szCs w:val="28"/>
              </w:rPr>
              <w:t>結論與</w:t>
            </w:r>
            <w:r w:rsidR="002E5B3B" w:rsidRPr="0091287A">
              <w:rPr>
                <w:rFonts w:ascii="Times New Roman" w:eastAsia="標楷體" w:hint="eastAsia"/>
                <w:b/>
                <w:sz w:val="28"/>
                <w:szCs w:val="28"/>
              </w:rPr>
              <w:t>建議事項：</w:t>
            </w:r>
          </w:p>
          <w:p w:rsidR="008E4954" w:rsidRPr="008E4954" w:rsidRDefault="006A72AD" w:rsidP="002E1E6C">
            <w:pPr>
              <w:spacing w:line="420" w:lineRule="exact"/>
              <w:jc w:val="both"/>
              <w:rPr>
                <w:rFonts w:ascii="Times New Roman" w:eastAsia="標楷體" w:hAnsi="Times New Roman"/>
                <w:b/>
                <w:sz w:val="28"/>
                <w:szCs w:val="28"/>
              </w:rPr>
            </w:pPr>
            <w:r w:rsidRPr="002E1E6C">
              <w:rPr>
                <w:rFonts w:ascii="標楷體" w:eastAsia="標楷體" w:hAnsi="標楷體" w:hint="eastAsia"/>
                <w:b/>
                <w:sz w:val="28"/>
                <w:szCs w:val="28"/>
                <w:u w:val="single"/>
              </w:rPr>
              <w:t>第七章</w:t>
            </w:r>
            <w:r w:rsidR="002E1E6C">
              <w:rPr>
                <w:rFonts w:ascii="標楷體" w:eastAsia="標楷體" w:hAnsi="標楷體" w:hint="eastAsia"/>
                <w:sz w:val="28"/>
                <w:szCs w:val="28"/>
              </w:rPr>
              <w:t>：</w:t>
            </w:r>
            <w:r w:rsidR="008E4954">
              <w:rPr>
                <w:rFonts w:eastAsia="標楷體" w:hint="eastAsia"/>
                <w:bCs/>
                <w:sz w:val="28"/>
              </w:rPr>
              <w:t>我國</w:t>
            </w:r>
            <w:r w:rsidR="008E4954" w:rsidRPr="004D5537">
              <w:rPr>
                <w:rFonts w:eastAsia="標楷體" w:hint="eastAsia"/>
                <w:bCs/>
                <w:sz w:val="28"/>
              </w:rPr>
              <w:t>市場現行</w:t>
            </w:r>
            <w:r w:rsidR="008E4954">
              <w:rPr>
                <w:rFonts w:eastAsia="標楷體" w:hint="eastAsia"/>
                <w:sz w:val="28"/>
              </w:rPr>
              <w:t>法規已</w:t>
            </w:r>
            <w:r w:rsidR="008E4954" w:rsidRPr="00BA5EC1">
              <w:rPr>
                <w:rFonts w:eastAsia="標楷體" w:hint="eastAsia"/>
                <w:sz w:val="28"/>
              </w:rPr>
              <w:t>明訂證券</w:t>
            </w:r>
            <w:proofErr w:type="gramStart"/>
            <w:r w:rsidR="008E4954" w:rsidRPr="004D5537">
              <w:rPr>
                <w:rFonts w:eastAsia="標楷體" w:hint="eastAsia"/>
                <w:sz w:val="28"/>
              </w:rPr>
              <w:t>採</w:t>
            </w:r>
            <w:proofErr w:type="gramEnd"/>
            <w:r w:rsidR="008E4954">
              <w:rPr>
                <w:rFonts w:eastAsia="標楷體" w:hint="eastAsia"/>
                <w:sz w:val="28"/>
              </w:rPr>
              <w:t>行</w:t>
            </w:r>
            <w:r w:rsidR="008E4954" w:rsidRPr="004D5537">
              <w:rPr>
                <w:rFonts w:eastAsia="標楷體" w:hint="eastAsia"/>
                <w:sz w:val="28"/>
              </w:rPr>
              <w:t>兩階段餘額交割，</w:t>
            </w:r>
            <w:r w:rsidR="008E4954">
              <w:rPr>
                <w:rFonts w:eastAsia="標楷體" w:hint="eastAsia"/>
                <w:sz w:val="28"/>
              </w:rPr>
              <w:t>而實務面則</w:t>
            </w:r>
            <w:r w:rsidR="008E4954" w:rsidRPr="004D5537">
              <w:rPr>
                <w:rFonts w:eastAsia="標楷體" w:hint="eastAsia"/>
                <w:sz w:val="28"/>
              </w:rPr>
              <w:t>採</w:t>
            </w:r>
            <w:r w:rsidR="008E4954">
              <w:rPr>
                <w:rFonts w:eastAsia="標楷體" w:hint="eastAsia"/>
                <w:sz w:val="28"/>
              </w:rPr>
              <w:t>取類似</w:t>
            </w:r>
            <w:r w:rsidR="008E4954" w:rsidRPr="004D5537">
              <w:rPr>
                <w:rFonts w:eastAsia="標楷體" w:hint="eastAsia"/>
                <w:sz w:val="28"/>
              </w:rPr>
              <w:t>一階段總額交割的方式</w:t>
            </w:r>
            <w:r w:rsidR="008E4954">
              <w:rPr>
                <w:rFonts w:eastAsia="標楷體" w:hint="eastAsia"/>
                <w:sz w:val="28"/>
              </w:rPr>
              <w:t>，</w:t>
            </w:r>
            <w:r w:rsidR="002E1E6C">
              <w:rPr>
                <w:rFonts w:eastAsia="標楷體" w:hint="eastAsia"/>
                <w:sz w:val="28"/>
              </w:rPr>
              <w:t>若</w:t>
            </w:r>
            <w:r w:rsidR="008E4954">
              <w:rPr>
                <w:rFonts w:eastAsia="標楷體" w:hint="eastAsia"/>
                <w:sz w:val="28"/>
              </w:rPr>
              <w:t>與本研究蒐集</w:t>
            </w:r>
            <w:r w:rsidR="006E268D">
              <w:rPr>
                <w:rFonts w:eastAsia="標楷體" w:hint="eastAsia"/>
                <w:sz w:val="28"/>
              </w:rPr>
              <w:t>之</w:t>
            </w:r>
            <w:r w:rsidR="008E4954">
              <w:rPr>
                <w:rFonts w:eastAsia="標楷體" w:hint="eastAsia"/>
                <w:sz w:val="28"/>
              </w:rPr>
              <w:t>五個</w:t>
            </w:r>
            <w:r w:rsidR="005E5509">
              <w:rPr>
                <w:rFonts w:eastAsia="標楷體" w:hint="eastAsia"/>
                <w:sz w:val="28"/>
              </w:rPr>
              <w:t>國外</w:t>
            </w:r>
            <w:r w:rsidR="008E4954">
              <w:rPr>
                <w:rFonts w:eastAsia="標楷體" w:hint="eastAsia"/>
                <w:sz w:val="28"/>
              </w:rPr>
              <w:t>證券市場</w:t>
            </w:r>
            <w:r w:rsidR="002E1E6C">
              <w:rPr>
                <w:rFonts w:eastAsia="標楷體" w:hint="eastAsia"/>
                <w:sz w:val="28"/>
              </w:rPr>
              <w:t>之</w:t>
            </w:r>
            <w:r w:rsidR="008E4954">
              <w:rPr>
                <w:rFonts w:eastAsia="標楷體" w:hint="eastAsia"/>
                <w:sz w:val="28"/>
              </w:rPr>
              <w:t>制度</w:t>
            </w:r>
            <w:r w:rsidR="006E268D">
              <w:rPr>
                <w:rFonts w:eastAsia="標楷體" w:hint="eastAsia"/>
                <w:sz w:val="28"/>
              </w:rPr>
              <w:t>與實務作業</w:t>
            </w:r>
            <w:r w:rsidR="008E4954">
              <w:rPr>
                <w:rFonts w:eastAsia="標楷體" w:hint="eastAsia"/>
                <w:sz w:val="28"/>
              </w:rPr>
              <w:t>相比較，</w:t>
            </w:r>
            <w:r w:rsidR="00CF7886">
              <w:rPr>
                <w:rFonts w:eastAsia="標楷體" w:hint="eastAsia"/>
                <w:sz w:val="28"/>
              </w:rPr>
              <w:t>我國</w:t>
            </w:r>
            <w:r w:rsidR="008E4954">
              <w:rPr>
                <w:rFonts w:eastAsia="標楷體" w:hint="eastAsia"/>
                <w:sz w:val="28"/>
              </w:rPr>
              <w:t>與中國大陸類似，而與其他國家實務面類似於法規規定的狀況，有所差異</w:t>
            </w:r>
            <w:r w:rsidR="008E4954" w:rsidRPr="004D5537">
              <w:rPr>
                <w:rFonts w:eastAsia="標楷體" w:hint="eastAsia"/>
                <w:sz w:val="28"/>
              </w:rPr>
              <w:t>。</w:t>
            </w:r>
            <w:r>
              <w:rPr>
                <w:rFonts w:eastAsia="標楷體" w:hint="eastAsia"/>
                <w:sz w:val="28"/>
              </w:rPr>
              <w:t>從國外實例來看</w:t>
            </w:r>
            <w:r w:rsidR="005E5509">
              <w:rPr>
                <w:rFonts w:eastAsia="標楷體" w:hint="eastAsia"/>
                <w:sz w:val="28"/>
              </w:rPr>
              <w:t>，採取</w:t>
            </w:r>
            <w:r w:rsidR="005E5509" w:rsidRPr="004D5537">
              <w:rPr>
                <w:rFonts w:eastAsia="標楷體" w:hint="eastAsia"/>
                <w:sz w:val="28"/>
              </w:rPr>
              <w:t>依序</w:t>
            </w:r>
            <w:r w:rsidR="005E5509">
              <w:rPr>
                <w:rFonts w:eastAsia="標楷體" w:hint="eastAsia"/>
                <w:sz w:val="28"/>
              </w:rPr>
              <w:t>扣撥證券</w:t>
            </w:r>
            <w:r w:rsidR="005E5509" w:rsidRPr="004D5537">
              <w:rPr>
                <w:rFonts w:eastAsia="標楷體" w:hint="eastAsia"/>
                <w:sz w:val="28"/>
              </w:rPr>
              <w:t>於客戶</w:t>
            </w:r>
            <w:proofErr w:type="gramStart"/>
            <w:r w:rsidR="005E5509" w:rsidRPr="004D5537">
              <w:rPr>
                <w:rFonts w:eastAsia="標楷體" w:hint="eastAsia"/>
                <w:sz w:val="28"/>
              </w:rPr>
              <w:t>明細帳</w:t>
            </w:r>
            <w:proofErr w:type="gramEnd"/>
            <w:r w:rsidR="005E5509" w:rsidRPr="004D5537">
              <w:rPr>
                <w:rFonts w:eastAsia="標楷體" w:hint="eastAsia"/>
                <w:sz w:val="28"/>
              </w:rPr>
              <w:t>、證券商待交割帳及證交所劃撥交割帳戶之兩階段餘額交割</w:t>
            </w:r>
            <w:r w:rsidR="005E5509">
              <w:rPr>
                <w:rFonts w:eastAsia="標楷體" w:hint="eastAsia"/>
                <w:sz w:val="28"/>
              </w:rPr>
              <w:t>方式</w:t>
            </w:r>
            <w:r w:rsidR="005E5509" w:rsidRPr="004D5537">
              <w:rPr>
                <w:rFonts w:eastAsia="標楷體" w:hint="eastAsia"/>
                <w:sz w:val="28"/>
              </w:rPr>
              <w:t>，</w:t>
            </w:r>
            <w:r w:rsidR="005E5509">
              <w:rPr>
                <w:rFonts w:eastAsia="標楷體" w:hint="eastAsia"/>
                <w:sz w:val="28"/>
              </w:rPr>
              <w:t>以明確表彰證券在交割流程</w:t>
            </w:r>
            <w:r w:rsidR="005E5509" w:rsidRPr="004D5537">
              <w:rPr>
                <w:rFonts w:eastAsia="標楷體" w:hint="eastAsia"/>
                <w:sz w:val="28"/>
              </w:rPr>
              <w:t>中的</w:t>
            </w:r>
            <w:r w:rsidR="005E5509">
              <w:rPr>
                <w:rFonts w:eastAsia="標楷體" w:hint="eastAsia"/>
                <w:sz w:val="28"/>
              </w:rPr>
              <w:t>歸屬</w:t>
            </w:r>
            <w:r w:rsidR="005E5509" w:rsidRPr="004D5537">
              <w:rPr>
                <w:rFonts w:eastAsia="標楷體" w:hint="eastAsia"/>
                <w:sz w:val="28"/>
              </w:rPr>
              <w:t>狀態</w:t>
            </w:r>
            <w:r w:rsidR="005E5509">
              <w:rPr>
                <w:rFonts w:eastAsia="標楷體" w:hint="eastAsia"/>
                <w:sz w:val="28"/>
              </w:rPr>
              <w:t>，是相當重要的</w:t>
            </w:r>
            <w:r w:rsidR="005E5509" w:rsidRPr="004D5537">
              <w:rPr>
                <w:rFonts w:eastAsia="標楷體" w:hint="eastAsia"/>
                <w:sz w:val="28"/>
              </w:rPr>
              <w:t>。</w:t>
            </w:r>
            <w:r w:rsidR="006E268D">
              <w:rPr>
                <w:rFonts w:eastAsia="標楷體" w:hint="eastAsia"/>
                <w:sz w:val="28"/>
              </w:rPr>
              <w:t>因此，</w:t>
            </w:r>
            <w:r w:rsidR="007F78D5" w:rsidRPr="001D6A28">
              <w:rPr>
                <w:rFonts w:eastAsia="標楷體" w:hint="eastAsia"/>
                <w:color w:val="000000" w:themeColor="text1"/>
                <w:sz w:val="28"/>
                <w:szCs w:val="28"/>
              </w:rPr>
              <w:t>基於消除法規與實務面的歧異，與依循多數市場做法的國際趨勢</w:t>
            </w:r>
            <w:r w:rsidR="008E4954">
              <w:rPr>
                <w:rFonts w:eastAsia="標楷體" w:hint="eastAsia"/>
                <w:color w:val="000000" w:themeColor="text1"/>
                <w:sz w:val="28"/>
                <w:szCs w:val="28"/>
              </w:rPr>
              <w:t>，</w:t>
            </w:r>
            <w:r w:rsidR="007F78D5" w:rsidRPr="001D6A28">
              <w:rPr>
                <w:rFonts w:eastAsia="標楷體" w:hint="eastAsia"/>
                <w:color w:val="000000" w:themeColor="text1"/>
                <w:sz w:val="28"/>
                <w:szCs w:val="28"/>
              </w:rPr>
              <w:t>建議集保公司在考量</w:t>
            </w:r>
            <w:r w:rsidR="007F78D5" w:rsidRPr="001D6A28">
              <w:rPr>
                <w:rFonts w:eastAsia="標楷體" w:hint="eastAsia"/>
                <w:sz w:val="28"/>
                <w:szCs w:val="28"/>
              </w:rPr>
              <w:t>對投資人的保護、對證券商與集保公司的作業成本，與調整後對交易前台的影響等因素下，</w:t>
            </w:r>
            <w:r w:rsidR="007F78D5" w:rsidRPr="001D6A28">
              <w:rPr>
                <w:rFonts w:eastAsia="標楷體" w:hint="eastAsia"/>
                <w:color w:val="000000" w:themeColor="text1"/>
                <w:sz w:val="28"/>
                <w:szCs w:val="28"/>
              </w:rPr>
              <w:t>評估證券</w:t>
            </w:r>
            <w:r w:rsidR="007F78D5" w:rsidRPr="001D6A28">
              <w:rPr>
                <w:rFonts w:eastAsia="標楷體" w:hint="eastAsia"/>
                <w:sz w:val="28"/>
                <w:szCs w:val="28"/>
              </w:rPr>
              <w:t>交割</w:t>
            </w:r>
            <w:r w:rsidR="007F78D5" w:rsidRPr="001D6A28">
              <w:rPr>
                <w:rFonts w:eastAsia="標楷體" w:hint="eastAsia"/>
                <w:color w:val="000000" w:themeColor="text1"/>
                <w:sz w:val="28"/>
                <w:szCs w:val="28"/>
              </w:rPr>
              <w:t>實務</w:t>
            </w:r>
            <w:r w:rsidR="007F78D5" w:rsidRPr="001D6A28">
              <w:rPr>
                <w:rFonts w:eastAsia="標楷體" w:hint="eastAsia"/>
                <w:sz w:val="28"/>
                <w:szCs w:val="28"/>
              </w:rPr>
              <w:t>作業由一段式</w:t>
            </w:r>
            <w:r w:rsidR="006E268D">
              <w:rPr>
                <w:rFonts w:eastAsia="標楷體" w:hint="eastAsia"/>
                <w:sz w:val="28"/>
                <w:szCs w:val="28"/>
              </w:rPr>
              <w:t>總額交割，</w:t>
            </w:r>
            <w:r w:rsidR="007F78D5" w:rsidRPr="001D6A28">
              <w:rPr>
                <w:rFonts w:eastAsia="標楷體" w:hint="eastAsia"/>
                <w:sz w:val="28"/>
                <w:szCs w:val="28"/>
              </w:rPr>
              <w:t>調整為兩段式</w:t>
            </w:r>
            <w:r w:rsidR="006E268D" w:rsidRPr="00681037">
              <w:rPr>
                <w:rFonts w:eastAsia="標楷體" w:hint="eastAsia"/>
                <w:bCs/>
                <w:sz w:val="28"/>
              </w:rPr>
              <w:t>餘額交割</w:t>
            </w:r>
            <w:r w:rsidR="007F78D5" w:rsidRPr="001D6A28">
              <w:rPr>
                <w:rFonts w:eastAsia="標楷體" w:hint="eastAsia"/>
                <w:sz w:val="28"/>
                <w:szCs w:val="28"/>
              </w:rPr>
              <w:t>的</w:t>
            </w:r>
            <w:r w:rsidR="007F78D5" w:rsidRPr="001D6A28">
              <w:rPr>
                <w:rFonts w:eastAsia="標楷體" w:hint="eastAsia"/>
                <w:color w:val="000000" w:themeColor="text1"/>
                <w:sz w:val="28"/>
                <w:szCs w:val="28"/>
              </w:rPr>
              <w:t>可行性，</w:t>
            </w:r>
            <w:r w:rsidR="005E5509">
              <w:rPr>
                <w:rFonts w:eastAsia="標楷體" w:hint="eastAsia"/>
                <w:color w:val="000000" w:themeColor="text1"/>
                <w:sz w:val="28"/>
                <w:szCs w:val="28"/>
              </w:rPr>
              <w:t>並</w:t>
            </w:r>
            <w:r w:rsidR="0097055D" w:rsidRPr="00681037">
              <w:rPr>
                <w:rFonts w:eastAsia="標楷體" w:hint="eastAsia"/>
                <w:bCs/>
                <w:sz w:val="28"/>
              </w:rPr>
              <w:t>與周邊相關機構共同</w:t>
            </w:r>
            <w:r w:rsidR="0097055D">
              <w:rPr>
                <w:rFonts w:eastAsia="標楷體" w:hint="eastAsia"/>
                <w:bCs/>
                <w:sz w:val="28"/>
              </w:rPr>
              <w:t>釐清</w:t>
            </w:r>
            <w:r w:rsidR="007F78D5" w:rsidRPr="001D6A28">
              <w:rPr>
                <w:rFonts w:ascii="標楷體" w:eastAsia="標楷體" w:cs="標楷體" w:hint="eastAsia"/>
                <w:kern w:val="0"/>
                <w:sz w:val="28"/>
                <w:szCs w:val="28"/>
                <w:lang w:val="zh-TW"/>
              </w:rPr>
              <w:t>可能的</w:t>
            </w:r>
            <w:r w:rsidR="007F78D5" w:rsidRPr="001D6A28">
              <w:rPr>
                <w:rFonts w:ascii="標楷體" w:eastAsia="標楷體" w:hAnsi="標楷體" w:hint="eastAsia"/>
                <w:sz w:val="28"/>
                <w:szCs w:val="28"/>
              </w:rPr>
              <w:t>系統調整方式</w:t>
            </w:r>
            <w:r w:rsidR="008E4954" w:rsidRPr="00681037">
              <w:rPr>
                <w:rFonts w:eastAsia="標楷體" w:hint="eastAsia"/>
                <w:bCs/>
                <w:sz w:val="28"/>
              </w:rPr>
              <w:t>，以確保將系統調整</w:t>
            </w:r>
            <w:r w:rsidR="008E4954">
              <w:rPr>
                <w:rFonts w:eastAsia="標楷體" w:hint="eastAsia"/>
                <w:bCs/>
                <w:sz w:val="28"/>
              </w:rPr>
              <w:t>的</w:t>
            </w:r>
            <w:r w:rsidR="008E4954" w:rsidRPr="00681037">
              <w:rPr>
                <w:rFonts w:eastAsia="標楷體" w:hint="eastAsia"/>
                <w:bCs/>
                <w:sz w:val="28"/>
              </w:rPr>
              <w:t>作業風險降至最低</w:t>
            </w:r>
            <w:r w:rsidR="008E4954">
              <w:rPr>
                <w:rFonts w:eastAsia="標楷體" w:hint="eastAsia"/>
                <w:bCs/>
                <w:sz w:val="28"/>
              </w:rPr>
              <w:t>程度</w:t>
            </w:r>
            <w:r w:rsidR="008E4954" w:rsidRPr="00681037">
              <w:rPr>
                <w:rFonts w:eastAsia="標楷體" w:hint="eastAsia"/>
                <w:bCs/>
                <w:sz w:val="28"/>
              </w:rPr>
              <w:t>。</w:t>
            </w:r>
            <w:r w:rsidR="001C19D8">
              <w:rPr>
                <w:rFonts w:eastAsia="標楷體" w:hint="eastAsia"/>
                <w:bCs/>
                <w:sz w:val="28"/>
              </w:rPr>
              <w:t>這樣的調整過程，</w:t>
            </w:r>
            <w:r w:rsidR="008E4954">
              <w:rPr>
                <w:rFonts w:eastAsia="標楷體" w:hint="eastAsia"/>
                <w:bCs/>
                <w:sz w:val="28"/>
              </w:rPr>
              <w:t>對整體市場而言</w:t>
            </w:r>
            <w:r w:rsidR="001C19D8">
              <w:rPr>
                <w:rFonts w:eastAsia="標楷體" w:hint="eastAsia"/>
                <w:bCs/>
                <w:sz w:val="28"/>
              </w:rPr>
              <w:t>，恐將耗費相當成本。但若</w:t>
            </w:r>
            <w:r w:rsidR="008E4954" w:rsidRPr="00D64E00">
              <w:rPr>
                <w:rFonts w:eastAsia="標楷體" w:hint="eastAsia"/>
                <w:bCs/>
                <w:sz w:val="28"/>
              </w:rPr>
              <w:t>能加以落實，配合交易端對投資人管理的放寬，</w:t>
            </w:r>
            <w:r w:rsidR="001C19D8">
              <w:rPr>
                <w:rFonts w:eastAsia="標楷體" w:hint="eastAsia"/>
                <w:bCs/>
                <w:sz w:val="28"/>
              </w:rPr>
              <w:t>未來</w:t>
            </w:r>
            <w:r w:rsidR="0097055D">
              <w:rPr>
                <w:rFonts w:eastAsia="標楷體" w:hint="eastAsia"/>
                <w:bCs/>
                <w:sz w:val="28"/>
              </w:rPr>
              <w:t>證券</w:t>
            </w:r>
            <w:r w:rsidR="008E4954" w:rsidRPr="00D64E00">
              <w:rPr>
                <w:rFonts w:eastAsia="標楷體" w:hint="eastAsia"/>
                <w:bCs/>
                <w:sz w:val="28"/>
              </w:rPr>
              <w:t>兩段式交割作業的實施，將可使我國的交易及後續之</w:t>
            </w:r>
            <w:r w:rsidR="008E4954">
              <w:rPr>
                <w:rFonts w:eastAsia="標楷體" w:hint="eastAsia"/>
                <w:bCs/>
                <w:sz w:val="28"/>
              </w:rPr>
              <w:t>結算交割制度</w:t>
            </w:r>
            <w:r w:rsidR="001C19D8">
              <w:rPr>
                <w:rFonts w:eastAsia="標楷體" w:hint="eastAsia"/>
                <w:bCs/>
                <w:sz w:val="28"/>
              </w:rPr>
              <w:t>，</w:t>
            </w:r>
            <w:r w:rsidR="008E4954">
              <w:rPr>
                <w:rFonts w:eastAsia="標楷體" w:hint="eastAsia"/>
                <w:bCs/>
                <w:sz w:val="28"/>
              </w:rPr>
              <w:t>呈現出不同的樣貌。</w:t>
            </w:r>
          </w:p>
        </w:tc>
      </w:tr>
    </w:tbl>
    <w:p w:rsidR="00C81064" w:rsidRPr="00FF27E8" w:rsidRDefault="00C81064">
      <w:pPr>
        <w:rPr>
          <w:rFonts w:ascii="Times New Roman" w:hAnsi="Times New Roman"/>
        </w:rPr>
      </w:pPr>
    </w:p>
    <w:sectPr w:rsidR="00C81064" w:rsidRPr="00FF27E8" w:rsidSect="00C81064">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1D" w:rsidRDefault="006F0D1D" w:rsidP="00E805D9">
      <w:r>
        <w:separator/>
      </w:r>
    </w:p>
  </w:endnote>
  <w:endnote w:type="continuationSeparator" w:id="0">
    <w:p w:rsidR="006F0D1D" w:rsidRDefault="006F0D1D" w:rsidP="00E80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688"/>
      <w:docPartObj>
        <w:docPartGallery w:val="Page Numbers (Bottom of Page)"/>
        <w:docPartUnique/>
      </w:docPartObj>
    </w:sdtPr>
    <w:sdtContent>
      <w:p w:rsidR="00E805D9" w:rsidRDefault="00B67D63">
        <w:pPr>
          <w:pStyle w:val="a8"/>
          <w:jc w:val="center"/>
        </w:pPr>
        <w:fldSimple w:instr=" PAGE   \* MERGEFORMAT ">
          <w:r w:rsidR="002E1E6C" w:rsidRPr="002E1E6C">
            <w:rPr>
              <w:noProof/>
              <w:lang w:val="zh-TW"/>
            </w:rPr>
            <w:t>2</w:t>
          </w:r>
        </w:fldSimple>
      </w:p>
    </w:sdtContent>
  </w:sdt>
  <w:p w:rsidR="00E805D9" w:rsidRDefault="00E805D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1D" w:rsidRDefault="006F0D1D" w:rsidP="00E805D9">
      <w:r>
        <w:separator/>
      </w:r>
    </w:p>
  </w:footnote>
  <w:footnote w:type="continuationSeparator" w:id="0">
    <w:p w:rsidR="006F0D1D" w:rsidRDefault="006F0D1D" w:rsidP="00E80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563"/>
    <w:multiLevelType w:val="hybridMultilevel"/>
    <w:tmpl w:val="4A480DB6"/>
    <w:lvl w:ilvl="0" w:tplc="5CF24D56">
      <w:start w:val="1"/>
      <w:numFmt w:val="decimal"/>
      <w:lvlText w:val="%1."/>
      <w:lvlJc w:val="left"/>
      <w:pPr>
        <w:ind w:left="926" w:hanging="360"/>
      </w:pPr>
      <w:rPr>
        <w:rFonts w:ascii="Times New Roman" w:hAnsi="Times New Roman"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129507FE"/>
    <w:multiLevelType w:val="hybridMultilevel"/>
    <w:tmpl w:val="1BC6F408"/>
    <w:lvl w:ilvl="0" w:tplc="F0826EFC">
      <w:start w:val="1"/>
      <w:numFmt w:val="taiwaneseCountingThousand"/>
      <w:lvlText w:val="（%1）"/>
      <w:lvlJc w:val="left"/>
      <w:pPr>
        <w:ind w:left="885" w:hanging="885"/>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8911F2"/>
    <w:multiLevelType w:val="hybridMultilevel"/>
    <w:tmpl w:val="9ECA3F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EC40D2"/>
    <w:multiLevelType w:val="hybridMultilevel"/>
    <w:tmpl w:val="A6EE6CDE"/>
    <w:lvl w:ilvl="0" w:tplc="59E41C5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3A436165"/>
    <w:multiLevelType w:val="hybridMultilevel"/>
    <w:tmpl w:val="98DCB8B2"/>
    <w:lvl w:ilvl="0" w:tplc="104C890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3A10BA9"/>
    <w:multiLevelType w:val="hybridMultilevel"/>
    <w:tmpl w:val="FCD4F204"/>
    <w:lvl w:ilvl="0" w:tplc="C4207474">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B3B"/>
    <w:rsid w:val="00067859"/>
    <w:rsid w:val="000B5005"/>
    <w:rsid w:val="000B60CB"/>
    <w:rsid w:val="000D17E7"/>
    <w:rsid w:val="001321E3"/>
    <w:rsid w:val="001A0989"/>
    <w:rsid w:val="001B6953"/>
    <w:rsid w:val="001C19D8"/>
    <w:rsid w:val="001C65C5"/>
    <w:rsid w:val="001D6A28"/>
    <w:rsid w:val="001E47FD"/>
    <w:rsid w:val="001F127D"/>
    <w:rsid w:val="0021481A"/>
    <w:rsid w:val="00224571"/>
    <w:rsid w:val="00237A7A"/>
    <w:rsid w:val="00293808"/>
    <w:rsid w:val="002A6AD1"/>
    <w:rsid w:val="002E1E6C"/>
    <w:rsid w:val="002E5B3B"/>
    <w:rsid w:val="00445391"/>
    <w:rsid w:val="004B276E"/>
    <w:rsid w:val="00533D8E"/>
    <w:rsid w:val="00541234"/>
    <w:rsid w:val="00596AD2"/>
    <w:rsid w:val="005C3F9E"/>
    <w:rsid w:val="005E5509"/>
    <w:rsid w:val="0060249C"/>
    <w:rsid w:val="006A72AD"/>
    <w:rsid w:val="006D61A5"/>
    <w:rsid w:val="006E268D"/>
    <w:rsid w:val="006F0D1D"/>
    <w:rsid w:val="00701AF4"/>
    <w:rsid w:val="00723287"/>
    <w:rsid w:val="007356CB"/>
    <w:rsid w:val="00741E46"/>
    <w:rsid w:val="00746292"/>
    <w:rsid w:val="00764323"/>
    <w:rsid w:val="007C0B10"/>
    <w:rsid w:val="007D3D36"/>
    <w:rsid w:val="007F78D5"/>
    <w:rsid w:val="00862933"/>
    <w:rsid w:val="008E4954"/>
    <w:rsid w:val="008F2A5E"/>
    <w:rsid w:val="008F6ABC"/>
    <w:rsid w:val="0091287A"/>
    <w:rsid w:val="0094306D"/>
    <w:rsid w:val="00944917"/>
    <w:rsid w:val="0097055D"/>
    <w:rsid w:val="00982247"/>
    <w:rsid w:val="009E75AF"/>
    <w:rsid w:val="009F27F8"/>
    <w:rsid w:val="009F3E7B"/>
    <w:rsid w:val="00A535DC"/>
    <w:rsid w:val="00A74728"/>
    <w:rsid w:val="00A75B60"/>
    <w:rsid w:val="00A77959"/>
    <w:rsid w:val="00A818DA"/>
    <w:rsid w:val="00AA6B94"/>
    <w:rsid w:val="00AC1EE8"/>
    <w:rsid w:val="00B402C5"/>
    <w:rsid w:val="00B67D63"/>
    <w:rsid w:val="00B810E8"/>
    <w:rsid w:val="00BC2F58"/>
    <w:rsid w:val="00BC78EC"/>
    <w:rsid w:val="00BD417C"/>
    <w:rsid w:val="00C36F27"/>
    <w:rsid w:val="00C81064"/>
    <w:rsid w:val="00CB0FFD"/>
    <w:rsid w:val="00CF7886"/>
    <w:rsid w:val="00D10432"/>
    <w:rsid w:val="00D55AFA"/>
    <w:rsid w:val="00DB0C1F"/>
    <w:rsid w:val="00DC1868"/>
    <w:rsid w:val="00E805D9"/>
    <w:rsid w:val="00E843EB"/>
    <w:rsid w:val="00EB43CA"/>
    <w:rsid w:val="00EC5333"/>
    <w:rsid w:val="00F12F40"/>
    <w:rsid w:val="00F40A2E"/>
    <w:rsid w:val="00FC447B"/>
    <w:rsid w:val="00FF27E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6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B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semiHidden/>
    <w:rsid w:val="002E5B3B"/>
    <w:pPr>
      <w:spacing w:line="360" w:lineRule="exact"/>
      <w:ind w:firstLineChars="230" w:firstLine="598"/>
      <w:jc w:val="both"/>
    </w:pPr>
    <w:rPr>
      <w:rFonts w:ascii="標楷體" w:eastAsia="標楷體" w:hAnsi="標楷體" w:cs="Times New Roman"/>
      <w:sz w:val="26"/>
      <w:szCs w:val="20"/>
    </w:rPr>
  </w:style>
  <w:style w:type="character" w:customStyle="1" w:styleId="a5">
    <w:name w:val="本文縮排 字元"/>
    <w:basedOn w:val="a0"/>
    <w:link w:val="a4"/>
    <w:semiHidden/>
    <w:rsid w:val="002E5B3B"/>
    <w:rPr>
      <w:rFonts w:ascii="標楷體" w:eastAsia="標楷體" w:hAnsi="標楷體" w:cs="Times New Roman"/>
      <w:sz w:val="26"/>
      <w:szCs w:val="20"/>
    </w:rPr>
  </w:style>
  <w:style w:type="character" w:customStyle="1" w:styleId="gray121">
    <w:name w:val="gray121"/>
    <w:basedOn w:val="a0"/>
    <w:rsid w:val="002E5B3B"/>
    <w:rPr>
      <w:rFonts w:ascii="Verdana" w:hAnsi="Verdana" w:cs="Times New Roman"/>
      <w:color w:val="666666"/>
      <w:sz w:val="18"/>
      <w:szCs w:val="18"/>
      <w:u w:val="none"/>
      <w:effect w:val="none"/>
    </w:rPr>
  </w:style>
  <w:style w:type="paragraph" w:styleId="a6">
    <w:name w:val="header"/>
    <w:basedOn w:val="a"/>
    <w:link w:val="a7"/>
    <w:uiPriority w:val="99"/>
    <w:semiHidden/>
    <w:unhideWhenUsed/>
    <w:rsid w:val="00E805D9"/>
    <w:pPr>
      <w:tabs>
        <w:tab w:val="center" w:pos="4153"/>
        <w:tab w:val="right" w:pos="8306"/>
      </w:tabs>
      <w:snapToGrid w:val="0"/>
    </w:pPr>
    <w:rPr>
      <w:sz w:val="20"/>
      <w:szCs w:val="20"/>
    </w:rPr>
  </w:style>
  <w:style w:type="character" w:customStyle="1" w:styleId="a7">
    <w:name w:val="頁首 字元"/>
    <w:basedOn w:val="a0"/>
    <w:link w:val="a6"/>
    <w:uiPriority w:val="99"/>
    <w:semiHidden/>
    <w:rsid w:val="00E805D9"/>
    <w:rPr>
      <w:sz w:val="20"/>
      <w:szCs w:val="20"/>
    </w:rPr>
  </w:style>
  <w:style w:type="paragraph" w:styleId="a8">
    <w:name w:val="footer"/>
    <w:basedOn w:val="a"/>
    <w:link w:val="a9"/>
    <w:uiPriority w:val="99"/>
    <w:unhideWhenUsed/>
    <w:rsid w:val="00E805D9"/>
    <w:pPr>
      <w:tabs>
        <w:tab w:val="center" w:pos="4153"/>
        <w:tab w:val="right" w:pos="8306"/>
      </w:tabs>
      <w:snapToGrid w:val="0"/>
    </w:pPr>
    <w:rPr>
      <w:sz w:val="20"/>
      <w:szCs w:val="20"/>
    </w:rPr>
  </w:style>
  <w:style w:type="character" w:customStyle="1" w:styleId="a9">
    <w:name w:val="頁尾 字元"/>
    <w:basedOn w:val="a0"/>
    <w:link w:val="a8"/>
    <w:uiPriority w:val="99"/>
    <w:rsid w:val="00E805D9"/>
    <w:rPr>
      <w:sz w:val="20"/>
      <w:szCs w:val="20"/>
    </w:rPr>
  </w:style>
  <w:style w:type="paragraph" w:styleId="aa">
    <w:name w:val="footnote text"/>
    <w:aliases w:val="註腳文字 字元1,註腳文字 字元 字元1,註腳文字 字元1 字元 字元,註腳文字 字元 字元1 字元 字元,註腳文字 字元 字元 字元 字元 字元 字元,註腳文字 字元1 字元 字元 字元 字元,註腳文字 字元 字元1 字元 字元 字元 字元,註腳文字 字元1 字元1 字元 字元,註腳文字 字元 字元 字元1 字元 字元,註腳文字 字元 字元1 字元1 字元 字元,註腳文字 字元 字元2 字元,註腳文字 字元1 字元 字元1,註腳文字 字元 字元1 字元 字元1"/>
    <w:basedOn w:val="a"/>
    <w:link w:val="ab"/>
    <w:uiPriority w:val="99"/>
    <w:rsid w:val="009F27F8"/>
    <w:pPr>
      <w:snapToGrid w:val="0"/>
    </w:pPr>
    <w:rPr>
      <w:rFonts w:ascii="Times New Roman" w:eastAsia="新細明體" w:hAnsi="Times New Roman" w:cs="Times New Roman"/>
      <w:sz w:val="20"/>
      <w:szCs w:val="20"/>
      <w:lang w:eastAsia="ja-JP"/>
    </w:rPr>
  </w:style>
  <w:style w:type="character" w:customStyle="1" w:styleId="ab">
    <w:name w:val="註腳文字 字元"/>
    <w:aliases w:val="註腳文字 字元1 字元,註腳文字 字元 字元1 字元,註腳文字 字元1 字元 字元 字元,註腳文字 字元 字元1 字元 字元 字元,註腳文字 字元 字元 字元 字元 字元 字元 字元,註腳文字 字元1 字元 字元 字元 字元 字元,註腳文字 字元 字元1 字元 字元 字元 字元 字元,註腳文字 字元1 字元1 字元 字元 字元,註腳文字 字元 字元 字元1 字元 字元 字元,註腳文字 字元 字元1 字元1 字元 字元 字元,註腳文字 字元 字元2 字元 字元"/>
    <w:basedOn w:val="a0"/>
    <w:link w:val="aa"/>
    <w:uiPriority w:val="99"/>
    <w:rsid w:val="009F27F8"/>
    <w:rPr>
      <w:rFonts w:ascii="Times New Roman" w:eastAsia="新細明體" w:hAnsi="Times New Roman" w:cs="Times New Roman"/>
      <w:sz w:val="20"/>
      <w:szCs w:val="20"/>
      <w:lang w:eastAsia="ja-JP"/>
    </w:rPr>
  </w:style>
  <w:style w:type="character" w:styleId="ac">
    <w:name w:val="footnote reference"/>
    <w:aliases w:val="FR"/>
    <w:basedOn w:val="a0"/>
    <w:uiPriority w:val="99"/>
    <w:rsid w:val="009F27F8"/>
    <w:rPr>
      <w:vertAlign w:val="superscript"/>
    </w:rPr>
  </w:style>
  <w:style w:type="paragraph" w:styleId="ad">
    <w:name w:val="Balloon Text"/>
    <w:basedOn w:val="a"/>
    <w:link w:val="ae"/>
    <w:uiPriority w:val="99"/>
    <w:semiHidden/>
    <w:unhideWhenUsed/>
    <w:rsid w:val="006A72A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A72AD"/>
    <w:rPr>
      <w:rFonts w:asciiTheme="majorHAnsi" w:eastAsiaTheme="majorEastAsia" w:hAnsiTheme="majorHAnsi" w:cstheme="majorBidi"/>
      <w:sz w:val="18"/>
      <w:szCs w:val="18"/>
    </w:rPr>
  </w:style>
  <w:style w:type="paragraph" w:styleId="af">
    <w:name w:val="List Paragraph"/>
    <w:basedOn w:val="a"/>
    <w:uiPriority w:val="34"/>
    <w:qFormat/>
    <w:rsid w:val="0091287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5%9B%BD%E9%99%85%E8%AF%81%E5%88%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E2F0-4B08-42E0-B300-F8CF113A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1523</Characters>
  <Application>Microsoft Office Word</Application>
  <DocSecurity>0</DocSecurity>
  <Lines>12</Lines>
  <Paragraphs>3</Paragraphs>
  <ScaleCrop>false</ScaleCrop>
  <Company>TWSE</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1018</dc:creator>
  <cp:lastModifiedBy>1018</cp:lastModifiedBy>
  <cp:revision>2</cp:revision>
  <dcterms:created xsi:type="dcterms:W3CDTF">2013-12-24T06:13:00Z</dcterms:created>
  <dcterms:modified xsi:type="dcterms:W3CDTF">2013-12-24T06:13:00Z</dcterms:modified>
</cp:coreProperties>
</file>