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54"/>
        <w:gridCol w:w="3795"/>
        <w:gridCol w:w="125"/>
        <w:gridCol w:w="1346"/>
        <w:gridCol w:w="2214"/>
      </w:tblGrid>
      <w:tr w:rsidR="00095CB9">
        <w:trPr>
          <w:trHeight w:val="368"/>
        </w:trPr>
        <w:tc>
          <w:tcPr>
            <w:tcW w:w="2914" w:type="pct"/>
            <w:gridSpan w:val="2"/>
            <w:tcBorders>
              <w:bottom w:val="nil"/>
              <w:right w:val="nil"/>
            </w:tcBorders>
            <w:vAlign w:val="center"/>
          </w:tcPr>
          <w:p w:rsidR="00095CB9" w:rsidRDefault="00095CB9">
            <w:pPr>
              <w:jc w:val="center"/>
              <w:rPr>
                <w:rFonts w:eastAsia="華康楷書體W5"/>
                <w:sz w:val="28"/>
                <w:szCs w:val="28"/>
              </w:rPr>
            </w:pPr>
            <w:r>
              <w:rPr>
                <w:rFonts w:eastAsia="華康楷書體W5" w:hint="eastAsia"/>
                <w:sz w:val="28"/>
                <w:szCs w:val="28"/>
              </w:rPr>
              <w:t>臺灣集中保管結算所股份有限公司</w:t>
            </w:r>
          </w:p>
        </w:tc>
        <w:tc>
          <w:tcPr>
            <w:tcW w:w="2086" w:type="pct"/>
            <w:gridSpan w:val="3"/>
            <w:tcBorders>
              <w:left w:val="nil"/>
              <w:bottom w:val="nil"/>
            </w:tcBorders>
            <w:vAlign w:val="bottom"/>
          </w:tcPr>
          <w:p w:rsidR="00095CB9" w:rsidRDefault="00095CB9">
            <w:pPr>
              <w:jc w:val="both"/>
              <w:rPr>
                <w:rFonts w:eastAsia="華康楷書體W5"/>
                <w:sz w:val="28"/>
                <w:szCs w:val="28"/>
              </w:rPr>
            </w:pPr>
            <w:r>
              <w:rPr>
                <w:rFonts w:eastAsia="華康楷書體W5" w:hint="eastAsia"/>
                <w:sz w:val="28"/>
                <w:szCs w:val="28"/>
              </w:rPr>
              <w:t>填表人：</w:t>
            </w:r>
            <w:smartTag w:uri="urn:schemas-microsoft-com:office:smarttags" w:element="PersonName">
              <w:r>
                <w:rPr>
                  <w:rFonts w:eastAsia="華康楷書體W5" w:hint="eastAsia"/>
                  <w:sz w:val="28"/>
                  <w:szCs w:val="28"/>
                </w:rPr>
                <w:t>蔡宗穎</w:t>
              </w:r>
            </w:smartTag>
          </w:p>
        </w:tc>
      </w:tr>
      <w:tr w:rsidR="00095CB9">
        <w:trPr>
          <w:trHeight w:val="367"/>
        </w:trPr>
        <w:tc>
          <w:tcPr>
            <w:tcW w:w="2914" w:type="pct"/>
            <w:gridSpan w:val="2"/>
            <w:tcBorders>
              <w:top w:val="nil"/>
              <w:right w:val="nil"/>
            </w:tcBorders>
            <w:vAlign w:val="center"/>
          </w:tcPr>
          <w:p w:rsidR="00095CB9" w:rsidRDefault="00095CB9">
            <w:pPr>
              <w:jc w:val="center"/>
              <w:rPr>
                <w:rFonts w:eastAsia="華康楷書體W5"/>
                <w:sz w:val="28"/>
                <w:szCs w:val="28"/>
              </w:rPr>
            </w:pPr>
            <w:r>
              <w:rPr>
                <w:rFonts w:eastAsia="華康楷書體W5"/>
                <w:sz w:val="28"/>
                <w:szCs w:val="28"/>
              </w:rPr>
              <w:t>102</w:t>
            </w:r>
            <w:r>
              <w:rPr>
                <w:rFonts w:eastAsia="華康楷書體W5" w:hint="eastAsia"/>
                <w:sz w:val="28"/>
                <w:szCs w:val="28"/>
              </w:rPr>
              <w:t>年度研究報告提要表</w:t>
            </w:r>
          </w:p>
        </w:tc>
        <w:tc>
          <w:tcPr>
            <w:tcW w:w="2086" w:type="pct"/>
            <w:gridSpan w:val="3"/>
            <w:tcBorders>
              <w:top w:val="nil"/>
              <w:left w:val="nil"/>
            </w:tcBorders>
            <w:vAlign w:val="bottom"/>
          </w:tcPr>
          <w:p w:rsidR="00095CB9" w:rsidRDefault="00095CB9">
            <w:pPr>
              <w:jc w:val="both"/>
              <w:rPr>
                <w:rFonts w:eastAsia="華康楷書體W5"/>
                <w:sz w:val="28"/>
                <w:szCs w:val="28"/>
              </w:rPr>
            </w:pPr>
            <w:r>
              <w:rPr>
                <w:rFonts w:eastAsia="華康楷書體W5" w:hint="eastAsia"/>
                <w:sz w:val="28"/>
                <w:szCs w:val="28"/>
              </w:rPr>
              <w:t>填表日期：</w:t>
            </w:r>
            <w:r>
              <w:rPr>
                <w:rFonts w:eastAsia="華康楷書體W5"/>
                <w:sz w:val="28"/>
                <w:szCs w:val="28"/>
              </w:rPr>
              <w:t>102</w:t>
            </w:r>
            <w:r>
              <w:rPr>
                <w:rFonts w:eastAsia="華康楷書體W5" w:hint="eastAsia"/>
                <w:sz w:val="28"/>
                <w:szCs w:val="28"/>
              </w:rPr>
              <w:t>年</w:t>
            </w:r>
            <w:r>
              <w:rPr>
                <w:rFonts w:eastAsia="華康楷書體W5"/>
                <w:sz w:val="28"/>
                <w:szCs w:val="28"/>
              </w:rPr>
              <w:t>12</w:t>
            </w:r>
            <w:r>
              <w:rPr>
                <w:rFonts w:eastAsia="華康楷書體W5" w:hint="eastAsia"/>
                <w:sz w:val="28"/>
                <w:szCs w:val="28"/>
              </w:rPr>
              <w:t>月</w:t>
            </w:r>
            <w:r>
              <w:rPr>
                <w:rFonts w:eastAsia="華康楷書體W5"/>
                <w:sz w:val="28"/>
                <w:szCs w:val="28"/>
              </w:rPr>
              <w:t>27</w:t>
            </w:r>
            <w:r>
              <w:rPr>
                <w:rFonts w:eastAsia="華康楷書體W5" w:hint="eastAsia"/>
                <w:sz w:val="28"/>
                <w:szCs w:val="28"/>
              </w:rPr>
              <w:t>日</w:t>
            </w:r>
          </w:p>
        </w:tc>
      </w:tr>
      <w:tr w:rsidR="00095CB9">
        <w:trPr>
          <w:trHeight w:val="493"/>
        </w:trPr>
        <w:tc>
          <w:tcPr>
            <w:tcW w:w="766" w:type="pct"/>
            <w:vAlign w:val="center"/>
          </w:tcPr>
          <w:p w:rsidR="00095CB9" w:rsidRDefault="00095CB9">
            <w:pPr>
              <w:jc w:val="center"/>
              <w:rPr>
                <w:rFonts w:eastAsia="華康楷書體W5"/>
                <w:sz w:val="28"/>
                <w:szCs w:val="28"/>
              </w:rPr>
            </w:pPr>
            <w:r>
              <w:rPr>
                <w:rFonts w:eastAsia="華康楷書體W5" w:hint="eastAsia"/>
                <w:sz w:val="28"/>
                <w:szCs w:val="28"/>
              </w:rPr>
              <w:t>研究項目</w:t>
            </w:r>
          </w:p>
        </w:tc>
        <w:tc>
          <w:tcPr>
            <w:tcW w:w="4234" w:type="pct"/>
            <w:gridSpan w:val="4"/>
            <w:vAlign w:val="center"/>
          </w:tcPr>
          <w:p w:rsidR="00095CB9" w:rsidRPr="00BF596A" w:rsidRDefault="00095CB9" w:rsidP="00322C96">
            <w:pPr>
              <w:jc w:val="both"/>
              <w:rPr>
                <w:rFonts w:ascii="標楷體" w:eastAsia="標楷體" w:hAnsi="標楷體"/>
                <w:b/>
                <w:sz w:val="28"/>
                <w:szCs w:val="28"/>
              </w:rPr>
            </w:pPr>
            <w:r w:rsidRPr="00BF596A">
              <w:rPr>
                <w:rFonts w:ascii="標楷體" w:eastAsia="標楷體" w:hAnsi="標楷體" w:hint="eastAsia"/>
                <w:b/>
                <w:sz w:val="28"/>
                <w:szCs w:val="28"/>
              </w:rPr>
              <w:t>兩岸貨幣清算機制建立後集保結算所提供服務之探討</w:t>
            </w:r>
          </w:p>
        </w:tc>
      </w:tr>
      <w:tr w:rsidR="00095CB9">
        <w:tc>
          <w:tcPr>
            <w:tcW w:w="766" w:type="pct"/>
            <w:vAlign w:val="center"/>
          </w:tcPr>
          <w:p w:rsidR="00095CB9" w:rsidRDefault="00095CB9">
            <w:pPr>
              <w:rPr>
                <w:rFonts w:eastAsia="華康楷書體W5"/>
                <w:sz w:val="28"/>
                <w:szCs w:val="28"/>
              </w:rPr>
            </w:pPr>
            <w:r>
              <w:rPr>
                <w:rFonts w:eastAsia="華康楷書體W5" w:hint="eastAsia"/>
                <w:sz w:val="28"/>
                <w:szCs w:val="28"/>
              </w:rPr>
              <w:t>研究單位及</w:t>
            </w:r>
            <w:r>
              <w:rPr>
                <w:rFonts w:eastAsia="華康楷書體W5"/>
                <w:sz w:val="28"/>
                <w:szCs w:val="28"/>
              </w:rPr>
              <w:t xml:space="preserve"> </w:t>
            </w:r>
            <w:r>
              <w:rPr>
                <w:rFonts w:eastAsia="華康楷書體W5" w:hint="eastAsia"/>
                <w:sz w:val="28"/>
                <w:szCs w:val="28"/>
              </w:rPr>
              <w:t>人</w:t>
            </w:r>
            <w:r>
              <w:rPr>
                <w:rFonts w:eastAsia="華康楷書體W5"/>
                <w:sz w:val="28"/>
                <w:szCs w:val="28"/>
              </w:rPr>
              <w:t xml:space="preserve"> </w:t>
            </w:r>
            <w:r>
              <w:rPr>
                <w:rFonts w:eastAsia="華康楷書體W5" w:hint="eastAsia"/>
                <w:sz w:val="28"/>
                <w:szCs w:val="28"/>
              </w:rPr>
              <w:t>員</w:t>
            </w:r>
          </w:p>
        </w:tc>
        <w:tc>
          <w:tcPr>
            <w:tcW w:w="2219" w:type="pct"/>
            <w:gridSpan w:val="2"/>
            <w:vAlign w:val="center"/>
          </w:tcPr>
          <w:p w:rsidR="00095CB9" w:rsidRDefault="00095CB9" w:rsidP="00322C96">
            <w:pPr>
              <w:ind w:leftChars="-26" w:left="1548" w:hangingChars="575" w:hanging="1610"/>
              <w:jc w:val="both"/>
              <w:rPr>
                <w:rFonts w:eastAsia="華康楷書體W5"/>
                <w:sz w:val="28"/>
                <w:szCs w:val="28"/>
              </w:rPr>
            </w:pPr>
            <w:r>
              <w:rPr>
                <w:rFonts w:eastAsia="華康楷書體W5" w:hint="eastAsia"/>
                <w:sz w:val="28"/>
                <w:szCs w:val="28"/>
              </w:rPr>
              <w:t>企劃部：</w:t>
            </w:r>
            <w:smartTag w:uri="urn:schemas-microsoft-com:office:smarttags" w:element="PersonName">
              <w:r>
                <w:rPr>
                  <w:rFonts w:eastAsia="華康楷書體W5" w:hint="eastAsia"/>
                  <w:sz w:val="28"/>
                  <w:szCs w:val="28"/>
                </w:rPr>
                <w:t>陳少燕</w:t>
              </w:r>
            </w:smartTag>
            <w:r>
              <w:rPr>
                <w:rFonts w:eastAsia="華康楷書體W5" w:hint="eastAsia"/>
                <w:sz w:val="28"/>
                <w:szCs w:val="28"/>
              </w:rPr>
              <w:t>、</w:t>
            </w:r>
            <w:smartTag w:uri="urn:schemas-microsoft-com:office:smarttags" w:element="PersonName">
              <w:r>
                <w:rPr>
                  <w:rFonts w:eastAsia="華康楷書體W5" w:hint="eastAsia"/>
                  <w:sz w:val="28"/>
                  <w:szCs w:val="28"/>
                </w:rPr>
                <w:t>簡易賜</w:t>
              </w:r>
            </w:smartTag>
            <w:r>
              <w:rPr>
                <w:rFonts w:eastAsia="華康楷書體W5" w:hint="eastAsia"/>
                <w:sz w:val="28"/>
                <w:szCs w:val="28"/>
              </w:rPr>
              <w:t>、</w:t>
            </w:r>
          </w:p>
          <w:p w:rsidR="00095CB9" w:rsidRDefault="00095CB9" w:rsidP="00CF1569">
            <w:pPr>
              <w:ind w:leftChars="-26" w:left="1548" w:hangingChars="575" w:hanging="1610"/>
              <w:jc w:val="both"/>
              <w:rPr>
                <w:rFonts w:eastAsia="華康楷書體W5"/>
                <w:sz w:val="28"/>
                <w:szCs w:val="28"/>
              </w:rPr>
            </w:pPr>
            <w:r>
              <w:rPr>
                <w:rFonts w:eastAsia="華康楷書體W5"/>
                <w:sz w:val="28"/>
                <w:szCs w:val="28"/>
              </w:rPr>
              <w:t xml:space="preserve">        </w:t>
            </w:r>
            <w:smartTag w:uri="urn:schemas-microsoft-com:office:smarttags" w:element="PersonName">
              <w:r>
                <w:rPr>
                  <w:rFonts w:eastAsia="華康楷書體W5" w:hint="eastAsia"/>
                  <w:sz w:val="28"/>
                  <w:szCs w:val="28"/>
                </w:rPr>
                <w:t>李南和</w:t>
              </w:r>
            </w:smartTag>
            <w:r>
              <w:rPr>
                <w:rFonts w:eastAsia="華康楷書體W5" w:hint="eastAsia"/>
                <w:sz w:val="28"/>
                <w:szCs w:val="28"/>
              </w:rPr>
              <w:t>、</w:t>
            </w:r>
            <w:smartTag w:uri="urn:schemas-microsoft-com:office:smarttags" w:element="PersonName">
              <w:r>
                <w:rPr>
                  <w:rFonts w:eastAsia="華康楷書體W5" w:hint="eastAsia"/>
                  <w:sz w:val="28"/>
                  <w:szCs w:val="28"/>
                </w:rPr>
                <w:t>蔡宗穎</w:t>
              </w:r>
            </w:smartTag>
            <w:r>
              <w:rPr>
                <w:rFonts w:eastAsia="華康楷書體W5"/>
                <w:sz w:val="28"/>
                <w:szCs w:val="28"/>
              </w:rPr>
              <w:t xml:space="preserve">        </w:t>
            </w:r>
          </w:p>
          <w:p w:rsidR="00095CB9" w:rsidRPr="00322C96" w:rsidRDefault="00095CB9" w:rsidP="00BF596A">
            <w:pPr>
              <w:ind w:leftChars="-26" w:left="1548" w:hangingChars="575" w:hanging="1610"/>
              <w:jc w:val="both"/>
              <w:rPr>
                <w:rFonts w:eastAsia="華康楷書體W5"/>
                <w:sz w:val="28"/>
                <w:szCs w:val="28"/>
              </w:rPr>
            </w:pPr>
            <w:r>
              <w:rPr>
                <w:rFonts w:eastAsia="華康楷書體W5" w:hint="eastAsia"/>
                <w:sz w:val="28"/>
                <w:szCs w:val="28"/>
              </w:rPr>
              <w:t>金融業務部：</w:t>
            </w:r>
            <w:smartTag w:uri="urn:schemas-microsoft-com:office:smarttags" w:element="PersonName">
              <w:r>
                <w:rPr>
                  <w:rFonts w:eastAsia="華康楷書體W5" w:hint="eastAsia"/>
                  <w:sz w:val="28"/>
                  <w:szCs w:val="28"/>
                </w:rPr>
                <w:t>徐榮達</w:t>
              </w:r>
            </w:smartTag>
            <w:r>
              <w:rPr>
                <w:rFonts w:eastAsia="華康楷書體W5" w:hint="eastAsia"/>
                <w:sz w:val="28"/>
                <w:szCs w:val="28"/>
              </w:rPr>
              <w:t>、</w:t>
            </w:r>
            <w:smartTag w:uri="urn:schemas-microsoft-com:office:smarttags" w:element="PersonName">
              <w:r>
                <w:rPr>
                  <w:rFonts w:eastAsia="華康楷書體W5" w:hint="eastAsia"/>
                  <w:sz w:val="28"/>
                  <w:szCs w:val="28"/>
                </w:rPr>
                <w:t>黃秀花</w:t>
              </w:r>
            </w:smartTag>
          </w:p>
        </w:tc>
        <w:tc>
          <w:tcPr>
            <w:tcW w:w="762" w:type="pct"/>
            <w:vAlign w:val="center"/>
          </w:tcPr>
          <w:p w:rsidR="00095CB9" w:rsidRDefault="00095CB9">
            <w:pPr>
              <w:jc w:val="center"/>
              <w:rPr>
                <w:rFonts w:eastAsia="華康楷書體W5"/>
                <w:sz w:val="28"/>
                <w:szCs w:val="28"/>
              </w:rPr>
            </w:pPr>
            <w:r>
              <w:rPr>
                <w:rFonts w:eastAsia="華康楷書體W5" w:hint="eastAsia"/>
                <w:sz w:val="28"/>
                <w:szCs w:val="28"/>
              </w:rPr>
              <w:t>研究時間</w:t>
            </w:r>
          </w:p>
        </w:tc>
        <w:tc>
          <w:tcPr>
            <w:tcW w:w="1253" w:type="pct"/>
            <w:vAlign w:val="center"/>
          </w:tcPr>
          <w:p w:rsidR="00095CB9" w:rsidRDefault="00095CB9">
            <w:pPr>
              <w:jc w:val="center"/>
              <w:rPr>
                <w:rFonts w:eastAsia="華康楷書體W5"/>
              </w:rPr>
            </w:pPr>
            <w:r>
              <w:rPr>
                <w:rFonts w:eastAsia="華康楷書體W5"/>
              </w:rPr>
              <w:t>102</w:t>
            </w:r>
            <w:r>
              <w:rPr>
                <w:rFonts w:eastAsia="華康楷書體W5" w:hint="eastAsia"/>
              </w:rPr>
              <w:t>年</w:t>
            </w:r>
            <w:r>
              <w:rPr>
                <w:rFonts w:eastAsia="華康楷書體W5"/>
              </w:rPr>
              <w:t>1</w:t>
            </w:r>
            <w:r>
              <w:rPr>
                <w:rFonts w:eastAsia="華康楷書體W5" w:hint="eastAsia"/>
              </w:rPr>
              <w:t>月至</w:t>
            </w:r>
            <w:r>
              <w:rPr>
                <w:rFonts w:eastAsia="華康楷書體W5"/>
              </w:rPr>
              <w:t>11</w:t>
            </w:r>
            <w:r>
              <w:rPr>
                <w:rFonts w:eastAsia="華康楷書體W5" w:hint="eastAsia"/>
              </w:rPr>
              <w:t>月</w:t>
            </w:r>
          </w:p>
        </w:tc>
      </w:tr>
      <w:tr w:rsidR="00095CB9">
        <w:tc>
          <w:tcPr>
            <w:tcW w:w="5000" w:type="pct"/>
            <w:gridSpan w:val="5"/>
          </w:tcPr>
          <w:p w:rsidR="00095CB9" w:rsidRDefault="00095CB9">
            <w:pPr>
              <w:jc w:val="distribute"/>
              <w:rPr>
                <w:rFonts w:eastAsia="華康楷書體W5"/>
                <w:sz w:val="28"/>
                <w:szCs w:val="28"/>
              </w:rPr>
            </w:pPr>
            <w:r>
              <w:rPr>
                <w:rFonts w:eastAsia="華康楷書體W5" w:hint="eastAsia"/>
                <w:sz w:val="28"/>
                <w:szCs w:val="28"/>
              </w:rPr>
              <w:t>報告內容摘要</w:t>
            </w:r>
          </w:p>
        </w:tc>
      </w:tr>
      <w:tr w:rsidR="00095CB9">
        <w:tc>
          <w:tcPr>
            <w:tcW w:w="5000" w:type="pct"/>
            <w:gridSpan w:val="5"/>
          </w:tcPr>
          <w:p w:rsidR="00095CB9" w:rsidRPr="003658DA" w:rsidRDefault="00095CB9" w:rsidP="006A1066">
            <w:pPr>
              <w:spacing w:line="360" w:lineRule="exact"/>
              <w:rPr>
                <w:rFonts w:eastAsia="標楷體" w:hAnsi="標楷體"/>
                <w:sz w:val="28"/>
                <w:szCs w:val="28"/>
              </w:rPr>
            </w:pPr>
            <w:r w:rsidRPr="003658DA">
              <w:rPr>
                <w:rFonts w:eastAsia="標楷體" w:hAnsi="標楷體" w:hint="eastAsia"/>
                <w:sz w:val="28"/>
                <w:szCs w:val="28"/>
              </w:rPr>
              <w:t>壹、研究內容</w:t>
            </w:r>
          </w:p>
          <w:p w:rsidR="00095CB9" w:rsidRPr="003658DA" w:rsidRDefault="00095CB9" w:rsidP="00BF596A">
            <w:pPr>
              <w:ind w:firstLineChars="214" w:firstLine="599"/>
              <w:jc w:val="both"/>
              <w:rPr>
                <w:rFonts w:eastAsia="標楷體" w:hAnsi="標楷體"/>
                <w:sz w:val="28"/>
                <w:szCs w:val="28"/>
              </w:rPr>
            </w:pPr>
            <w:r w:rsidRPr="003658DA">
              <w:rPr>
                <w:rFonts w:eastAsia="標楷體" w:hAnsi="標楷體" w:hint="eastAsia"/>
                <w:sz w:val="28"/>
                <w:szCs w:val="28"/>
              </w:rPr>
              <w:t>隨著人民幣逐漸國際化，人民幣業務蔚為金融業重要業務之一。自兩岸開放交流以來，為促進兩岸經貿活動及金融合作，兩岸中央銀行已共同簽署「兩岸貨幣清算合作備忘錄（</w:t>
            </w:r>
            <w:r w:rsidRPr="003658DA">
              <w:rPr>
                <w:rFonts w:eastAsia="標楷體" w:hAnsi="標楷體"/>
                <w:sz w:val="28"/>
                <w:szCs w:val="28"/>
              </w:rPr>
              <w:t>MOU</w:t>
            </w:r>
            <w:r w:rsidRPr="003658DA">
              <w:rPr>
                <w:rFonts w:eastAsia="標楷體" w:hAnsi="標楷體" w:hint="eastAsia"/>
                <w:sz w:val="28"/>
                <w:szCs w:val="28"/>
              </w:rPr>
              <w:t>）」，促使兩岸貿易結算節省新臺幣上百億元匯兌成本。我國自</w:t>
            </w:r>
            <w:smartTag w:uri="urn:schemas-microsoft-com:office:smarttags" w:element="chsdate">
              <w:smartTagPr>
                <w:attr w:name="IsROCDate" w:val="False"/>
                <w:attr w:name="IsLunarDate" w:val="False"/>
                <w:attr w:name="Day" w:val="6"/>
                <w:attr w:name="Month" w:val="2"/>
                <w:attr w:name="Year" w:val="2013"/>
              </w:smartTagPr>
              <w:r w:rsidRPr="003658DA">
                <w:rPr>
                  <w:rFonts w:eastAsia="標楷體" w:hAnsi="標楷體"/>
                  <w:sz w:val="28"/>
                  <w:szCs w:val="28"/>
                </w:rPr>
                <w:t>2013</w:t>
              </w:r>
              <w:r w:rsidRPr="003658DA">
                <w:rPr>
                  <w:rFonts w:eastAsia="標楷體" w:hAnsi="標楷體" w:hint="eastAsia"/>
                  <w:sz w:val="28"/>
                  <w:szCs w:val="28"/>
                </w:rPr>
                <w:t>年</w:t>
              </w:r>
              <w:r w:rsidRPr="003658DA">
                <w:rPr>
                  <w:rFonts w:eastAsia="標楷體" w:hAnsi="標楷體"/>
                  <w:sz w:val="28"/>
                  <w:szCs w:val="28"/>
                </w:rPr>
                <w:t>2</w:t>
              </w:r>
              <w:r w:rsidRPr="003658DA">
                <w:rPr>
                  <w:rFonts w:eastAsia="標楷體" w:hAnsi="標楷體" w:hint="eastAsia"/>
                  <w:sz w:val="28"/>
                  <w:szCs w:val="28"/>
                </w:rPr>
                <w:t>月</w:t>
              </w:r>
              <w:r w:rsidRPr="003658DA">
                <w:rPr>
                  <w:rFonts w:eastAsia="標楷體" w:hAnsi="標楷體"/>
                  <w:sz w:val="28"/>
                  <w:szCs w:val="28"/>
                </w:rPr>
                <w:t>6</w:t>
              </w:r>
              <w:r w:rsidRPr="003658DA">
                <w:rPr>
                  <w:rFonts w:eastAsia="標楷體" w:hAnsi="標楷體" w:hint="eastAsia"/>
                  <w:sz w:val="28"/>
                  <w:szCs w:val="28"/>
                </w:rPr>
                <w:t>日</w:t>
              </w:r>
            </w:smartTag>
            <w:r w:rsidRPr="003658DA">
              <w:rPr>
                <w:rFonts w:eastAsia="標楷體" w:hAnsi="標楷體" w:hint="eastAsia"/>
                <w:sz w:val="28"/>
                <w:szCs w:val="28"/>
              </w:rPr>
              <w:t>正式開辦人民幣存、匯及放款業務以來，人民幣存款規模持續創新高，配合政府打造黃金十年國家願景計畫，發展具兩岸特色之金融業務、以臺灣為主之國人理財平臺之主軸策略，造就資本市場不斷積極發展多元化的人民幣理財和投資商品。</w:t>
            </w:r>
          </w:p>
          <w:p w:rsidR="00095CB9" w:rsidRPr="003658DA" w:rsidRDefault="00095CB9" w:rsidP="00587F46">
            <w:pPr>
              <w:ind w:firstLine="660"/>
              <w:jc w:val="both"/>
              <w:rPr>
                <w:rFonts w:eastAsia="標楷體" w:hAnsi="標楷體"/>
                <w:sz w:val="28"/>
                <w:szCs w:val="28"/>
              </w:rPr>
            </w:pPr>
            <w:r w:rsidRPr="003658DA">
              <w:rPr>
                <w:rFonts w:eastAsia="標楷體" w:hAnsi="標楷體" w:hint="eastAsia"/>
                <w:sz w:val="28"/>
                <w:szCs w:val="28"/>
              </w:rPr>
              <w:t>探討臺灣人民幣資金來源與去化管道有利於發展人民幣計價商品，要進一步擴大人民幣的流通性，一方面取得足夠的人民幣以供應市場所需，另一方面讓銀行與籌措人民幣資金者，有順暢的回流管道。我國央行近期並將與中國大陸央行積極洽談兩岸貨幣互換機制（</w:t>
            </w:r>
            <w:r w:rsidRPr="003658DA">
              <w:rPr>
                <w:rFonts w:eastAsia="標楷體" w:hAnsi="標楷體"/>
                <w:sz w:val="28"/>
                <w:szCs w:val="28"/>
              </w:rPr>
              <w:t>SWAP</w:t>
            </w:r>
            <w:r w:rsidRPr="003658DA">
              <w:rPr>
                <w:rFonts w:eastAsia="標楷體" w:hAnsi="標楷體" w:hint="eastAsia"/>
                <w:sz w:val="28"/>
                <w:szCs w:val="28"/>
              </w:rPr>
              <w:t>），有助於我國離岸人民幣市場的發展。觀察中國大陸推動人民幣國際化策略，從跨境貿易人民幣結算試點，加上中國大陸已成為僅次於美國之第二大世界經濟體，加速人民幣為貿易結算貨幣之成長，使得世界各國積極與中國大陸簽署貨幣互換協議，不僅擴大人民幣國際結算基制管道，也幫助人民幣逐步走向國際化。</w:t>
            </w:r>
          </w:p>
          <w:p w:rsidR="00095CB9" w:rsidRPr="003658DA" w:rsidRDefault="00095CB9" w:rsidP="00587F46">
            <w:pPr>
              <w:spacing w:beforeLines="50" w:afterLines="50" w:line="360" w:lineRule="exact"/>
              <w:jc w:val="both"/>
              <w:rPr>
                <w:rFonts w:eastAsia="標楷體" w:hAnsi="標楷體"/>
                <w:sz w:val="28"/>
                <w:szCs w:val="28"/>
              </w:rPr>
            </w:pPr>
            <w:r w:rsidRPr="003658DA">
              <w:rPr>
                <w:rFonts w:eastAsia="標楷體" w:hAnsi="標楷體" w:hint="eastAsia"/>
                <w:sz w:val="28"/>
                <w:szCs w:val="28"/>
              </w:rPr>
              <w:t>一、人民幣國際化，促進金融商品發展</w:t>
            </w:r>
          </w:p>
          <w:p w:rsidR="00095CB9" w:rsidRPr="003658DA" w:rsidRDefault="00095CB9" w:rsidP="00C3408D">
            <w:pPr>
              <w:spacing w:beforeLines="50" w:afterLines="50" w:line="360" w:lineRule="exact"/>
              <w:ind w:leftChars="245" w:left="588" w:firstLineChars="185" w:firstLine="518"/>
              <w:jc w:val="both"/>
              <w:rPr>
                <w:rFonts w:eastAsia="標楷體" w:hAnsi="標楷體"/>
                <w:sz w:val="28"/>
                <w:szCs w:val="28"/>
              </w:rPr>
            </w:pPr>
            <w:r w:rsidRPr="003658DA">
              <w:rPr>
                <w:rFonts w:eastAsia="標楷體" w:hAnsi="標楷體" w:hint="eastAsia"/>
                <w:sz w:val="28"/>
                <w:szCs w:val="28"/>
              </w:rPr>
              <w:t>世界各國積極發展人民幣離岸市場，尤以香港最具代表性，其相關金融商品發展簡述如下：</w:t>
            </w:r>
          </w:p>
          <w:p w:rsidR="00095CB9" w:rsidRPr="003658DA" w:rsidRDefault="00095CB9" w:rsidP="00C3408D">
            <w:pPr>
              <w:spacing w:beforeLines="50" w:afterLines="50" w:line="360" w:lineRule="exact"/>
              <w:ind w:firstLineChars="235" w:firstLine="658"/>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一</w:t>
            </w:r>
            <w:r w:rsidRPr="003658DA">
              <w:rPr>
                <w:rFonts w:eastAsia="標楷體" w:hAnsi="標楷體"/>
                <w:sz w:val="28"/>
                <w:szCs w:val="28"/>
              </w:rPr>
              <w:t xml:space="preserve">) </w:t>
            </w:r>
            <w:r w:rsidRPr="003658DA">
              <w:rPr>
                <w:rFonts w:eastAsia="標楷體" w:hAnsi="標楷體" w:hint="eastAsia"/>
                <w:sz w:val="28"/>
                <w:szCs w:val="28"/>
              </w:rPr>
              <w:t>點心債發行</w:t>
            </w:r>
          </w:p>
          <w:p w:rsidR="00095CB9" w:rsidRPr="003658DA" w:rsidRDefault="00095CB9" w:rsidP="003658DA">
            <w:pPr>
              <w:ind w:leftChars="536" w:left="1286" w:firstLine="532"/>
              <w:jc w:val="both"/>
              <w:rPr>
                <w:rFonts w:eastAsia="標楷體" w:hAnsi="標楷體"/>
                <w:sz w:val="28"/>
                <w:szCs w:val="28"/>
              </w:rPr>
            </w:pPr>
            <w:r w:rsidRPr="003658DA">
              <w:rPr>
                <w:rFonts w:eastAsia="標楷體" w:hAnsi="標楷體"/>
                <w:sz w:val="28"/>
                <w:szCs w:val="28"/>
              </w:rPr>
              <w:t>2007</w:t>
            </w:r>
            <w:r w:rsidRPr="003658DA">
              <w:rPr>
                <w:rFonts w:eastAsia="標楷體" w:hAnsi="標楷體" w:hint="eastAsia"/>
                <w:sz w:val="28"/>
                <w:szCs w:val="28"/>
              </w:rPr>
              <w:t>年中國大陸人行准許內地金融機構在香港發行人民幣債券</w:t>
            </w:r>
            <w:r w:rsidRPr="003658DA">
              <w:rPr>
                <w:rFonts w:eastAsia="標楷體" w:hAnsi="標楷體"/>
                <w:sz w:val="28"/>
                <w:szCs w:val="28"/>
              </w:rPr>
              <w:t>(</w:t>
            </w:r>
            <w:r w:rsidRPr="003658DA">
              <w:rPr>
                <w:rFonts w:eastAsia="標楷體" w:hAnsi="標楷體" w:hint="eastAsia"/>
                <w:sz w:val="28"/>
                <w:szCs w:val="28"/>
              </w:rPr>
              <w:t>點心債</w:t>
            </w:r>
            <w:r w:rsidRPr="003658DA">
              <w:rPr>
                <w:rFonts w:eastAsia="標楷體" w:hAnsi="標楷體"/>
                <w:sz w:val="28"/>
                <w:szCs w:val="28"/>
              </w:rPr>
              <w:t>)</w:t>
            </w:r>
            <w:r w:rsidRPr="003658DA">
              <w:rPr>
                <w:rFonts w:eastAsia="標楷體" w:hAnsi="標楷體" w:hint="eastAsia"/>
                <w:sz w:val="28"/>
                <w:szCs w:val="28"/>
              </w:rPr>
              <w:t>，增加香港人民幣資金的投資報酬，吸引國外企業及金融機構發行。點心債市場發展迅速，投資人超額認購，並被認定為低利率之金融市場中最穩定之固定收益商品。</w:t>
            </w:r>
          </w:p>
          <w:p w:rsidR="00095CB9" w:rsidRPr="003658DA" w:rsidRDefault="00095CB9" w:rsidP="00C3408D">
            <w:pPr>
              <w:spacing w:beforeLines="50" w:afterLines="50" w:line="360" w:lineRule="exact"/>
              <w:ind w:firstLineChars="235" w:firstLine="658"/>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二</w:t>
            </w:r>
            <w:r w:rsidRPr="003658DA">
              <w:rPr>
                <w:rFonts w:eastAsia="標楷體" w:hAnsi="標楷體"/>
                <w:sz w:val="28"/>
                <w:szCs w:val="28"/>
              </w:rPr>
              <w:t xml:space="preserve">) </w:t>
            </w:r>
            <w:r w:rsidRPr="003658DA">
              <w:rPr>
                <w:rFonts w:eastAsia="標楷體" w:hAnsi="標楷體" w:hint="eastAsia"/>
                <w:sz w:val="28"/>
                <w:szCs w:val="28"/>
              </w:rPr>
              <w:t>香港交易所推出「雙幣雙股」模式</w:t>
            </w:r>
          </w:p>
          <w:p w:rsidR="00095CB9" w:rsidRPr="003658DA" w:rsidRDefault="00095CB9" w:rsidP="003658DA">
            <w:pPr>
              <w:spacing w:beforeLines="50" w:afterLines="50" w:line="360" w:lineRule="exact"/>
              <w:ind w:leftChars="530" w:left="1272" w:firstLineChars="187" w:firstLine="524"/>
              <w:jc w:val="both"/>
              <w:rPr>
                <w:rFonts w:eastAsia="標楷體" w:hAnsi="標楷體"/>
                <w:sz w:val="28"/>
                <w:szCs w:val="28"/>
              </w:rPr>
            </w:pPr>
            <w:r w:rsidRPr="003658DA">
              <w:rPr>
                <w:rFonts w:eastAsia="標楷體" w:hAnsi="標楷體" w:hint="eastAsia"/>
                <w:sz w:val="28"/>
                <w:szCs w:val="28"/>
              </w:rPr>
              <w:t>為吸引中國大陸企業首次發行上市，香港交易所推出人民幣計價</w:t>
            </w:r>
            <w:r w:rsidRPr="003658DA">
              <w:rPr>
                <w:rFonts w:eastAsia="標楷體" w:hAnsi="標楷體"/>
                <w:sz w:val="28"/>
                <w:szCs w:val="28"/>
              </w:rPr>
              <w:t>ETF</w:t>
            </w:r>
            <w:r w:rsidRPr="003658DA">
              <w:rPr>
                <w:rFonts w:eastAsia="標楷體" w:hAnsi="標楷體" w:hint="eastAsia"/>
                <w:sz w:val="28"/>
                <w:szCs w:val="28"/>
              </w:rPr>
              <w:t>與股票，在「雙幣雙股」模式下，所有人民幣股票及港幣股票之股東權利一樣。分別按人民幣與港幣之兩個櫃檯分開買賣交易、結算、交割等作業，股東可將其中一種幣值股份轉換為另一種幣值股份。</w:t>
            </w:r>
          </w:p>
          <w:p w:rsidR="00095CB9" w:rsidRPr="003658DA" w:rsidRDefault="00095CB9" w:rsidP="00C3408D">
            <w:pPr>
              <w:spacing w:beforeLines="50" w:afterLines="50" w:line="360" w:lineRule="exact"/>
              <w:ind w:firstLineChars="235" w:firstLine="658"/>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三</w:t>
            </w:r>
            <w:r w:rsidRPr="003658DA">
              <w:rPr>
                <w:rFonts w:eastAsia="標楷體" w:hAnsi="標楷體"/>
                <w:sz w:val="28"/>
                <w:szCs w:val="28"/>
              </w:rPr>
              <w:t xml:space="preserve">) </w:t>
            </w:r>
            <w:r w:rsidRPr="003658DA">
              <w:rPr>
                <w:rFonts w:eastAsia="標楷體" w:hAnsi="標楷體" w:hint="eastAsia"/>
                <w:sz w:val="28"/>
                <w:szCs w:val="28"/>
              </w:rPr>
              <w:t>建立債券跨境交割平台</w:t>
            </w:r>
          </w:p>
          <w:p w:rsidR="00095CB9" w:rsidRPr="003658DA" w:rsidRDefault="00095CB9" w:rsidP="003658DA">
            <w:pPr>
              <w:spacing w:beforeLines="50" w:afterLines="50" w:line="360" w:lineRule="exact"/>
              <w:ind w:leftChars="525" w:left="1260" w:firstLineChars="192" w:firstLine="538"/>
              <w:jc w:val="both"/>
              <w:rPr>
                <w:rFonts w:eastAsia="標楷體" w:hAnsi="標楷體"/>
                <w:sz w:val="28"/>
                <w:szCs w:val="28"/>
              </w:rPr>
            </w:pPr>
            <w:r w:rsidRPr="003658DA">
              <w:rPr>
                <w:rFonts w:eastAsia="標楷體" w:hAnsi="標楷體" w:hint="eastAsia"/>
                <w:sz w:val="28"/>
                <w:szCs w:val="28"/>
              </w:rPr>
              <w:t>香港金融管理局</w:t>
            </w:r>
            <w:r w:rsidRPr="003658DA">
              <w:rPr>
                <w:rFonts w:eastAsia="標楷體" w:hAnsi="標楷體"/>
                <w:sz w:val="28"/>
                <w:szCs w:val="28"/>
              </w:rPr>
              <w:t>(HKMA)</w:t>
            </w:r>
            <w:r w:rsidRPr="003658DA">
              <w:rPr>
                <w:rFonts w:eastAsia="標楷體" w:hAnsi="標楷體" w:hint="eastAsia"/>
                <w:sz w:val="28"/>
                <w:szCs w:val="28"/>
              </w:rPr>
              <w:t>與馬來西亞中央銀行</w:t>
            </w:r>
            <w:r w:rsidRPr="003658DA">
              <w:rPr>
                <w:rFonts w:eastAsia="標楷體" w:hAnsi="標楷體"/>
                <w:sz w:val="28"/>
                <w:szCs w:val="28"/>
              </w:rPr>
              <w:t>(BNM)</w:t>
            </w:r>
            <w:r w:rsidRPr="003658DA">
              <w:rPr>
                <w:rFonts w:eastAsia="標楷體" w:hAnsi="標楷體" w:hint="eastAsia"/>
                <w:sz w:val="28"/>
                <w:szCs w:val="28"/>
              </w:rPr>
              <w:t>於</w:t>
            </w:r>
            <w:r w:rsidRPr="003658DA">
              <w:rPr>
                <w:rFonts w:eastAsia="標楷體" w:hAnsi="標楷體"/>
                <w:sz w:val="28"/>
                <w:szCs w:val="28"/>
              </w:rPr>
              <w:t>2012</w:t>
            </w:r>
            <w:r w:rsidRPr="003658DA">
              <w:rPr>
                <w:rFonts w:eastAsia="標楷體" w:hAnsi="標楷體" w:hint="eastAsia"/>
                <w:sz w:val="28"/>
                <w:szCs w:val="28"/>
              </w:rPr>
              <w:t>年建立債券跨境交割平台，並與外國保管結算機構</w:t>
            </w:r>
            <w:r w:rsidRPr="003658DA">
              <w:rPr>
                <w:rFonts w:eastAsia="標楷體" w:hAnsi="標楷體"/>
                <w:sz w:val="28"/>
                <w:szCs w:val="28"/>
              </w:rPr>
              <w:t>Euroclear</w:t>
            </w:r>
            <w:r w:rsidRPr="003658DA">
              <w:rPr>
                <w:rFonts w:eastAsia="標楷體" w:hAnsi="標楷體" w:hint="eastAsia"/>
                <w:sz w:val="28"/>
                <w:szCs w:val="28"/>
              </w:rPr>
              <w:t>合作提供後台交割保管服務，香港</w:t>
            </w:r>
            <w:r w:rsidRPr="003658DA">
              <w:rPr>
                <w:rFonts w:eastAsia="標楷體" w:hAnsi="標楷體"/>
                <w:sz w:val="28"/>
                <w:szCs w:val="28"/>
              </w:rPr>
              <w:t>CMU</w:t>
            </w:r>
            <w:r w:rsidRPr="003658DA">
              <w:rPr>
                <w:rFonts w:eastAsia="標楷體" w:hAnsi="標楷體" w:hint="eastAsia"/>
                <w:sz w:val="28"/>
                <w:szCs w:val="28"/>
              </w:rPr>
              <w:t>、馬來西亞</w:t>
            </w:r>
            <w:r w:rsidRPr="003658DA">
              <w:rPr>
                <w:rFonts w:eastAsia="標楷體" w:hAnsi="標楷體"/>
                <w:sz w:val="28"/>
                <w:szCs w:val="28"/>
              </w:rPr>
              <w:t>RENTAS</w:t>
            </w:r>
            <w:r w:rsidRPr="003658DA">
              <w:rPr>
                <w:rFonts w:eastAsia="標楷體" w:hAnsi="標楷體" w:hint="eastAsia"/>
                <w:sz w:val="28"/>
                <w:szCs w:val="28"/>
              </w:rPr>
              <w:t>皆與</w:t>
            </w:r>
            <w:r w:rsidRPr="003658DA">
              <w:rPr>
                <w:rFonts w:eastAsia="標楷體" w:hAnsi="標楷體"/>
                <w:sz w:val="28"/>
                <w:szCs w:val="28"/>
              </w:rPr>
              <w:t>Euroclear</w:t>
            </w:r>
            <w:r w:rsidRPr="003658DA">
              <w:rPr>
                <w:rFonts w:eastAsia="標楷體" w:hAnsi="標楷體" w:hint="eastAsia"/>
                <w:sz w:val="28"/>
                <w:szCs w:val="28"/>
              </w:rPr>
              <w:t>直接連線開戶，香港支付系統與馬幣結算系統於</w:t>
            </w:r>
            <w:r w:rsidRPr="003658DA">
              <w:rPr>
                <w:rFonts w:eastAsia="標楷體" w:hAnsi="標楷體"/>
                <w:sz w:val="28"/>
                <w:szCs w:val="28"/>
              </w:rPr>
              <w:t>2006</w:t>
            </w:r>
            <w:r w:rsidRPr="003658DA">
              <w:rPr>
                <w:rFonts w:eastAsia="標楷體" w:hAnsi="標楷體" w:hint="eastAsia"/>
                <w:sz w:val="28"/>
                <w:szCs w:val="28"/>
              </w:rPr>
              <w:t>年完成跨境聯結，款券連結機制有助香港及馬來西亞的跨境債券發行，藉由香港外幣清算系統採</w:t>
            </w:r>
            <w:r w:rsidRPr="003658DA">
              <w:rPr>
                <w:rFonts w:eastAsia="標楷體" w:hAnsi="標楷體"/>
                <w:sz w:val="28"/>
                <w:szCs w:val="28"/>
              </w:rPr>
              <w:t>RTGS</w:t>
            </w:r>
            <w:r w:rsidRPr="003658DA">
              <w:rPr>
                <w:rFonts w:eastAsia="標楷體" w:hAnsi="標楷體" w:hint="eastAsia"/>
                <w:sz w:val="28"/>
                <w:szCs w:val="28"/>
              </w:rPr>
              <w:t>之外幣清算提供馬來西亞債券交割採</w:t>
            </w:r>
            <w:r w:rsidRPr="003658DA">
              <w:rPr>
                <w:rFonts w:eastAsia="標楷體" w:hAnsi="標楷體"/>
                <w:sz w:val="28"/>
                <w:szCs w:val="28"/>
              </w:rPr>
              <w:t>DVP</w:t>
            </w:r>
            <w:r w:rsidRPr="003658DA">
              <w:rPr>
                <w:rFonts w:eastAsia="標楷體" w:hAnsi="標楷體" w:hint="eastAsia"/>
                <w:sz w:val="28"/>
                <w:szCs w:val="28"/>
              </w:rPr>
              <w:t>機制，透過此平台有助香港及馬來西亞的跨境債券發行，促進海外投資者對香港點心債與馬來西亞債券市場的參與。</w:t>
            </w:r>
          </w:p>
          <w:p w:rsidR="00095CB9" w:rsidRPr="003658DA" w:rsidRDefault="00095CB9" w:rsidP="00587F46">
            <w:pPr>
              <w:spacing w:beforeLines="50" w:afterLines="50" w:line="360" w:lineRule="exact"/>
              <w:jc w:val="both"/>
              <w:rPr>
                <w:rFonts w:eastAsia="標楷體" w:hAnsi="標楷體"/>
                <w:sz w:val="28"/>
                <w:szCs w:val="28"/>
              </w:rPr>
            </w:pPr>
            <w:r w:rsidRPr="003658DA">
              <w:rPr>
                <w:rFonts w:eastAsia="標楷體" w:hAnsi="標楷體" w:hint="eastAsia"/>
                <w:sz w:val="28"/>
                <w:szCs w:val="28"/>
              </w:rPr>
              <w:t>二、臺灣發展外幣商品概況</w:t>
            </w:r>
          </w:p>
          <w:p w:rsidR="00095CB9" w:rsidRPr="003658DA" w:rsidRDefault="00095CB9" w:rsidP="00C3408D">
            <w:pPr>
              <w:spacing w:beforeLines="50" w:afterLines="50" w:line="360" w:lineRule="exact"/>
              <w:ind w:leftChars="245" w:left="588" w:firstLineChars="205" w:firstLine="574"/>
              <w:jc w:val="both"/>
              <w:rPr>
                <w:rFonts w:eastAsia="標楷體" w:hAnsi="標楷體"/>
                <w:sz w:val="28"/>
                <w:szCs w:val="28"/>
              </w:rPr>
            </w:pPr>
            <w:r w:rsidRPr="003658DA">
              <w:rPr>
                <w:rFonts w:eastAsia="標楷體" w:hAnsi="標楷體" w:hint="eastAsia"/>
                <w:sz w:val="28"/>
                <w:szCs w:val="28"/>
              </w:rPr>
              <w:t>臺灣於</w:t>
            </w:r>
            <w:r w:rsidRPr="003658DA">
              <w:rPr>
                <w:rFonts w:eastAsia="標楷體" w:hAnsi="標楷體"/>
                <w:sz w:val="28"/>
                <w:szCs w:val="28"/>
              </w:rPr>
              <w:t>1987</w:t>
            </w:r>
            <w:r w:rsidRPr="003658DA">
              <w:rPr>
                <w:rFonts w:eastAsia="標楷體" w:hAnsi="標楷體" w:hint="eastAsia"/>
                <w:sz w:val="28"/>
                <w:szCs w:val="28"/>
              </w:rPr>
              <w:t>年解嚴後，政府開始放寬外匯管制，境外基金銷售業務隨著跨國性的外國投信公司陸續在臺成立引進境外基金，臺灣開始進入境外基金銷售的時代。接著亞洲開發銀行於</w:t>
            </w:r>
            <w:r w:rsidRPr="003658DA">
              <w:rPr>
                <w:rFonts w:eastAsia="標楷體" w:hAnsi="標楷體"/>
                <w:sz w:val="28"/>
                <w:szCs w:val="28"/>
              </w:rPr>
              <w:t>1991</w:t>
            </w:r>
            <w:r w:rsidRPr="003658DA">
              <w:rPr>
                <w:rFonts w:eastAsia="標楷體" w:hAnsi="標楷體" w:hint="eastAsia"/>
                <w:sz w:val="28"/>
                <w:szCs w:val="28"/>
              </w:rPr>
              <w:t>年發行小龍債券在台發行之美元小龍債券上市買賣，</w:t>
            </w:r>
            <w:r w:rsidRPr="003658DA">
              <w:rPr>
                <w:rFonts w:eastAsia="標楷體" w:hAnsi="標楷體"/>
                <w:sz w:val="28"/>
                <w:szCs w:val="28"/>
              </w:rPr>
              <w:t>1996</w:t>
            </w:r>
            <w:r w:rsidRPr="003658DA">
              <w:rPr>
                <w:rFonts w:eastAsia="標楷體" w:hAnsi="標楷體" w:hint="eastAsia"/>
                <w:sz w:val="28"/>
                <w:szCs w:val="28"/>
              </w:rPr>
              <w:t>年中央銀行開放銀行結構型商品業務。金管會為建立我國外幣債券交易市場及加速與國際接軌，發展臺灣成為亞太區外幣債券交易中心及資產管理中心，積極推動國際組織、國內外發行人發行外幣計價債券，茲簡述臺灣發展外幣商品概況：</w:t>
            </w:r>
          </w:p>
          <w:p w:rsidR="00095CB9" w:rsidRPr="003658DA" w:rsidRDefault="00095CB9" w:rsidP="00E30F47">
            <w:pPr>
              <w:ind w:leftChars="213" w:left="511" w:firstLineChars="31" w:firstLine="87"/>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一</w:t>
            </w:r>
            <w:r w:rsidRPr="003658DA">
              <w:rPr>
                <w:rFonts w:eastAsia="標楷體" w:hAnsi="標楷體"/>
                <w:sz w:val="28"/>
                <w:szCs w:val="28"/>
              </w:rPr>
              <w:t xml:space="preserve">) </w:t>
            </w:r>
            <w:r w:rsidRPr="003658DA">
              <w:rPr>
                <w:rFonts w:eastAsia="標楷體" w:hAnsi="標楷體" w:hint="eastAsia"/>
                <w:sz w:val="28"/>
                <w:szCs w:val="28"/>
              </w:rPr>
              <w:t>國際債券</w:t>
            </w:r>
          </w:p>
          <w:p w:rsidR="00095CB9" w:rsidRPr="003658DA" w:rsidRDefault="00095CB9" w:rsidP="0099278A">
            <w:pPr>
              <w:spacing w:beforeLines="50" w:afterLines="50" w:line="360" w:lineRule="exact"/>
              <w:ind w:leftChars="519" w:left="1246" w:firstLineChars="200" w:firstLine="560"/>
              <w:jc w:val="both"/>
              <w:rPr>
                <w:rFonts w:eastAsia="標楷體" w:hAnsi="標楷體"/>
                <w:sz w:val="28"/>
                <w:szCs w:val="28"/>
              </w:rPr>
            </w:pPr>
            <w:r w:rsidRPr="003658DA">
              <w:rPr>
                <w:rFonts w:eastAsia="標楷體" w:hAnsi="標楷體" w:hint="eastAsia"/>
                <w:sz w:val="28"/>
                <w:szCs w:val="28"/>
              </w:rPr>
              <w:t>亞洲開發銀行發行美元小龍債券，為國際債券前身，金管會為推動我國外幣債券交易市場，於</w:t>
            </w:r>
            <w:r w:rsidRPr="003658DA">
              <w:rPr>
                <w:rFonts w:eastAsia="標楷體" w:hAnsi="標楷體"/>
                <w:sz w:val="28"/>
                <w:szCs w:val="28"/>
              </w:rPr>
              <w:t>2006</w:t>
            </w:r>
            <w:r w:rsidRPr="003658DA">
              <w:rPr>
                <w:rFonts w:eastAsia="標楷體" w:hAnsi="標楷體" w:hint="eastAsia"/>
                <w:sz w:val="28"/>
                <w:szCs w:val="28"/>
              </w:rPr>
              <w:t>年德意志銀行發行第</w:t>
            </w:r>
            <w:r w:rsidRPr="003658DA">
              <w:rPr>
                <w:rFonts w:eastAsia="標楷體" w:hAnsi="標楷體"/>
                <w:sz w:val="28"/>
                <w:szCs w:val="28"/>
              </w:rPr>
              <w:t>1</w:t>
            </w:r>
            <w:r w:rsidRPr="003658DA">
              <w:rPr>
                <w:rFonts w:eastAsia="標楷體" w:hAnsi="標楷體" w:hint="eastAsia"/>
                <w:sz w:val="28"/>
                <w:szCs w:val="28"/>
              </w:rPr>
              <w:t>檔美元計價之國際債券後，後續法國巴黎銀行、韓國輸出入銀行及花旗集團等外國金融機構來臺發行美元及澳幣計價之國際債券。兩岸人民幣業務開放後，本國企業、外國金融機構及中國大陸金融機構可發行寶島債。</w:t>
            </w:r>
          </w:p>
          <w:p w:rsidR="00095CB9" w:rsidRPr="003658DA" w:rsidRDefault="00095CB9" w:rsidP="003658DA">
            <w:pPr>
              <w:ind w:leftChars="298" w:left="1440" w:hangingChars="259" w:hanging="725"/>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二</w:t>
            </w:r>
            <w:r w:rsidRPr="003658DA">
              <w:rPr>
                <w:rFonts w:eastAsia="標楷體" w:hAnsi="標楷體"/>
                <w:sz w:val="28"/>
                <w:szCs w:val="28"/>
              </w:rPr>
              <w:t xml:space="preserve">) </w:t>
            </w:r>
            <w:r w:rsidRPr="003658DA">
              <w:rPr>
                <w:rFonts w:eastAsia="標楷體" w:hAnsi="標楷體" w:hint="eastAsia"/>
                <w:sz w:val="28"/>
                <w:szCs w:val="28"/>
              </w:rPr>
              <w:t>結構型商品</w:t>
            </w:r>
          </w:p>
          <w:p w:rsidR="00095CB9" w:rsidRPr="003658DA" w:rsidRDefault="00095CB9" w:rsidP="003658DA">
            <w:pPr>
              <w:ind w:leftChars="530" w:left="1272" w:firstLineChars="200" w:firstLine="560"/>
              <w:jc w:val="both"/>
              <w:rPr>
                <w:rFonts w:eastAsia="標楷體" w:hAnsi="標楷體"/>
                <w:sz w:val="28"/>
                <w:szCs w:val="28"/>
              </w:rPr>
            </w:pPr>
            <w:r w:rsidRPr="003658DA">
              <w:rPr>
                <w:rFonts w:eastAsia="標楷體" w:hAnsi="標楷體" w:hint="eastAsia"/>
                <w:sz w:val="28"/>
                <w:szCs w:val="28"/>
              </w:rPr>
              <w:t>國人理財商品除投資證券市場或共同基金外，投資銀行設計以債券連結利率、匯率、股權及指數、商品、信用等衍生性商品包裝成保本型或非保本型之結構型商品，再透過銀行以信託方式購買海外發行之結構型債券。</w:t>
            </w:r>
            <w:r w:rsidRPr="003658DA">
              <w:rPr>
                <w:rFonts w:eastAsia="標楷體" w:hAnsi="標楷體"/>
                <w:sz w:val="28"/>
                <w:szCs w:val="28"/>
              </w:rPr>
              <w:t>2008</w:t>
            </w:r>
            <w:r w:rsidRPr="003658DA">
              <w:rPr>
                <w:rFonts w:eastAsia="標楷體" w:hAnsi="標楷體" w:hint="eastAsia"/>
                <w:sz w:val="28"/>
                <w:szCs w:val="28"/>
              </w:rPr>
              <w:t>年結構型商品的問題引發全球金融海嘯，造成影響國內投資人重大損失。因此，全球的金融監理機構無不立法對結構型商品進行嚴格控管，主管機關對於結構型商品的發行與銷售亦已制定嚴格規定以保障投資人，目前該類商品其計價幣別以美元、英鎊、歐元、澳幣、紐西蘭幣、港幣、南非幣及日圓為限。</w:t>
            </w:r>
          </w:p>
          <w:p w:rsidR="00095CB9" w:rsidRPr="003658DA" w:rsidRDefault="00095CB9" w:rsidP="003658DA">
            <w:pPr>
              <w:ind w:leftChars="297" w:left="1273" w:hangingChars="200" w:hanging="560"/>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三</w:t>
            </w:r>
            <w:r w:rsidRPr="003658DA">
              <w:rPr>
                <w:rFonts w:eastAsia="標楷體" w:hAnsi="標楷體"/>
                <w:sz w:val="28"/>
                <w:szCs w:val="28"/>
              </w:rPr>
              <w:t xml:space="preserve">) </w:t>
            </w:r>
            <w:r w:rsidRPr="003658DA">
              <w:rPr>
                <w:rFonts w:eastAsia="標楷體" w:hAnsi="標楷體" w:hint="eastAsia"/>
                <w:sz w:val="28"/>
                <w:szCs w:val="28"/>
              </w:rPr>
              <w:t>境外基金</w:t>
            </w:r>
          </w:p>
          <w:p w:rsidR="00095CB9" w:rsidRPr="003658DA" w:rsidRDefault="00095CB9" w:rsidP="003658DA">
            <w:pPr>
              <w:ind w:leftChars="530" w:left="1272" w:firstLineChars="205" w:firstLine="574"/>
              <w:jc w:val="both"/>
              <w:rPr>
                <w:rFonts w:eastAsia="標楷體" w:hAnsi="標楷體"/>
                <w:sz w:val="28"/>
                <w:szCs w:val="28"/>
              </w:rPr>
            </w:pPr>
            <w:r w:rsidRPr="003658DA">
              <w:rPr>
                <w:rFonts w:eastAsia="標楷體" w:hAnsi="標楷體" w:hint="eastAsia"/>
                <w:sz w:val="28"/>
                <w:szCs w:val="28"/>
              </w:rPr>
              <w:t>從</w:t>
            </w:r>
            <w:r w:rsidRPr="003658DA">
              <w:rPr>
                <w:rFonts w:eastAsia="標楷體" w:hAnsi="標楷體"/>
                <w:sz w:val="28"/>
                <w:szCs w:val="28"/>
              </w:rPr>
              <w:t>1990</w:t>
            </w:r>
            <w:r w:rsidRPr="003658DA">
              <w:rPr>
                <w:rFonts w:eastAsia="標楷體" w:hAnsi="標楷體" w:hint="eastAsia"/>
                <w:sz w:val="28"/>
                <w:szCs w:val="28"/>
              </w:rPr>
              <w:t>年代開始，境外基金陸續在台銷售，但相關資訊未詳盡揭露及預告其風險性。為使國內投資人投資境外基金能獲得保障及國內外基金業者得以公平競爭，並明確規範境外基金在我國境內之募集、銷售及投資顧問之行為，金管會於</w:t>
            </w:r>
            <w:r w:rsidRPr="003658DA">
              <w:rPr>
                <w:rFonts w:eastAsia="標楷體" w:hAnsi="標楷體"/>
                <w:sz w:val="28"/>
                <w:szCs w:val="28"/>
              </w:rPr>
              <w:t>2006</w:t>
            </w:r>
            <w:r w:rsidRPr="003658DA">
              <w:rPr>
                <w:rFonts w:eastAsia="標楷體" w:hAnsi="標楷體" w:hint="eastAsia"/>
                <w:sz w:val="28"/>
                <w:szCs w:val="28"/>
              </w:rPr>
              <w:t>年開始實施境外基金總代理制度，境外基金總代理必須依循法令辦理相關資訊揭露，改善投資人資訊不平等情形。臺灣的境外基金市場在實施總代理制度後，也開始另一個發展時代。</w:t>
            </w:r>
          </w:p>
          <w:p w:rsidR="00095CB9" w:rsidRPr="003658DA" w:rsidRDefault="00095CB9" w:rsidP="003658DA">
            <w:pPr>
              <w:ind w:left="1439" w:hangingChars="514" w:hanging="1439"/>
              <w:jc w:val="both"/>
              <w:rPr>
                <w:rFonts w:eastAsia="標楷體" w:hAnsi="標楷體"/>
                <w:sz w:val="28"/>
                <w:szCs w:val="28"/>
              </w:rPr>
            </w:pPr>
            <w:r w:rsidRPr="003658DA">
              <w:rPr>
                <w:rFonts w:eastAsia="標楷體" w:hAnsi="標楷體" w:hint="eastAsia"/>
                <w:sz w:val="28"/>
                <w:szCs w:val="28"/>
              </w:rPr>
              <w:t>三、</w:t>
            </w:r>
            <w:r w:rsidRPr="003658DA">
              <w:rPr>
                <w:rFonts w:eastAsia="標楷體" w:hAnsi="標楷體"/>
                <w:sz w:val="28"/>
                <w:szCs w:val="28"/>
              </w:rPr>
              <w:t xml:space="preserve"> </w:t>
            </w:r>
            <w:r w:rsidRPr="003658DA">
              <w:rPr>
                <w:rFonts w:eastAsia="標楷體" w:hAnsi="標楷體" w:hint="eastAsia"/>
                <w:sz w:val="28"/>
                <w:szCs w:val="28"/>
              </w:rPr>
              <w:t>集保結算所提供外幣計價商品服務</w:t>
            </w:r>
          </w:p>
          <w:p w:rsidR="00095CB9" w:rsidRPr="003658DA" w:rsidRDefault="00095CB9" w:rsidP="003B566A">
            <w:pPr>
              <w:ind w:leftChars="300" w:left="1440" w:hangingChars="257" w:hanging="720"/>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一</w:t>
            </w:r>
            <w:r w:rsidRPr="003658DA">
              <w:rPr>
                <w:rFonts w:eastAsia="標楷體" w:hAnsi="標楷體"/>
                <w:sz w:val="28"/>
                <w:szCs w:val="28"/>
              </w:rPr>
              <w:t xml:space="preserve">) </w:t>
            </w:r>
            <w:r w:rsidRPr="003658DA">
              <w:rPr>
                <w:rFonts w:eastAsia="標楷體" w:hAnsi="標楷體" w:hint="eastAsia"/>
                <w:sz w:val="28"/>
                <w:szCs w:val="28"/>
              </w:rPr>
              <w:t>提供國際債券帳簿劃撥作業服務</w:t>
            </w:r>
          </w:p>
          <w:p w:rsidR="00095CB9" w:rsidRPr="003658DA" w:rsidRDefault="00095CB9" w:rsidP="002666D7">
            <w:pPr>
              <w:ind w:leftChars="550" w:left="1320" w:firstLineChars="213" w:firstLine="596"/>
              <w:jc w:val="both"/>
              <w:rPr>
                <w:rFonts w:eastAsia="標楷體" w:hAnsi="標楷體"/>
                <w:sz w:val="28"/>
                <w:szCs w:val="28"/>
              </w:rPr>
            </w:pPr>
            <w:r w:rsidRPr="003658DA">
              <w:rPr>
                <w:rFonts w:eastAsia="標楷體" w:hAnsi="標楷體" w:hint="eastAsia"/>
                <w:sz w:val="28"/>
                <w:szCs w:val="28"/>
              </w:rPr>
              <w:t>集保結算所利用已於</w:t>
            </w:r>
            <w:r w:rsidRPr="003658DA">
              <w:rPr>
                <w:rFonts w:eastAsia="標楷體" w:hAnsi="標楷體"/>
                <w:sz w:val="28"/>
                <w:szCs w:val="28"/>
              </w:rPr>
              <w:t>Euroclear</w:t>
            </w:r>
            <w:r w:rsidRPr="003658DA">
              <w:rPr>
                <w:rFonts w:eastAsia="標楷體" w:hAnsi="標楷體" w:hint="eastAsia"/>
                <w:sz w:val="28"/>
                <w:szCs w:val="28"/>
              </w:rPr>
              <w:t>及</w:t>
            </w:r>
            <w:r w:rsidRPr="003658DA">
              <w:rPr>
                <w:rFonts w:eastAsia="標楷體" w:hAnsi="標楷體"/>
                <w:sz w:val="28"/>
                <w:szCs w:val="28"/>
              </w:rPr>
              <w:t>Clearstream</w:t>
            </w:r>
            <w:r w:rsidRPr="003658DA">
              <w:rPr>
                <w:rFonts w:eastAsia="標楷體" w:hAnsi="標楷體" w:hint="eastAsia"/>
                <w:sz w:val="28"/>
                <w:szCs w:val="28"/>
              </w:rPr>
              <w:t>等</w:t>
            </w:r>
            <w:r w:rsidRPr="003658DA">
              <w:rPr>
                <w:rFonts w:eastAsia="標楷體" w:hAnsi="標楷體"/>
                <w:sz w:val="28"/>
                <w:szCs w:val="28"/>
              </w:rPr>
              <w:t>2</w:t>
            </w:r>
            <w:r w:rsidRPr="003658DA">
              <w:rPr>
                <w:rFonts w:eastAsia="標楷體" w:hAnsi="標楷體" w:hint="eastAsia"/>
                <w:sz w:val="28"/>
                <w:szCs w:val="28"/>
              </w:rPr>
              <w:t>家外國保管結算機構開設保管劃撥帳戶及既有的連線，提供客製化相關處理機制及作業方式。另集保結算所與香港金融管理局簽約，完成</w:t>
            </w:r>
            <w:r w:rsidRPr="003658DA">
              <w:rPr>
                <w:rFonts w:eastAsia="標楷體" w:hAnsi="標楷體"/>
                <w:sz w:val="28"/>
                <w:szCs w:val="28"/>
              </w:rPr>
              <w:t>CMU</w:t>
            </w:r>
            <w:r w:rsidRPr="003658DA">
              <w:rPr>
                <w:rFonts w:eastAsia="標楷體" w:hAnsi="標楷體" w:hint="eastAsia"/>
                <w:sz w:val="28"/>
                <w:szCs w:val="28"/>
              </w:rPr>
              <w:t>系統之直接開戶作業，俾配合未來市場需要，將發行登錄於該局點心債，辦理跨國匯撥、帳簿劃撥及還本付息款項代收付等作業。</w:t>
            </w:r>
          </w:p>
          <w:p w:rsidR="00095CB9" w:rsidRPr="003658DA" w:rsidRDefault="00095CB9" w:rsidP="003658DA">
            <w:pPr>
              <w:ind w:leftChars="310" w:left="1321" w:hangingChars="206" w:hanging="577"/>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二</w:t>
            </w:r>
            <w:r w:rsidRPr="003658DA">
              <w:rPr>
                <w:rFonts w:eastAsia="標楷體" w:hAnsi="標楷體"/>
                <w:sz w:val="28"/>
                <w:szCs w:val="28"/>
              </w:rPr>
              <w:t xml:space="preserve">) </w:t>
            </w:r>
            <w:r w:rsidRPr="003658DA">
              <w:rPr>
                <w:rFonts w:eastAsia="標楷體" w:hAnsi="標楷體" w:hint="eastAsia"/>
                <w:sz w:val="28"/>
                <w:szCs w:val="28"/>
              </w:rPr>
              <w:t>提供美元票券作業服務</w:t>
            </w:r>
          </w:p>
          <w:p w:rsidR="00095CB9" w:rsidRPr="003658DA" w:rsidRDefault="00095CB9" w:rsidP="0099278A">
            <w:pPr>
              <w:ind w:leftChars="550" w:left="1320" w:firstLineChars="213" w:firstLine="596"/>
              <w:jc w:val="both"/>
              <w:rPr>
                <w:rFonts w:eastAsia="標楷體" w:hAnsi="標楷體"/>
                <w:sz w:val="28"/>
                <w:szCs w:val="28"/>
              </w:rPr>
            </w:pPr>
            <w:r w:rsidRPr="003658DA">
              <w:rPr>
                <w:rFonts w:eastAsia="標楷體" w:hAnsi="標楷體" w:hint="eastAsia"/>
                <w:sz w:val="28"/>
                <w:szCs w:val="28"/>
              </w:rPr>
              <w:t>美元短期票券係透過集保結算所之票券保管結算交割系統</w:t>
            </w:r>
            <w:r w:rsidRPr="003658DA">
              <w:rPr>
                <w:rFonts w:eastAsia="標楷體" w:hAnsi="標楷體"/>
                <w:sz w:val="28"/>
                <w:szCs w:val="28"/>
              </w:rPr>
              <w:t>(BCSS)</w:t>
            </w:r>
            <w:r w:rsidRPr="003658DA">
              <w:rPr>
                <w:rFonts w:eastAsia="標楷體" w:hAnsi="標楷體" w:hint="eastAsia"/>
                <w:sz w:val="28"/>
                <w:szCs w:val="28"/>
              </w:rPr>
              <w:t>辦理結算交割作業，兆豐商銀擔任美元清算暨實券保管銀行。初級市場係由票券商透過集保結算所提供之傳輸介面將送存、首買交割指令傳送至集保結算所</w:t>
            </w:r>
            <w:r w:rsidRPr="003658DA">
              <w:rPr>
                <w:rFonts w:eastAsia="標楷體" w:hAnsi="標楷體"/>
                <w:sz w:val="28"/>
                <w:szCs w:val="28"/>
              </w:rPr>
              <w:t>BCSS</w:t>
            </w:r>
            <w:r w:rsidRPr="003658DA">
              <w:rPr>
                <w:rFonts w:eastAsia="標楷體" w:hAnsi="標楷體" w:hint="eastAsia"/>
                <w:sz w:val="28"/>
                <w:szCs w:val="28"/>
              </w:rPr>
              <w:t>，辦理票券商與發行人或持票人間之承銷與首次買入作業。次級市場則由票券商與投資人交易，透過票券商將買賣交易指令至</w:t>
            </w:r>
            <w:r w:rsidRPr="003658DA">
              <w:rPr>
                <w:rFonts w:eastAsia="標楷體" w:hAnsi="標楷體"/>
                <w:sz w:val="28"/>
                <w:szCs w:val="28"/>
              </w:rPr>
              <w:t>BCSS</w:t>
            </w:r>
            <w:r w:rsidRPr="003658DA">
              <w:rPr>
                <w:rFonts w:eastAsia="標楷體" w:hAnsi="標楷體" w:hint="eastAsia"/>
                <w:sz w:val="28"/>
                <w:szCs w:val="28"/>
              </w:rPr>
              <w:t>，投資人完成買賣確認後，外幣清算交割銀行於確認投資人帳戶款項無誤，扣除投資人款項後，通知</w:t>
            </w:r>
            <w:r w:rsidRPr="003658DA">
              <w:rPr>
                <w:rFonts w:eastAsia="標楷體" w:hAnsi="標楷體"/>
                <w:sz w:val="28"/>
                <w:szCs w:val="28"/>
              </w:rPr>
              <w:t>BCSS</w:t>
            </w:r>
            <w:r w:rsidRPr="003658DA">
              <w:rPr>
                <w:rFonts w:eastAsia="標楷體" w:hAnsi="標楷體" w:hint="eastAsia"/>
                <w:sz w:val="28"/>
                <w:szCs w:val="28"/>
              </w:rPr>
              <w:t>並完成券項撥轉，即完成美元票券之款券同步交割</w:t>
            </w:r>
            <w:r w:rsidRPr="003658DA">
              <w:rPr>
                <w:rFonts w:eastAsia="標楷體" w:hAnsi="標楷體"/>
                <w:sz w:val="28"/>
                <w:szCs w:val="28"/>
              </w:rPr>
              <w:t>(DVP)</w:t>
            </w:r>
            <w:r w:rsidRPr="003658DA">
              <w:rPr>
                <w:rFonts w:eastAsia="標楷體" w:hAnsi="標楷體" w:hint="eastAsia"/>
                <w:sz w:val="28"/>
                <w:szCs w:val="28"/>
              </w:rPr>
              <w:t>作業。</w:t>
            </w:r>
          </w:p>
          <w:p w:rsidR="00095CB9" w:rsidRPr="003658DA" w:rsidRDefault="00095CB9" w:rsidP="003658DA">
            <w:pPr>
              <w:ind w:leftChars="315" w:left="1319" w:hangingChars="201" w:hanging="563"/>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三</w:t>
            </w:r>
            <w:r w:rsidRPr="003658DA">
              <w:rPr>
                <w:rFonts w:eastAsia="標楷體" w:hAnsi="標楷體"/>
                <w:sz w:val="28"/>
                <w:szCs w:val="28"/>
              </w:rPr>
              <w:t xml:space="preserve">) </w:t>
            </w:r>
            <w:r w:rsidRPr="003658DA">
              <w:rPr>
                <w:rFonts w:eastAsia="標楷體" w:hAnsi="標楷體" w:hint="eastAsia"/>
                <w:sz w:val="28"/>
                <w:szCs w:val="28"/>
              </w:rPr>
              <w:t>提供</w:t>
            </w:r>
            <w:r w:rsidRPr="003658DA">
              <w:rPr>
                <w:rFonts w:eastAsia="標楷體" w:hAnsi="標楷體"/>
                <w:sz w:val="28"/>
                <w:szCs w:val="28"/>
              </w:rPr>
              <w:t>ETF</w:t>
            </w:r>
            <w:r w:rsidRPr="003658DA">
              <w:rPr>
                <w:rFonts w:eastAsia="標楷體" w:hAnsi="標楷體" w:hint="eastAsia"/>
                <w:sz w:val="28"/>
                <w:szCs w:val="28"/>
              </w:rPr>
              <w:t>跨境結算交割服務</w:t>
            </w:r>
          </w:p>
          <w:p w:rsidR="00095CB9" w:rsidRPr="003658DA" w:rsidRDefault="00095CB9" w:rsidP="0099278A">
            <w:pPr>
              <w:ind w:leftChars="550" w:left="1320" w:firstLineChars="213" w:firstLine="596"/>
              <w:jc w:val="both"/>
              <w:rPr>
                <w:rFonts w:eastAsia="標楷體" w:hAnsi="標楷體"/>
                <w:sz w:val="28"/>
                <w:szCs w:val="28"/>
              </w:rPr>
            </w:pPr>
            <w:r w:rsidRPr="003658DA">
              <w:rPr>
                <w:rFonts w:eastAsia="標楷體" w:hAnsi="標楷體" w:hint="eastAsia"/>
                <w:sz w:val="28"/>
                <w:szCs w:val="28"/>
              </w:rPr>
              <w:t>因應國際化發展及滿足投資人多樣化之投資需求，金管會與香港證監會簽署附函方式增加</w:t>
            </w:r>
            <w:r w:rsidRPr="003658DA">
              <w:rPr>
                <w:rFonts w:eastAsia="標楷體" w:hAnsi="標楷體"/>
                <w:sz w:val="28"/>
                <w:szCs w:val="28"/>
              </w:rPr>
              <w:t>ETF</w:t>
            </w:r>
            <w:r w:rsidRPr="003658DA">
              <w:rPr>
                <w:rFonts w:eastAsia="標楷體" w:hAnsi="標楷體" w:hint="eastAsia"/>
                <w:sz w:val="28"/>
                <w:szCs w:val="28"/>
              </w:rPr>
              <w:t>資訊互換之約定，促成臺港</w:t>
            </w:r>
            <w:r w:rsidRPr="003658DA">
              <w:rPr>
                <w:rFonts w:eastAsia="標楷體" w:hAnsi="標楷體"/>
                <w:sz w:val="28"/>
                <w:szCs w:val="28"/>
              </w:rPr>
              <w:t>ETF</w:t>
            </w:r>
            <w:r w:rsidRPr="003658DA">
              <w:rPr>
                <w:rFonts w:eastAsia="標楷體" w:hAnsi="標楷體" w:hint="eastAsia"/>
                <w:sz w:val="28"/>
                <w:szCs w:val="28"/>
              </w:rPr>
              <w:t>相互掛牌。集保結算所採間接開戶方式，經由向香港花旗銀行開設保管劃撥帳戶，及透過香港花旗銀行為香港中央結算有限公司</w:t>
            </w:r>
            <w:r w:rsidRPr="003658DA">
              <w:rPr>
                <w:rFonts w:eastAsia="標楷體" w:hAnsi="標楷體"/>
                <w:sz w:val="28"/>
                <w:szCs w:val="28"/>
              </w:rPr>
              <w:t>(HKSCC)</w:t>
            </w:r>
            <w:r w:rsidRPr="003658DA">
              <w:rPr>
                <w:rFonts w:eastAsia="標楷體" w:hAnsi="標楷體" w:hint="eastAsia"/>
                <w:sz w:val="28"/>
                <w:szCs w:val="28"/>
              </w:rPr>
              <w:t>參加人身份，提供跨國匯撥、國內結算交割及股務等相關作業。</w:t>
            </w:r>
          </w:p>
          <w:p w:rsidR="00095CB9" w:rsidRPr="003658DA" w:rsidRDefault="00095CB9" w:rsidP="003658DA">
            <w:pPr>
              <w:ind w:leftChars="315" w:left="1319" w:hangingChars="201" w:hanging="563"/>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四</w:t>
            </w:r>
            <w:r w:rsidRPr="003658DA">
              <w:rPr>
                <w:rFonts w:eastAsia="標楷體" w:hAnsi="標楷體"/>
                <w:sz w:val="28"/>
                <w:szCs w:val="28"/>
              </w:rPr>
              <w:t xml:space="preserve">) </w:t>
            </w:r>
            <w:r w:rsidRPr="003658DA">
              <w:rPr>
                <w:rFonts w:eastAsia="標楷體" w:hAnsi="標楷體" w:hint="eastAsia"/>
                <w:sz w:val="28"/>
                <w:szCs w:val="28"/>
              </w:rPr>
              <w:t>提供境外及期信基金申報公告平台服務</w:t>
            </w:r>
          </w:p>
          <w:p w:rsidR="00095CB9" w:rsidRPr="003658DA" w:rsidRDefault="00095CB9" w:rsidP="0099278A">
            <w:pPr>
              <w:ind w:leftChars="550" w:left="1320" w:firstLineChars="213" w:firstLine="596"/>
              <w:jc w:val="both"/>
              <w:rPr>
                <w:rFonts w:eastAsia="標楷體" w:hAnsi="標楷體"/>
                <w:sz w:val="28"/>
                <w:szCs w:val="28"/>
              </w:rPr>
            </w:pPr>
            <w:r w:rsidRPr="003658DA">
              <w:rPr>
                <w:rFonts w:eastAsia="標楷體" w:hAnsi="標楷體" w:hint="eastAsia"/>
                <w:sz w:val="28"/>
                <w:szCs w:val="28"/>
              </w:rPr>
              <w:t>集保結算所推出境外基金資訊觀測站，提供投資人完整境外基金資訊服務，境外基金總代理、銀行、證券商依主管機關或投信及投顧公會規定，於每ㄧ營業日將其前ㄧ營業日代理之境外基金名稱、申購、贖回、轉換之總金額、單位數統一透過集保結算所境外基金資訊平台辦理相關資訊申報，並由集保結算所彙整總代理公告申報資訊後，提供投信投顧公會彙送主管機關。集保結算所於</w:t>
            </w:r>
            <w:r w:rsidRPr="003658DA">
              <w:rPr>
                <w:rFonts w:eastAsia="標楷體" w:hAnsi="標楷體"/>
                <w:sz w:val="28"/>
                <w:szCs w:val="28"/>
              </w:rPr>
              <w:t>2009</w:t>
            </w:r>
            <w:r w:rsidRPr="003658DA">
              <w:rPr>
                <w:rFonts w:eastAsia="標楷體" w:hAnsi="標楷體" w:hint="eastAsia"/>
                <w:sz w:val="28"/>
                <w:szCs w:val="28"/>
              </w:rPr>
              <w:t>年推出期信基金資訊觀測站，期貨信託事業透過資訊申報平台，向主管機關申報每日期信基金的淨值及相關重大訊息，保管機構亦可經由申報平台辦理月報覆核作業。</w:t>
            </w:r>
          </w:p>
          <w:p w:rsidR="00095CB9" w:rsidRPr="003658DA" w:rsidRDefault="00095CB9" w:rsidP="003658DA">
            <w:pPr>
              <w:ind w:leftChars="200" w:left="480" w:firstLineChars="93" w:firstLine="260"/>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五</w:t>
            </w:r>
            <w:r w:rsidRPr="003658DA">
              <w:rPr>
                <w:rFonts w:eastAsia="標楷體" w:hAnsi="標楷體"/>
                <w:sz w:val="28"/>
                <w:szCs w:val="28"/>
              </w:rPr>
              <w:t xml:space="preserve">) </w:t>
            </w:r>
            <w:r w:rsidRPr="003658DA">
              <w:rPr>
                <w:rFonts w:eastAsia="標楷體" w:hAnsi="標楷體" w:hint="eastAsia"/>
                <w:sz w:val="28"/>
                <w:szCs w:val="28"/>
              </w:rPr>
              <w:t>提供境內外基金資訊申報傳輸暨款項收付平台服務</w:t>
            </w:r>
          </w:p>
          <w:p w:rsidR="00095CB9" w:rsidRPr="003658DA" w:rsidRDefault="00095CB9" w:rsidP="00A71A0B">
            <w:pPr>
              <w:ind w:leftChars="200" w:left="480" w:firstLineChars="300" w:firstLine="840"/>
              <w:jc w:val="both"/>
              <w:rPr>
                <w:rFonts w:eastAsia="標楷體" w:hAnsi="標楷體"/>
                <w:sz w:val="28"/>
                <w:szCs w:val="28"/>
              </w:rPr>
            </w:pPr>
            <w:r w:rsidRPr="003658DA">
              <w:rPr>
                <w:rFonts w:eastAsia="標楷體" w:hAnsi="標楷體"/>
                <w:sz w:val="28"/>
                <w:szCs w:val="28"/>
              </w:rPr>
              <w:t>1.</w:t>
            </w:r>
            <w:r w:rsidRPr="003658DA">
              <w:rPr>
                <w:rFonts w:eastAsia="標楷體" w:hAnsi="標楷體" w:hint="eastAsia"/>
                <w:sz w:val="28"/>
                <w:szCs w:val="28"/>
              </w:rPr>
              <w:t>境內外基金資訊傳輸服務</w:t>
            </w:r>
          </w:p>
          <w:p w:rsidR="00095CB9" w:rsidRPr="003658DA" w:rsidRDefault="00095CB9" w:rsidP="003658DA">
            <w:pPr>
              <w:ind w:leftChars="647" w:left="1553" w:firstLineChars="195" w:firstLine="546"/>
              <w:jc w:val="both"/>
              <w:rPr>
                <w:rFonts w:eastAsia="標楷體" w:hAnsi="標楷體"/>
                <w:sz w:val="28"/>
                <w:szCs w:val="28"/>
              </w:rPr>
            </w:pPr>
            <w:r w:rsidRPr="003658DA">
              <w:rPr>
                <w:rFonts w:eastAsia="標楷體" w:hAnsi="標楷體" w:hint="eastAsia"/>
                <w:sz w:val="28"/>
                <w:szCs w:val="28"/>
              </w:rPr>
              <w:t>集保結算所完成境內基金下單自動化資訊傳輸服務，每日銷售機構會依客戶別，將申購贖回交易資訊傳輸予基金資訊傳輸平台，集保結算所將交易明細資訊彙總後，傳遞予國內投信公司，交易確認後再透過基金資訊傳輸平台通知銷售機構。鑑於歐美先進國家早已提供基金直通式作業模式（</w:t>
            </w:r>
            <w:r w:rsidRPr="003658DA">
              <w:rPr>
                <w:rFonts w:eastAsia="標楷體" w:hAnsi="標楷體"/>
                <w:sz w:val="28"/>
                <w:szCs w:val="28"/>
              </w:rPr>
              <w:t>STP</w:t>
            </w:r>
            <w:r w:rsidRPr="003658DA">
              <w:rPr>
                <w:rFonts w:eastAsia="標楷體" w:hAnsi="標楷體" w:hint="eastAsia"/>
                <w:sz w:val="28"/>
                <w:szCs w:val="28"/>
              </w:rPr>
              <w:t>），集保結算所於</w:t>
            </w:r>
            <w:r w:rsidRPr="003658DA">
              <w:rPr>
                <w:rFonts w:eastAsia="標楷體" w:hAnsi="標楷體"/>
                <w:sz w:val="28"/>
                <w:szCs w:val="28"/>
              </w:rPr>
              <w:t>2012</w:t>
            </w:r>
            <w:r w:rsidRPr="003658DA">
              <w:rPr>
                <w:rFonts w:eastAsia="標楷體" w:hAnsi="標楷體" w:hint="eastAsia"/>
                <w:sz w:val="28"/>
                <w:szCs w:val="28"/>
              </w:rPr>
              <w:t>年分別與</w:t>
            </w:r>
            <w:r w:rsidRPr="003658DA">
              <w:rPr>
                <w:rFonts w:eastAsia="標楷體" w:hAnsi="標楷體"/>
                <w:sz w:val="28"/>
                <w:szCs w:val="28"/>
              </w:rPr>
              <w:t>BBH</w:t>
            </w:r>
            <w:r w:rsidRPr="003658DA">
              <w:rPr>
                <w:rFonts w:eastAsia="標楷體" w:hAnsi="標楷體" w:hint="eastAsia"/>
                <w:sz w:val="28"/>
                <w:szCs w:val="28"/>
              </w:rPr>
              <w:t>、</w:t>
            </w:r>
            <w:r w:rsidRPr="003658DA">
              <w:rPr>
                <w:rFonts w:eastAsia="標楷體" w:hAnsi="標楷體"/>
                <w:sz w:val="28"/>
                <w:szCs w:val="28"/>
              </w:rPr>
              <w:t>Calastone</w:t>
            </w:r>
            <w:r w:rsidRPr="003658DA">
              <w:rPr>
                <w:rFonts w:eastAsia="標楷體" w:hAnsi="標楷體" w:hint="eastAsia"/>
                <w:sz w:val="28"/>
                <w:szCs w:val="28"/>
              </w:rPr>
              <w:t>、</w:t>
            </w:r>
            <w:r w:rsidRPr="003658DA">
              <w:rPr>
                <w:rFonts w:eastAsia="標楷體" w:hAnsi="標楷體"/>
                <w:sz w:val="28"/>
                <w:szCs w:val="28"/>
              </w:rPr>
              <w:t>Euroclear</w:t>
            </w:r>
            <w:r w:rsidRPr="003658DA">
              <w:rPr>
                <w:rFonts w:eastAsia="標楷體" w:hAnsi="標楷體" w:hint="eastAsia"/>
                <w:sz w:val="28"/>
                <w:szCs w:val="28"/>
              </w:rPr>
              <w:t>等三家國際資訊傳輸服務機構簽約共同合作，提供銷售機構境外基金直通式之自動化下單作業傳輸服務。</w:t>
            </w:r>
          </w:p>
          <w:p w:rsidR="00095CB9" w:rsidRPr="003658DA" w:rsidRDefault="00095CB9" w:rsidP="003658DA">
            <w:pPr>
              <w:ind w:leftChars="550" w:left="1552" w:hangingChars="83" w:hanging="232"/>
              <w:jc w:val="both"/>
              <w:rPr>
                <w:rFonts w:eastAsia="標楷體" w:hAnsi="標楷體"/>
                <w:sz w:val="28"/>
                <w:szCs w:val="28"/>
              </w:rPr>
            </w:pPr>
            <w:r w:rsidRPr="003658DA">
              <w:rPr>
                <w:rFonts w:eastAsia="標楷體" w:hAnsi="標楷體"/>
                <w:sz w:val="28"/>
                <w:szCs w:val="28"/>
              </w:rPr>
              <w:t xml:space="preserve">2. </w:t>
            </w:r>
            <w:r w:rsidRPr="003658DA">
              <w:rPr>
                <w:rFonts w:eastAsia="標楷體" w:hAnsi="標楷體" w:hint="eastAsia"/>
                <w:sz w:val="28"/>
                <w:szCs w:val="28"/>
              </w:rPr>
              <w:t>境外基金款項收付服務</w:t>
            </w:r>
          </w:p>
          <w:p w:rsidR="00095CB9" w:rsidRPr="003658DA" w:rsidRDefault="00095CB9" w:rsidP="003658DA">
            <w:pPr>
              <w:ind w:leftChars="647" w:left="1553" w:firstLineChars="195" w:firstLine="546"/>
              <w:jc w:val="both"/>
              <w:rPr>
                <w:rFonts w:eastAsia="標楷體" w:hAnsi="標楷體"/>
                <w:sz w:val="28"/>
                <w:szCs w:val="28"/>
              </w:rPr>
            </w:pPr>
            <w:r w:rsidRPr="003658DA">
              <w:rPr>
                <w:rFonts w:eastAsia="標楷體" w:hAnsi="標楷體" w:hint="eastAsia"/>
                <w:sz w:val="28"/>
                <w:szCs w:val="28"/>
              </w:rPr>
              <w:t>投資人申購</w:t>
            </w:r>
            <w:r w:rsidRPr="003658DA">
              <w:rPr>
                <w:rFonts w:eastAsia="標楷體" w:hAnsi="標楷體"/>
                <w:sz w:val="28"/>
                <w:szCs w:val="28"/>
              </w:rPr>
              <w:t>(</w:t>
            </w:r>
            <w:r w:rsidRPr="003658DA">
              <w:rPr>
                <w:rFonts w:eastAsia="標楷體" w:hAnsi="標楷體" w:hint="eastAsia"/>
                <w:sz w:val="28"/>
                <w:szCs w:val="28"/>
              </w:rPr>
              <w:t>贖回</w:t>
            </w:r>
            <w:r w:rsidRPr="003658DA">
              <w:rPr>
                <w:rFonts w:eastAsia="標楷體" w:hAnsi="標楷體"/>
                <w:sz w:val="28"/>
                <w:szCs w:val="28"/>
              </w:rPr>
              <w:t>)</w:t>
            </w:r>
            <w:r w:rsidRPr="003658DA">
              <w:rPr>
                <w:rFonts w:eastAsia="標楷體" w:hAnsi="標楷體" w:hint="eastAsia"/>
                <w:sz w:val="28"/>
                <w:szCs w:val="28"/>
              </w:rPr>
              <w:t>境外基金，透過集保結算所提供款項收付服務不但可簡化銷售機構與總代理間款項收付作業，統由集保結算所開立的款項專戶匯出、匯入款項，更可有效降低業者收付及銷帳系統之建置成本，並滿足銷售機構保護客戶資料之需求。</w:t>
            </w:r>
          </w:p>
          <w:p w:rsidR="00095CB9" w:rsidRPr="003658DA" w:rsidRDefault="00095CB9" w:rsidP="001F4A57">
            <w:pPr>
              <w:ind w:leftChars="309" w:left="1554" w:hangingChars="290" w:hanging="812"/>
              <w:jc w:val="both"/>
              <w:rPr>
                <w:rFonts w:eastAsia="標楷體" w:hAnsi="標楷體"/>
                <w:sz w:val="28"/>
                <w:szCs w:val="28"/>
              </w:rPr>
            </w:pPr>
            <w:r w:rsidRPr="003658DA">
              <w:rPr>
                <w:rFonts w:eastAsia="標楷體" w:hAnsi="標楷體"/>
                <w:sz w:val="28"/>
                <w:szCs w:val="28"/>
              </w:rPr>
              <w:t>(</w:t>
            </w:r>
            <w:r w:rsidRPr="003658DA">
              <w:rPr>
                <w:rFonts w:eastAsia="標楷體" w:hAnsi="標楷體" w:hint="eastAsia"/>
                <w:sz w:val="28"/>
                <w:szCs w:val="28"/>
              </w:rPr>
              <w:t>六</w:t>
            </w:r>
            <w:r w:rsidRPr="003658DA">
              <w:rPr>
                <w:rFonts w:eastAsia="標楷體" w:hAnsi="標楷體"/>
                <w:sz w:val="28"/>
                <w:szCs w:val="28"/>
              </w:rPr>
              <w:t xml:space="preserve">) </w:t>
            </w:r>
            <w:r w:rsidRPr="003658DA">
              <w:rPr>
                <w:rFonts w:eastAsia="標楷體" w:hAnsi="標楷體" w:hint="eastAsia"/>
                <w:sz w:val="28"/>
                <w:szCs w:val="28"/>
              </w:rPr>
              <w:t>提供境外結構型商品資訊申報公告平台服務</w:t>
            </w:r>
          </w:p>
          <w:p w:rsidR="00095CB9" w:rsidRPr="003658DA" w:rsidRDefault="00095CB9" w:rsidP="003658DA">
            <w:pPr>
              <w:ind w:leftChars="647" w:left="1553" w:firstLineChars="195" w:firstLine="546"/>
              <w:jc w:val="both"/>
              <w:rPr>
                <w:rFonts w:eastAsia="標楷體" w:hAnsi="標楷體"/>
                <w:sz w:val="28"/>
                <w:szCs w:val="28"/>
              </w:rPr>
            </w:pPr>
            <w:r w:rsidRPr="003658DA">
              <w:rPr>
                <w:rFonts w:eastAsia="標楷體" w:hAnsi="標楷體" w:hint="eastAsia"/>
                <w:sz w:val="28"/>
                <w:szCs w:val="28"/>
              </w:rPr>
              <w:t>集保結算所完成境外結構型商品資訊申報公告平台建置，發行人或總代理人依金管會規定之格式及內容，於每一營業日將其前一營業日發行或代理之境外結構型商品名稱、經交易確認之申購或贖回之總金額及其他重大事項，透過資訊申報平台向集保結算所申報。境外結構型商品發行人或總代理人透過資訊公告平台提供境外結構型商品中文產品說明書及投資人須知，發行人或總代理人所發行或代理之境外結構型商品，應依規定時間，將資料輸入集保結算所建置之申報公告平台後，金管會、中央銀行、相關公會、及投資人可透過該平台查詢相關資訊。</w:t>
            </w:r>
          </w:p>
          <w:p w:rsidR="00095CB9" w:rsidRPr="003658DA" w:rsidRDefault="00095CB9" w:rsidP="00587F46">
            <w:pPr>
              <w:spacing w:beforeLines="50" w:afterLines="50" w:line="360" w:lineRule="exact"/>
              <w:jc w:val="both"/>
              <w:rPr>
                <w:rFonts w:eastAsia="標楷體" w:hAnsi="標楷體"/>
                <w:sz w:val="28"/>
                <w:szCs w:val="28"/>
              </w:rPr>
            </w:pPr>
            <w:r w:rsidRPr="003658DA">
              <w:rPr>
                <w:rFonts w:eastAsia="標楷體" w:hAnsi="標楷體" w:hint="eastAsia"/>
                <w:sz w:val="28"/>
                <w:szCs w:val="28"/>
              </w:rPr>
              <w:t>貳、結論與建議</w:t>
            </w:r>
            <w:r w:rsidRPr="003658DA">
              <w:rPr>
                <w:rFonts w:eastAsia="標楷體" w:hAnsi="標楷體"/>
                <w:sz w:val="28"/>
                <w:szCs w:val="28"/>
              </w:rPr>
              <w:t xml:space="preserve"> </w:t>
            </w:r>
          </w:p>
          <w:p w:rsidR="00095CB9" w:rsidRPr="003658DA" w:rsidRDefault="00095CB9" w:rsidP="00587F46">
            <w:pPr>
              <w:spacing w:beforeLines="50" w:afterLines="50" w:line="360" w:lineRule="exact"/>
              <w:ind w:firstLineChars="342" w:firstLine="958"/>
              <w:jc w:val="both"/>
              <w:rPr>
                <w:rFonts w:eastAsia="標楷體" w:hAnsi="標楷體"/>
                <w:sz w:val="28"/>
                <w:szCs w:val="28"/>
              </w:rPr>
            </w:pPr>
            <w:r w:rsidRPr="003658DA">
              <w:rPr>
                <w:rFonts w:eastAsia="標楷體" w:hAnsi="標楷體" w:hint="eastAsia"/>
                <w:sz w:val="28"/>
                <w:szCs w:val="28"/>
              </w:rPr>
              <w:t>集保結算所為臺灣資本市場後台服務機構，配合我國發展外幣計價商品業務，目前已提供包括國際債券、跨境</w:t>
            </w:r>
            <w:r w:rsidRPr="003658DA">
              <w:rPr>
                <w:rFonts w:eastAsia="標楷體" w:hAnsi="標楷體"/>
                <w:sz w:val="28"/>
                <w:szCs w:val="28"/>
              </w:rPr>
              <w:t>ETF</w:t>
            </w:r>
            <w:r w:rsidRPr="003658DA">
              <w:rPr>
                <w:rFonts w:eastAsia="標楷體" w:hAnsi="標楷體" w:hint="eastAsia"/>
                <w:sz w:val="28"/>
                <w:szCs w:val="28"/>
              </w:rPr>
              <w:t>與美元票券等外幣計價商品之結算交割及相關帳簿劃撥服務，配合兩岸清算機制之建置，為提供人民幣跨行（境）通匯結算服務，由中央銀行責成財金資訊公司建置多幣別外幣結算平台，分別與國際</w:t>
            </w:r>
            <w:r w:rsidRPr="003658DA">
              <w:rPr>
                <w:rFonts w:eastAsia="標楷體" w:hAnsi="標楷體"/>
                <w:sz w:val="28"/>
                <w:szCs w:val="28"/>
              </w:rPr>
              <w:t>SWIFT</w:t>
            </w:r>
            <w:r w:rsidRPr="003658DA">
              <w:rPr>
                <w:rFonts w:eastAsia="標楷體" w:hAnsi="標楷體" w:hint="eastAsia"/>
                <w:sz w:val="28"/>
                <w:szCs w:val="28"/>
              </w:rPr>
              <w:t>平台及美元、人民幣清算銀行連接，辦理人民幣相關業務，並擴及至其他外幣服務。未來配合政府發展具兩岸特色之金融業務計畫及推動國人理財平台，集保結算所積極規劃與外幣及人民幣計價商品間之作業服務，摘要重點如下：</w:t>
            </w:r>
          </w:p>
          <w:p w:rsidR="00095CB9" w:rsidRPr="003658DA" w:rsidRDefault="00095CB9" w:rsidP="00587F46">
            <w:pPr>
              <w:spacing w:beforeLines="50" w:afterLines="50" w:line="360" w:lineRule="exact"/>
              <w:ind w:left="2159" w:hangingChars="771" w:hanging="2159"/>
              <w:jc w:val="both"/>
              <w:rPr>
                <w:rFonts w:eastAsia="標楷體" w:hAnsi="標楷體"/>
                <w:sz w:val="28"/>
                <w:szCs w:val="28"/>
              </w:rPr>
            </w:pPr>
            <w:r w:rsidRPr="003658DA">
              <w:rPr>
                <w:rFonts w:eastAsia="標楷體" w:hAnsi="標楷體" w:hint="eastAsia"/>
                <w:sz w:val="28"/>
                <w:szCs w:val="28"/>
              </w:rPr>
              <w:t>ㄧ、短期－規劃提供人民幣計價</w:t>
            </w:r>
            <w:r w:rsidRPr="003658DA">
              <w:rPr>
                <w:rFonts w:eastAsia="標楷體" w:hAnsi="標楷體"/>
                <w:sz w:val="28"/>
                <w:szCs w:val="28"/>
              </w:rPr>
              <w:t>ETF</w:t>
            </w:r>
            <w:r w:rsidRPr="003658DA">
              <w:rPr>
                <w:rFonts w:eastAsia="標楷體" w:hAnsi="標楷體" w:hint="eastAsia"/>
                <w:sz w:val="28"/>
                <w:szCs w:val="28"/>
              </w:rPr>
              <w:t>與股票交割服務</w:t>
            </w:r>
          </w:p>
          <w:p w:rsidR="00095CB9" w:rsidRPr="003658DA" w:rsidRDefault="00095CB9" w:rsidP="00587F46">
            <w:pPr>
              <w:ind w:leftChars="200" w:left="480" w:firstLineChars="214" w:firstLine="599"/>
              <w:jc w:val="both"/>
              <w:rPr>
                <w:rFonts w:eastAsia="標楷體" w:hAnsi="標楷體"/>
                <w:sz w:val="28"/>
                <w:szCs w:val="28"/>
              </w:rPr>
            </w:pPr>
            <w:r w:rsidRPr="003658DA">
              <w:rPr>
                <w:rFonts w:eastAsia="標楷體" w:hAnsi="標楷體" w:hint="eastAsia"/>
                <w:sz w:val="28"/>
                <w:szCs w:val="28"/>
              </w:rPr>
              <w:t>集保結算所現已提供新臺幣股票及</w:t>
            </w:r>
            <w:r w:rsidRPr="003658DA">
              <w:rPr>
                <w:rFonts w:eastAsia="標楷體" w:hAnsi="標楷體"/>
                <w:sz w:val="28"/>
                <w:szCs w:val="28"/>
              </w:rPr>
              <w:t>ETF</w:t>
            </w:r>
            <w:r w:rsidRPr="003658DA">
              <w:rPr>
                <w:rFonts w:eastAsia="標楷體" w:hAnsi="標楷體" w:hint="eastAsia"/>
                <w:sz w:val="28"/>
                <w:szCs w:val="28"/>
              </w:rPr>
              <w:t>相關帳簿劃撥作業服務，配合證券交易所之規劃，將於現行作業基礎下，研議提供人民幣計價股票及</w:t>
            </w:r>
            <w:r w:rsidRPr="003658DA">
              <w:rPr>
                <w:rFonts w:eastAsia="標楷體" w:hAnsi="標楷體"/>
                <w:sz w:val="28"/>
                <w:szCs w:val="28"/>
              </w:rPr>
              <w:t>ETF</w:t>
            </w:r>
            <w:r w:rsidRPr="003658DA">
              <w:rPr>
                <w:rFonts w:eastAsia="標楷體" w:hAnsi="標楷體" w:hint="eastAsia"/>
                <w:sz w:val="28"/>
                <w:szCs w:val="28"/>
              </w:rPr>
              <w:t>相關登錄及帳簿劃撥作業服務，並提供跨櫃檯轉換服務，投資人向證券商申請人民幣</w:t>
            </w:r>
            <w:r w:rsidRPr="003658DA">
              <w:rPr>
                <w:rFonts w:eastAsia="標楷體" w:hAnsi="標楷體"/>
                <w:sz w:val="28"/>
                <w:szCs w:val="28"/>
              </w:rPr>
              <w:t>ETF</w:t>
            </w:r>
            <w:r w:rsidRPr="003658DA">
              <w:rPr>
                <w:rFonts w:eastAsia="標楷體" w:hAnsi="標楷體" w:hint="eastAsia"/>
                <w:sz w:val="28"/>
                <w:szCs w:val="28"/>
              </w:rPr>
              <w:t>轉換新臺幣</w:t>
            </w:r>
            <w:r w:rsidRPr="003658DA">
              <w:rPr>
                <w:rFonts w:eastAsia="標楷體" w:hAnsi="標楷體"/>
                <w:sz w:val="28"/>
                <w:szCs w:val="28"/>
              </w:rPr>
              <w:t>ETF</w:t>
            </w:r>
            <w:r w:rsidRPr="003658DA">
              <w:rPr>
                <w:rFonts w:eastAsia="標楷體" w:hAnsi="標楷體" w:hint="eastAsia"/>
                <w:sz w:val="28"/>
                <w:szCs w:val="28"/>
              </w:rPr>
              <w:t>，經由證券商確認轉換單位數量後，輸入資料傳送至集保結算所，集保結算所即時辦理人民幣</w:t>
            </w:r>
            <w:r w:rsidRPr="003658DA">
              <w:rPr>
                <w:rFonts w:eastAsia="標楷體" w:hAnsi="標楷體"/>
                <w:sz w:val="28"/>
                <w:szCs w:val="28"/>
              </w:rPr>
              <w:t>ETF</w:t>
            </w:r>
            <w:r w:rsidRPr="003658DA">
              <w:rPr>
                <w:rFonts w:eastAsia="標楷體" w:hAnsi="標楷體" w:hint="eastAsia"/>
                <w:sz w:val="28"/>
                <w:szCs w:val="28"/>
              </w:rPr>
              <w:t>轉換至新臺幣</w:t>
            </w:r>
            <w:r w:rsidRPr="003658DA">
              <w:rPr>
                <w:rFonts w:eastAsia="標楷體" w:hAnsi="標楷體"/>
                <w:sz w:val="28"/>
                <w:szCs w:val="28"/>
              </w:rPr>
              <w:t>ETF</w:t>
            </w:r>
            <w:r w:rsidRPr="003658DA">
              <w:rPr>
                <w:rFonts w:eastAsia="標楷體" w:hAnsi="標楷體" w:hint="eastAsia"/>
                <w:sz w:val="28"/>
                <w:szCs w:val="28"/>
              </w:rPr>
              <w:t>。</w:t>
            </w:r>
          </w:p>
          <w:p w:rsidR="00095CB9" w:rsidRPr="003658DA" w:rsidRDefault="00095CB9" w:rsidP="00587F46">
            <w:pPr>
              <w:spacing w:beforeLines="50" w:afterLines="50" w:line="360" w:lineRule="exact"/>
              <w:ind w:left="599" w:hangingChars="214" w:hanging="599"/>
              <w:jc w:val="both"/>
              <w:rPr>
                <w:rFonts w:eastAsia="標楷體" w:hAnsi="標楷體"/>
                <w:sz w:val="28"/>
                <w:szCs w:val="28"/>
              </w:rPr>
            </w:pPr>
            <w:r w:rsidRPr="003658DA">
              <w:rPr>
                <w:rFonts w:eastAsia="標楷體" w:hAnsi="標楷體" w:hint="eastAsia"/>
                <w:sz w:val="28"/>
                <w:szCs w:val="28"/>
              </w:rPr>
              <w:t>二、中期－提供國際債券之款券同步交割（</w:t>
            </w:r>
            <w:r w:rsidRPr="003658DA">
              <w:rPr>
                <w:rFonts w:eastAsia="標楷體" w:hAnsi="標楷體"/>
                <w:sz w:val="28"/>
                <w:szCs w:val="28"/>
              </w:rPr>
              <w:t>DVP</w:t>
            </w:r>
            <w:r w:rsidRPr="003658DA">
              <w:rPr>
                <w:rFonts w:eastAsia="標楷體" w:hAnsi="標楷體" w:hint="eastAsia"/>
                <w:sz w:val="28"/>
                <w:szCs w:val="28"/>
              </w:rPr>
              <w:t>）服務</w:t>
            </w:r>
          </w:p>
          <w:p w:rsidR="00095CB9" w:rsidRPr="003658DA" w:rsidRDefault="00095CB9" w:rsidP="00587F46">
            <w:pPr>
              <w:ind w:leftChars="213" w:left="511" w:firstLine="640"/>
              <w:jc w:val="both"/>
              <w:rPr>
                <w:rFonts w:eastAsia="標楷體" w:hAnsi="標楷體"/>
                <w:sz w:val="28"/>
                <w:szCs w:val="28"/>
              </w:rPr>
            </w:pPr>
            <w:r w:rsidRPr="003658DA">
              <w:rPr>
                <w:rFonts w:eastAsia="標楷體" w:hAnsi="標楷體" w:hint="eastAsia"/>
                <w:sz w:val="28"/>
                <w:szCs w:val="28"/>
              </w:rPr>
              <w:t>集保結算所配合中央銀行規劃將國際債券納入其外幣債券交易之款券同步交割</w:t>
            </w:r>
            <w:r w:rsidRPr="003658DA">
              <w:rPr>
                <w:rFonts w:eastAsia="標楷體" w:hAnsi="標楷體"/>
                <w:sz w:val="28"/>
                <w:szCs w:val="28"/>
              </w:rPr>
              <w:t>(DVP)</w:t>
            </w:r>
            <w:r w:rsidRPr="003658DA">
              <w:rPr>
                <w:rFonts w:eastAsia="標楷體" w:hAnsi="標楷體" w:hint="eastAsia"/>
                <w:sz w:val="28"/>
                <w:szCs w:val="28"/>
              </w:rPr>
              <w:t>作業，未來可研議規劃循現行集保結算所票券保管結算交割系統</w:t>
            </w:r>
            <w:r w:rsidRPr="003658DA">
              <w:rPr>
                <w:rFonts w:eastAsia="標楷體" w:hAnsi="標楷體"/>
                <w:sz w:val="28"/>
                <w:szCs w:val="28"/>
              </w:rPr>
              <w:t>(BCSS)</w:t>
            </w:r>
            <w:r w:rsidRPr="003658DA">
              <w:rPr>
                <w:rFonts w:eastAsia="標楷體" w:hAnsi="標楷體" w:hint="eastAsia"/>
                <w:sz w:val="28"/>
                <w:szCs w:val="28"/>
              </w:rPr>
              <w:t>作業模式，並與外幣結算平台連線。國際債券次級市場之買賣交易，由債券自營商將存託系統之國際債券跨系統匯撥轉帳至</w:t>
            </w:r>
            <w:r w:rsidRPr="003658DA">
              <w:rPr>
                <w:rFonts w:eastAsia="標楷體" w:hAnsi="標楷體"/>
                <w:sz w:val="28"/>
                <w:szCs w:val="28"/>
              </w:rPr>
              <w:t>BCSS</w:t>
            </w:r>
            <w:r w:rsidRPr="003658DA">
              <w:rPr>
                <w:rFonts w:eastAsia="標楷體" w:hAnsi="標楷體" w:hint="eastAsia"/>
                <w:sz w:val="28"/>
                <w:szCs w:val="28"/>
              </w:rPr>
              <w:t>，債券自營商輸入買賣交易指令至</w:t>
            </w:r>
            <w:r w:rsidRPr="003658DA">
              <w:rPr>
                <w:rFonts w:eastAsia="標楷體" w:hAnsi="標楷體"/>
                <w:sz w:val="28"/>
                <w:szCs w:val="28"/>
              </w:rPr>
              <w:t>BCSS</w:t>
            </w:r>
            <w:r w:rsidRPr="003658DA">
              <w:rPr>
                <w:rFonts w:eastAsia="標楷體" w:hAnsi="標楷體" w:hint="eastAsia"/>
                <w:sz w:val="28"/>
                <w:szCs w:val="28"/>
              </w:rPr>
              <w:t>，投資人完成買賣確認後，清算交割銀行扣除投資人款項後，通知</w:t>
            </w:r>
            <w:r w:rsidRPr="003658DA">
              <w:rPr>
                <w:rFonts w:eastAsia="標楷體" w:hAnsi="標楷體"/>
                <w:sz w:val="28"/>
                <w:szCs w:val="28"/>
              </w:rPr>
              <w:t>BCSS</w:t>
            </w:r>
            <w:r w:rsidRPr="003658DA">
              <w:rPr>
                <w:rFonts w:eastAsia="標楷體" w:hAnsi="標楷體" w:hint="eastAsia"/>
                <w:sz w:val="28"/>
                <w:szCs w:val="28"/>
              </w:rPr>
              <w:t>並完成券項撥轉，即完成境內國際債券款券同步交割</w:t>
            </w:r>
            <w:r w:rsidRPr="003658DA">
              <w:rPr>
                <w:rFonts w:eastAsia="標楷體" w:hAnsi="標楷體"/>
                <w:sz w:val="28"/>
                <w:szCs w:val="28"/>
              </w:rPr>
              <w:t>(DVP)</w:t>
            </w:r>
            <w:r w:rsidRPr="003658DA">
              <w:rPr>
                <w:rFonts w:eastAsia="標楷體" w:hAnsi="標楷體" w:hint="eastAsia"/>
                <w:sz w:val="28"/>
                <w:szCs w:val="28"/>
              </w:rPr>
              <w:t>作業，並提供多筆交易合併採整批差額交割</w:t>
            </w:r>
            <w:r w:rsidRPr="003658DA">
              <w:rPr>
                <w:rFonts w:eastAsia="標楷體" w:hAnsi="標楷體"/>
                <w:sz w:val="28"/>
                <w:szCs w:val="28"/>
              </w:rPr>
              <w:t>(Bundle)</w:t>
            </w:r>
            <w:r w:rsidRPr="003658DA">
              <w:rPr>
                <w:rFonts w:eastAsia="標楷體" w:hAnsi="標楷體" w:hint="eastAsia"/>
                <w:sz w:val="28"/>
                <w:szCs w:val="28"/>
              </w:rPr>
              <w:t>，有效提昇資金運用效率及減輕債券自營商或投資人之資金調度壓力。</w:t>
            </w:r>
          </w:p>
          <w:p w:rsidR="00095CB9" w:rsidRPr="003658DA" w:rsidRDefault="00095CB9" w:rsidP="00587F46">
            <w:pPr>
              <w:spacing w:beforeLines="50" w:afterLines="50" w:line="360" w:lineRule="exact"/>
              <w:ind w:left="2159" w:hangingChars="771" w:hanging="2159"/>
              <w:jc w:val="both"/>
              <w:rPr>
                <w:rFonts w:eastAsia="標楷體" w:hAnsi="標楷體"/>
                <w:sz w:val="28"/>
                <w:szCs w:val="28"/>
              </w:rPr>
            </w:pPr>
            <w:r w:rsidRPr="003658DA">
              <w:rPr>
                <w:rFonts w:eastAsia="標楷體" w:hAnsi="標楷體" w:hint="eastAsia"/>
                <w:sz w:val="28"/>
                <w:szCs w:val="28"/>
              </w:rPr>
              <w:t>三、中期－提供人民幣票券作業服務</w:t>
            </w:r>
          </w:p>
          <w:p w:rsidR="00095CB9" w:rsidRPr="003658DA" w:rsidRDefault="00095CB9" w:rsidP="00587F46">
            <w:pPr>
              <w:ind w:leftChars="213" w:left="511" w:firstLine="640"/>
              <w:jc w:val="both"/>
              <w:rPr>
                <w:rFonts w:eastAsia="標楷體" w:hAnsi="標楷體"/>
                <w:sz w:val="28"/>
                <w:szCs w:val="28"/>
              </w:rPr>
            </w:pPr>
            <w:r w:rsidRPr="003658DA">
              <w:rPr>
                <w:rFonts w:eastAsia="標楷體" w:hAnsi="標楷體" w:hint="eastAsia"/>
                <w:sz w:val="28"/>
                <w:szCs w:val="28"/>
              </w:rPr>
              <w:t>臺灣的企業未來可透過票券商發行人民幣票券籌措資金，並經由外幣結算平台將人民幣資金匯款至中國大陸之臺資企業。集保結算所現已提供美元票券結算交割作業服務，配合票券商公會規劃發展人民幣票券業務，將規劃現行票券結算交割系統（</w:t>
            </w:r>
            <w:r w:rsidRPr="003658DA">
              <w:rPr>
                <w:rFonts w:eastAsia="標楷體" w:hAnsi="標楷體"/>
                <w:sz w:val="28"/>
                <w:szCs w:val="28"/>
              </w:rPr>
              <w:t>BCSS</w:t>
            </w:r>
            <w:r w:rsidRPr="003658DA">
              <w:rPr>
                <w:rFonts w:eastAsia="標楷體" w:hAnsi="標楷體" w:hint="eastAsia"/>
                <w:sz w:val="28"/>
                <w:szCs w:val="28"/>
              </w:rPr>
              <w:t>）作業架構下，透過財金資訊公司外幣結算平台及外幣清算銀行提供人民幣票券結算交割作業服務。</w:t>
            </w:r>
          </w:p>
          <w:p w:rsidR="00095CB9" w:rsidRPr="003658DA" w:rsidRDefault="00095CB9" w:rsidP="00587F46">
            <w:pPr>
              <w:spacing w:beforeLines="50" w:afterLines="50" w:line="360" w:lineRule="exact"/>
              <w:ind w:left="2159" w:hangingChars="771" w:hanging="2159"/>
              <w:jc w:val="both"/>
              <w:rPr>
                <w:rFonts w:eastAsia="標楷體" w:hAnsi="標楷體"/>
                <w:sz w:val="28"/>
                <w:szCs w:val="28"/>
              </w:rPr>
            </w:pPr>
            <w:r w:rsidRPr="003658DA">
              <w:rPr>
                <w:rFonts w:eastAsia="標楷體" w:hAnsi="標楷體" w:hint="eastAsia"/>
                <w:sz w:val="28"/>
                <w:szCs w:val="28"/>
              </w:rPr>
              <w:t>四、中期－提供離境證券業務單位</w:t>
            </w:r>
            <w:r w:rsidRPr="003658DA">
              <w:rPr>
                <w:rFonts w:eastAsia="標楷體" w:hAnsi="標楷體"/>
                <w:sz w:val="28"/>
                <w:szCs w:val="28"/>
              </w:rPr>
              <w:t>(OSU)</w:t>
            </w:r>
            <w:r w:rsidRPr="003658DA">
              <w:rPr>
                <w:rFonts w:eastAsia="標楷體" w:hAnsi="標楷體" w:hint="eastAsia"/>
                <w:sz w:val="28"/>
                <w:szCs w:val="28"/>
              </w:rPr>
              <w:t>服務</w:t>
            </w:r>
          </w:p>
          <w:p w:rsidR="00095CB9" w:rsidRPr="003658DA" w:rsidRDefault="00095CB9" w:rsidP="00587F46">
            <w:pPr>
              <w:ind w:leftChars="213" w:left="511" w:firstLineChars="213" w:firstLine="596"/>
              <w:jc w:val="both"/>
              <w:rPr>
                <w:rFonts w:eastAsia="標楷體" w:hAnsi="標楷體"/>
                <w:sz w:val="28"/>
                <w:szCs w:val="28"/>
              </w:rPr>
            </w:pPr>
            <w:r w:rsidRPr="003658DA">
              <w:rPr>
                <w:rFonts w:eastAsia="標楷體" w:hAnsi="標楷體" w:hint="eastAsia"/>
                <w:sz w:val="28"/>
                <w:szCs w:val="28"/>
              </w:rPr>
              <w:t>集保結算所辦理國內證券業務已建立各類商品交割保管作業模式，目前並已與香港金管局</w:t>
            </w:r>
            <w:r w:rsidRPr="003658DA">
              <w:rPr>
                <w:rFonts w:eastAsia="標楷體" w:hAnsi="標楷體"/>
                <w:sz w:val="28"/>
                <w:szCs w:val="28"/>
              </w:rPr>
              <w:t xml:space="preserve">CMU </w:t>
            </w:r>
            <w:r w:rsidRPr="003658DA">
              <w:rPr>
                <w:rFonts w:eastAsia="標楷體" w:hAnsi="標楷體" w:hint="eastAsia"/>
                <w:sz w:val="28"/>
                <w:szCs w:val="28"/>
              </w:rPr>
              <w:t>及</w:t>
            </w:r>
            <w:r w:rsidRPr="003658DA">
              <w:rPr>
                <w:rFonts w:eastAsia="標楷體" w:hAnsi="標楷體"/>
                <w:sz w:val="28"/>
                <w:szCs w:val="28"/>
              </w:rPr>
              <w:t>Euroclear</w:t>
            </w:r>
            <w:r w:rsidRPr="003658DA">
              <w:rPr>
                <w:rFonts w:eastAsia="標楷體" w:hAnsi="標楷體" w:hint="eastAsia"/>
                <w:sz w:val="28"/>
                <w:szCs w:val="28"/>
              </w:rPr>
              <w:t>、</w:t>
            </w:r>
            <w:r w:rsidRPr="003658DA">
              <w:rPr>
                <w:rFonts w:eastAsia="標楷體" w:hAnsi="標楷體"/>
                <w:sz w:val="28"/>
                <w:szCs w:val="28"/>
              </w:rPr>
              <w:t>Clearstream</w:t>
            </w:r>
            <w:r w:rsidRPr="003658DA">
              <w:rPr>
                <w:rFonts w:eastAsia="標楷體" w:hAnsi="標楷體" w:hint="eastAsia"/>
                <w:sz w:val="28"/>
                <w:szCs w:val="28"/>
              </w:rPr>
              <w:t>、花旗銀行等全球性保管機構完成開戶系統連線，未來配合證券商經營離境證券業務及發展財富管理業務，集保結算所可在現有完整證券保管帳簿劃撥功能基礎下，於證券商承銷海外有價證券配售高資產客戶時，規劃提供證券商記載客戶之境內及境外券項部位。未來證券商購買海外股票與債券之部位，集保結算所將可透過全球性保管機構之連線系統，提供海外股票與債券跨境交割作業服務，及保管證券商海外有價證券之部位，遇股利、股息、債息分派時提供相關款項代收代付服務。</w:t>
            </w:r>
          </w:p>
          <w:p w:rsidR="00095CB9" w:rsidRPr="003658DA" w:rsidRDefault="00095CB9" w:rsidP="00587F46">
            <w:pPr>
              <w:spacing w:beforeLines="50" w:afterLines="50" w:line="360" w:lineRule="exact"/>
              <w:ind w:left="2159" w:hangingChars="771" w:hanging="2159"/>
              <w:jc w:val="both"/>
              <w:rPr>
                <w:rFonts w:eastAsia="標楷體" w:hAnsi="標楷體"/>
                <w:sz w:val="28"/>
                <w:szCs w:val="28"/>
              </w:rPr>
            </w:pPr>
            <w:r w:rsidRPr="003658DA">
              <w:rPr>
                <w:rFonts w:eastAsia="標楷體" w:hAnsi="標楷體" w:hint="eastAsia"/>
                <w:sz w:val="28"/>
                <w:szCs w:val="28"/>
              </w:rPr>
              <w:t>五、長期－提供兩岸三地債券跨境交割作業機制服務</w:t>
            </w:r>
          </w:p>
          <w:p w:rsidR="00095CB9" w:rsidRPr="003658DA" w:rsidRDefault="00095CB9" w:rsidP="00587F46">
            <w:pPr>
              <w:ind w:leftChars="213" w:left="511" w:firstLineChars="213" w:firstLine="596"/>
              <w:jc w:val="both"/>
              <w:rPr>
                <w:rFonts w:eastAsia="標楷體" w:hAnsi="標楷體"/>
                <w:sz w:val="28"/>
                <w:szCs w:val="28"/>
              </w:rPr>
            </w:pPr>
            <w:r w:rsidRPr="003658DA">
              <w:rPr>
                <w:rFonts w:eastAsia="標楷體" w:hAnsi="標楷體" w:hint="eastAsia"/>
                <w:sz w:val="28"/>
                <w:szCs w:val="28"/>
              </w:rPr>
              <w:t>集保結算所已成為香港</w:t>
            </w:r>
            <w:r w:rsidRPr="003658DA">
              <w:rPr>
                <w:rFonts w:eastAsia="標楷體" w:hAnsi="標楷體"/>
                <w:sz w:val="28"/>
                <w:szCs w:val="28"/>
              </w:rPr>
              <w:t>CMU</w:t>
            </w:r>
            <w:r w:rsidRPr="003658DA">
              <w:rPr>
                <w:rFonts w:eastAsia="標楷體" w:hAnsi="標楷體" w:hint="eastAsia"/>
                <w:sz w:val="28"/>
                <w:szCs w:val="28"/>
              </w:rPr>
              <w:t>的直接參加人，兩岸三地集保機構目前也皆和</w:t>
            </w:r>
            <w:r w:rsidRPr="003658DA">
              <w:rPr>
                <w:rFonts w:eastAsia="標楷體" w:hAnsi="標楷體"/>
                <w:sz w:val="28"/>
                <w:szCs w:val="28"/>
              </w:rPr>
              <w:t>Euroclear</w:t>
            </w:r>
            <w:r w:rsidRPr="003658DA">
              <w:rPr>
                <w:rFonts w:eastAsia="標楷體" w:hAnsi="標楷體" w:hint="eastAsia"/>
                <w:sz w:val="28"/>
                <w:szCs w:val="28"/>
              </w:rPr>
              <w:t>及</w:t>
            </w:r>
            <w:r w:rsidRPr="003658DA">
              <w:rPr>
                <w:rFonts w:eastAsia="標楷體" w:hAnsi="標楷體"/>
                <w:sz w:val="28"/>
                <w:szCs w:val="28"/>
              </w:rPr>
              <w:t>Clearstream</w:t>
            </w:r>
            <w:r w:rsidRPr="003658DA">
              <w:rPr>
                <w:rFonts w:eastAsia="標楷體" w:hAnsi="標楷體" w:hint="eastAsia"/>
                <w:sz w:val="28"/>
                <w:szCs w:val="28"/>
              </w:rPr>
              <w:t>兩大外國保管結算機構建立了電腦連線及帳務處理機制，參考上述東協國家</w:t>
            </w:r>
            <w:r w:rsidRPr="003658DA">
              <w:rPr>
                <w:rFonts w:eastAsia="標楷體" w:hAnsi="標楷體"/>
                <w:sz w:val="28"/>
                <w:szCs w:val="28"/>
              </w:rPr>
              <w:t>+3</w:t>
            </w:r>
            <w:r w:rsidRPr="003658DA">
              <w:rPr>
                <w:rFonts w:eastAsia="標楷體" w:hAnsi="標楷體" w:hint="eastAsia"/>
                <w:sz w:val="28"/>
                <w:szCs w:val="28"/>
              </w:rPr>
              <w:t>之國際市場發展趨勢，未來兩岸三地可規劃建立跨境債券交易平台服務，該平台提供兩岸三地金融機構及企業發行之人民幣債券，投資人將可透過平台買賣中國大陸、香港及臺灣發行之人民幣債券，由兩岸三地集保機構辦理交割作業，有關兩岸三地之開戶及相關帳簿劃撥作業可規劃採下列方式：</w:t>
            </w:r>
          </w:p>
          <w:p w:rsidR="00095CB9" w:rsidRPr="003658DA" w:rsidRDefault="00095CB9" w:rsidP="001B3024">
            <w:pPr>
              <w:numPr>
                <w:ilvl w:val="0"/>
                <w:numId w:val="11"/>
              </w:numPr>
              <w:tabs>
                <w:tab w:val="clear" w:pos="1722"/>
                <w:tab w:val="left" w:pos="1320"/>
              </w:tabs>
              <w:ind w:hanging="1002"/>
              <w:jc w:val="both"/>
              <w:rPr>
                <w:rFonts w:eastAsia="標楷體" w:hAnsi="標楷體"/>
                <w:sz w:val="28"/>
                <w:szCs w:val="28"/>
              </w:rPr>
            </w:pPr>
            <w:r w:rsidRPr="003658DA">
              <w:rPr>
                <w:rFonts w:eastAsia="標楷體" w:hAnsi="標楷體" w:hint="eastAsia"/>
                <w:sz w:val="28"/>
                <w:szCs w:val="28"/>
              </w:rPr>
              <w:t>兩岸三地集保透過外國保管結算機構</w:t>
            </w:r>
          </w:p>
          <w:p w:rsidR="00095CB9" w:rsidRPr="003658DA" w:rsidRDefault="00095CB9" w:rsidP="001B3024">
            <w:pPr>
              <w:ind w:left="1330" w:firstLineChars="200" w:firstLine="560"/>
              <w:jc w:val="both"/>
              <w:rPr>
                <w:rFonts w:eastAsia="標楷體" w:hAnsi="標楷體"/>
                <w:sz w:val="28"/>
                <w:szCs w:val="28"/>
              </w:rPr>
            </w:pPr>
            <w:r w:rsidRPr="003658DA">
              <w:rPr>
                <w:rFonts w:eastAsia="標楷體" w:hAnsi="標楷體" w:hint="eastAsia"/>
                <w:sz w:val="28"/>
                <w:szCs w:val="28"/>
              </w:rPr>
              <w:t>比照香港與馬來西亞模式，中國大陸金融機構及國有企業發行人民幣計價債券於歐洲地區發行，債券登錄在</w:t>
            </w:r>
            <w:r w:rsidRPr="003658DA">
              <w:rPr>
                <w:rFonts w:eastAsia="標楷體" w:hAnsi="標楷體"/>
                <w:sz w:val="28"/>
                <w:szCs w:val="28"/>
              </w:rPr>
              <w:t>Euroclear</w:t>
            </w:r>
            <w:r w:rsidRPr="003658DA">
              <w:rPr>
                <w:rFonts w:eastAsia="標楷體" w:hAnsi="標楷體" w:hint="eastAsia"/>
                <w:sz w:val="28"/>
                <w:szCs w:val="28"/>
              </w:rPr>
              <w:t>及</w:t>
            </w:r>
            <w:r w:rsidRPr="003658DA">
              <w:rPr>
                <w:rFonts w:eastAsia="標楷體" w:hAnsi="標楷體"/>
                <w:sz w:val="28"/>
                <w:szCs w:val="28"/>
              </w:rPr>
              <w:t>Clearstream</w:t>
            </w:r>
            <w:r w:rsidRPr="003658DA">
              <w:rPr>
                <w:rFonts w:eastAsia="標楷體" w:hAnsi="標楷體" w:hint="eastAsia"/>
                <w:sz w:val="28"/>
                <w:szCs w:val="28"/>
              </w:rPr>
              <w:t>，未來臺灣、香港及中國大陸皆透過兩大外國保管結算機構合作，集保結算所辦理人民幣債券跨國匯出</w:t>
            </w:r>
            <w:r w:rsidRPr="003658DA">
              <w:rPr>
                <w:rFonts w:eastAsia="標楷體" w:hAnsi="標楷體"/>
                <w:sz w:val="28"/>
                <w:szCs w:val="28"/>
              </w:rPr>
              <w:t>(</w:t>
            </w:r>
            <w:r w:rsidRPr="003658DA">
              <w:rPr>
                <w:rFonts w:eastAsia="標楷體" w:hAnsi="標楷體" w:hint="eastAsia"/>
                <w:sz w:val="28"/>
                <w:szCs w:val="28"/>
              </w:rPr>
              <w:t>入</w:t>
            </w:r>
            <w:r w:rsidRPr="003658DA">
              <w:rPr>
                <w:rFonts w:eastAsia="標楷體" w:hAnsi="標楷體"/>
                <w:sz w:val="28"/>
                <w:szCs w:val="28"/>
              </w:rPr>
              <w:t>)</w:t>
            </w:r>
            <w:r w:rsidRPr="003658DA">
              <w:rPr>
                <w:rFonts w:eastAsia="標楷體" w:hAnsi="標楷體" w:hint="eastAsia"/>
                <w:sz w:val="28"/>
                <w:szCs w:val="28"/>
              </w:rPr>
              <w:t>交割作業。</w:t>
            </w:r>
          </w:p>
          <w:p w:rsidR="00095CB9" w:rsidRPr="003658DA" w:rsidRDefault="00095CB9" w:rsidP="001B3024">
            <w:pPr>
              <w:numPr>
                <w:ilvl w:val="0"/>
                <w:numId w:val="11"/>
              </w:numPr>
              <w:tabs>
                <w:tab w:val="clear" w:pos="1722"/>
                <w:tab w:val="num" w:pos="1320"/>
              </w:tabs>
              <w:ind w:hanging="1002"/>
              <w:jc w:val="both"/>
              <w:rPr>
                <w:rFonts w:eastAsia="標楷體" w:hAnsi="標楷體"/>
                <w:sz w:val="28"/>
                <w:szCs w:val="28"/>
              </w:rPr>
            </w:pPr>
            <w:r w:rsidRPr="003658DA">
              <w:rPr>
                <w:rFonts w:eastAsia="標楷體" w:hAnsi="標楷體" w:hint="eastAsia"/>
                <w:sz w:val="28"/>
                <w:szCs w:val="28"/>
              </w:rPr>
              <w:t>兩岸三地集保透過香港</w:t>
            </w:r>
            <w:r w:rsidRPr="003658DA">
              <w:rPr>
                <w:rFonts w:eastAsia="標楷體" w:hAnsi="標楷體"/>
                <w:sz w:val="28"/>
                <w:szCs w:val="28"/>
              </w:rPr>
              <w:t>CMU</w:t>
            </w:r>
            <w:r w:rsidRPr="003658DA">
              <w:rPr>
                <w:rFonts w:eastAsia="標楷體" w:hAnsi="標楷體" w:hint="eastAsia"/>
                <w:sz w:val="28"/>
                <w:szCs w:val="28"/>
              </w:rPr>
              <w:t>系統</w:t>
            </w:r>
          </w:p>
          <w:p w:rsidR="00095CB9" w:rsidRPr="003658DA" w:rsidRDefault="00095CB9" w:rsidP="001B3024">
            <w:pPr>
              <w:ind w:left="1316" w:firstLineChars="210" w:firstLine="588"/>
              <w:jc w:val="both"/>
              <w:rPr>
                <w:rFonts w:eastAsia="標楷體" w:hAnsi="標楷體"/>
                <w:sz w:val="28"/>
                <w:szCs w:val="28"/>
              </w:rPr>
            </w:pPr>
            <w:r w:rsidRPr="003658DA">
              <w:rPr>
                <w:rFonts w:eastAsia="標楷體" w:hAnsi="標楷體" w:hint="eastAsia"/>
                <w:sz w:val="28"/>
                <w:szCs w:val="28"/>
              </w:rPr>
              <w:t>集保結算所與中央國債登記結算公司皆於香港債務工具中央結算系統（</w:t>
            </w:r>
            <w:r w:rsidRPr="003658DA">
              <w:rPr>
                <w:rFonts w:eastAsia="標楷體" w:hAnsi="標楷體"/>
                <w:sz w:val="28"/>
                <w:szCs w:val="28"/>
              </w:rPr>
              <w:t>CMU</w:t>
            </w:r>
            <w:r w:rsidRPr="003658DA">
              <w:rPr>
                <w:rFonts w:eastAsia="標楷體" w:hAnsi="標楷體" w:hint="eastAsia"/>
                <w:sz w:val="28"/>
                <w:szCs w:val="28"/>
              </w:rPr>
              <w:t>）開設一般託管帳戶成為參加人，中國大陸金融機構及國有企業發行點心債透過香港</w:t>
            </w:r>
            <w:r w:rsidRPr="003658DA">
              <w:rPr>
                <w:rFonts w:eastAsia="標楷體" w:hAnsi="標楷體"/>
                <w:sz w:val="28"/>
                <w:szCs w:val="28"/>
              </w:rPr>
              <w:t>CMU</w:t>
            </w:r>
            <w:r w:rsidRPr="003658DA">
              <w:rPr>
                <w:rFonts w:eastAsia="標楷體" w:hAnsi="標楷體" w:hint="eastAsia"/>
                <w:sz w:val="28"/>
                <w:szCs w:val="28"/>
              </w:rPr>
              <w:t>承銷給臺灣投資人，集保結算所比照國際債券作業方式，發送買賣指示至</w:t>
            </w:r>
            <w:r w:rsidRPr="003658DA">
              <w:rPr>
                <w:rFonts w:eastAsia="標楷體" w:hAnsi="標楷體"/>
                <w:sz w:val="28"/>
                <w:szCs w:val="28"/>
              </w:rPr>
              <w:t>CMU</w:t>
            </w:r>
            <w:r w:rsidRPr="003658DA">
              <w:rPr>
                <w:rFonts w:eastAsia="標楷體" w:hAnsi="標楷體" w:hint="eastAsia"/>
                <w:sz w:val="28"/>
                <w:szCs w:val="28"/>
              </w:rPr>
              <w:t>系統，經比對無誤後完成券項撥轉，接獲</w:t>
            </w:r>
            <w:r w:rsidRPr="003658DA">
              <w:rPr>
                <w:rFonts w:eastAsia="標楷體" w:hAnsi="標楷體"/>
                <w:sz w:val="28"/>
                <w:szCs w:val="28"/>
              </w:rPr>
              <w:t>CMU</w:t>
            </w:r>
            <w:r w:rsidRPr="003658DA">
              <w:rPr>
                <w:rFonts w:eastAsia="標楷體" w:hAnsi="標楷體" w:hint="eastAsia"/>
                <w:sz w:val="28"/>
                <w:szCs w:val="28"/>
              </w:rPr>
              <w:t>交割完成訊息，再辦理投資人券項撥轉。</w:t>
            </w:r>
          </w:p>
          <w:p w:rsidR="00095CB9" w:rsidRPr="003658DA" w:rsidRDefault="00095CB9" w:rsidP="001B3024">
            <w:pPr>
              <w:numPr>
                <w:ilvl w:val="0"/>
                <w:numId w:val="11"/>
              </w:numPr>
              <w:tabs>
                <w:tab w:val="clear" w:pos="1722"/>
                <w:tab w:val="num" w:pos="1320"/>
              </w:tabs>
              <w:ind w:hanging="1002"/>
              <w:jc w:val="both"/>
              <w:rPr>
                <w:rFonts w:eastAsia="標楷體" w:hAnsi="標楷體"/>
                <w:sz w:val="28"/>
                <w:szCs w:val="28"/>
              </w:rPr>
            </w:pPr>
            <w:r w:rsidRPr="003658DA">
              <w:rPr>
                <w:rFonts w:eastAsia="標楷體" w:hAnsi="標楷體" w:hint="eastAsia"/>
                <w:sz w:val="28"/>
                <w:szCs w:val="28"/>
              </w:rPr>
              <w:t>兩岸三地集保相互開戶成為參加人</w:t>
            </w:r>
          </w:p>
          <w:p w:rsidR="00095CB9" w:rsidRPr="003658DA" w:rsidRDefault="00095CB9" w:rsidP="001B3024">
            <w:pPr>
              <w:ind w:left="1330" w:firstLineChars="210" w:firstLine="588"/>
              <w:jc w:val="both"/>
              <w:rPr>
                <w:rFonts w:eastAsia="標楷體" w:hAnsi="標楷體"/>
                <w:sz w:val="28"/>
                <w:szCs w:val="28"/>
              </w:rPr>
            </w:pPr>
            <w:r w:rsidRPr="003658DA">
              <w:rPr>
                <w:rFonts w:eastAsia="標楷體" w:hAnsi="標楷體" w:hint="eastAsia"/>
                <w:sz w:val="28"/>
                <w:szCs w:val="28"/>
              </w:rPr>
              <w:t>集保結算所已於香港金管局</w:t>
            </w:r>
            <w:r w:rsidRPr="003658DA">
              <w:rPr>
                <w:rFonts w:eastAsia="標楷體" w:hAnsi="標楷體"/>
                <w:sz w:val="28"/>
                <w:szCs w:val="28"/>
              </w:rPr>
              <w:t>CMU</w:t>
            </w:r>
            <w:r w:rsidRPr="003658DA">
              <w:rPr>
                <w:rFonts w:eastAsia="標楷體" w:hAnsi="標楷體" w:hint="eastAsia"/>
                <w:sz w:val="28"/>
                <w:szCs w:val="28"/>
              </w:rPr>
              <w:t>開設帳戶，未來臺灣人民幣相關商品市場之規模持續擴大，爭取香港</w:t>
            </w:r>
            <w:r w:rsidRPr="003658DA">
              <w:rPr>
                <w:rFonts w:eastAsia="標楷體" w:hAnsi="標楷體"/>
                <w:sz w:val="28"/>
                <w:szCs w:val="28"/>
              </w:rPr>
              <w:t>CMU</w:t>
            </w:r>
            <w:r w:rsidRPr="003658DA">
              <w:rPr>
                <w:rFonts w:eastAsia="標楷體" w:hAnsi="標楷體" w:hint="eastAsia"/>
                <w:sz w:val="28"/>
                <w:szCs w:val="28"/>
              </w:rPr>
              <w:t>至集保結算所開戶，以利雙邊進行人民幣商品跨境結算交割。更進一步倘中國大陸對合格境外投資者免除需指定境內託管人限制後，集保結算所直接至中央國債登記結算公司開戶成為參加人，分別透過中國銀行臺北分行和中國銀行香港分行作為清算銀行，可經由中國銀行總行與中國人民銀行支付清算系統</w:t>
            </w:r>
            <w:r w:rsidRPr="003658DA">
              <w:rPr>
                <w:rFonts w:eastAsia="標楷體" w:hAnsi="標楷體"/>
                <w:sz w:val="28"/>
                <w:szCs w:val="28"/>
              </w:rPr>
              <w:t>(CNAPS)</w:t>
            </w:r>
            <w:r w:rsidRPr="003658DA">
              <w:rPr>
                <w:rFonts w:eastAsia="標楷體" w:hAnsi="標楷體" w:hint="eastAsia"/>
                <w:sz w:val="28"/>
                <w:szCs w:val="28"/>
              </w:rPr>
              <w:t>聯結處理款項清算，有機會建立兩岸三地債券跨境交割作業服務，集保結算所提供中國境內銀行間債券市場及香港點心債市場之跨境交割作業服務。</w:t>
            </w:r>
          </w:p>
          <w:p w:rsidR="00095CB9" w:rsidRPr="003658DA" w:rsidRDefault="00095CB9" w:rsidP="00587F46">
            <w:pPr>
              <w:spacing w:beforeLines="50"/>
              <w:ind w:leftChars="213" w:left="511" w:firstLineChars="212" w:firstLine="594"/>
              <w:jc w:val="both"/>
              <w:rPr>
                <w:rFonts w:eastAsia="標楷體" w:hAnsi="標楷體"/>
                <w:sz w:val="28"/>
                <w:szCs w:val="28"/>
              </w:rPr>
            </w:pPr>
            <w:r w:rsidRPr="003658DA">
              <w:rPr>
                <w:rFonts w:eastAsia="標楷體" w:hAnsi="標楷體" w:hint="eastAsia"/>
                <w:sz w:val="28"/>
                <w:szCs w:val="28"/>
              </w:rPr>
              <w:t>綜上，集保結算所身為我國資本市場後台機構，長期以來致力於提供市場安全與效率的作業環境，並配合主管機關政策與前台需求，擴展各項服務，為因應兩岸貨幣清算機制建立後人民幣計價商品業務之發展，已提供國際債券、跨境</w:t>
            </w:r>
            <w:r w:rsidRPr="003658DA">
              <w:rPr>
                <w:rFonts w:eastAsia="標楷體" w:hAnsi="標楷體"/>
                <w:sz w:val="28"/>
                <w:szCs w:val="28"/>
              </w:rPr>
              <w:t>ETF</w:t>
            </w:r>
            <w:r w:rsidRPr="003658DA">
              <w:rPr>
                <w:rFonts w:eastAsia="標楷體" w:hAnsi="標楷體" w:hint="eastAsia"/>
                <w:sz w:val="28"/>
                <w:szCs w:val="28"/>
              </w:rPr>
              <w:t>及美元票券之結算交割及帳簿劃撥作業服務。展望未來，集保結算所本於順應國際化趨勢及整體資本市場蓬勃發展為目標，致力與全球資本市場連結合作，在人民幣理財和投資商品的發展趨勢下，將積極規劃提供參加人安全、便捷及多元化的人民幣計價商品之後台作業服務，共同為臺灣發展人民幣離岸中心貢獻已力。</w:t>
            </w:r>
          </w:p>
        </w:tc>
      </w:tr>
    </w:tbl>
    <w:p w:rsidR="00095CB9" w:rsidRDefault="00095CB9">
      <w:pPr>
        <w:pStyle w:val="a"/>
        <w:rPr>
          <w:rFonts w:ascii="華康楷書體W5"/>
        </w:rPr>
      </w:pPr>
      <w:r>
        <w:rPr>
          <w:rFonts w:ascii="華康楷書體W5" w:hint="eastAsia"/>
        </w:rPr>
        <w:t>附註︰一、報告內容提要應包括下列二部分</w:t>
      </w:r>
    </w:p>
    <w:p w:rsidR="00095CB9" w:rsidRDefault="00095CB9">
      <w:pPr>
        <w:pStyle w:val="a"/>
        <w:ind w:left="1200"/>
        <w:rPr>
          <w:rFonts w:ascii="華康楷書體W5"/>
        </w:rPr>
      </w:pPr>
      <w:r>
        <w:rPr>
          <w:rFonts w:ascii="華康楷書體W5" w:eastAsia="華康楷書體W5外字集" w:hint="eastAsia"/>
        </w:rPr>
        <w:t></w:t>
      </w:r>
      <w:r>
        <w:rPr>
          <w:rFonts w:ascii="華康楷書體W5" w:hint="eastAsia"/>
        </w:rPr>
        <w:t>研究內容重點</w:t>
      </w:r>
    </w:p>
    <w:p w:rsidR="00095CB9" w:rsidRDefault="00095CB9">
      <w:pPr>
        <w:pStyle w:val="a"/>
        <w:ind w:left="1200"/>
        <w:rPr>
          <w:rFonts w:ascii="華康楷書體W5"/>
        </w:rPr>
      </w:pPr>
      <w:r>
        <w:rPr>
          <w:rFonts w:ascii="華康楷書體W5" w:eastAsia="華康楷書體W5外字集" w:hint="eastAsia"/>
        </w:rPr>
        <w:t></w:t>
      </w:r>
      <w:r>
        <w:rPr>
          <w:rFonts w:ascii="華康楷書體W5" w:hint="eastAsia"/>
        </w:rPr>
        <w:t>結論與建議事項</w:t>
      </w:r>
    </w:p>
    <w:p w:rsidR="00095CB9" w:rsidRDefault="00095CB9">
      <w:pPr>
        <w:ind w:leftChars="300" w:left="720"/>
        <w:rPr>
          <w:rFonts w:ascii="華康楷書體W5" w:eastAsia="華康楷書體W5" w:hAnsi="標楷體"/>
        </w:rPr>
      </w:pPr>
      <w:r>
        <w:rPr>
          <w:rFonts w:ascii="華康楷書體W5" w:eastAsia="華康楷書體W5" w:hint="eastAsia"/>
        </w:rPr>
        <w:t>二、本提要表附電子檔</w:t>
      </w:r>
    </w:p>
    <w:sectPr w:rsidR="00095CB9" w:rsidSect="00095CB9">
      <w:footerReference w:type="even" r:id="rId7"/>
      <w:footerReference w:type="default" r:id="rId8"/>
      <w:pgSz w:w="11906" w:h="16838"/>
      <w:pgMar w:top="1440" w:right="1644" w:bottom="1440" w:left="1644"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CB9" w:rsidRDefault="00095CB9">
      <w:r>
        <w:separator/>
      </w:r>
    </w:p>
  </w:endnote>
  <w:endnote w:type="continuationSeparator" w:id="0">
    <w:p w:rsidR="00095CB9" w:rsidRDefault="00095C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楷書體W5">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楷書體W5外字集">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B9" w:rsidRDefault="00095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95CB9" w:rsidRDefault="00095C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B9" w:rsidRDefault="00095C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95CB9" w:rsidRDefault="00095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CB9" w:rsidRDefault="00095CB9">
      <w:r>
        <w:separator/>
      </w:r>
    </w:p>
  </w:footnote>
  <w:footnote w:type="continuationSeparator" w:id="0">
    <w:p w:rsidR="00095CB9" w:rsidRDefault="00095C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CB7"/>
    <w:multiLevelType w:val="hybridMultilevel"/>
    <w:tmpl w:val="E4DEA6F0"/>
    <w:lvl w:ilvl="0" w:tplc="0DDACD2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1A223C57"/>
    <w:multiLevelType w:val="hybridMultilevel"/>
    <w:tmpl w:val="51FC8F96"/>
    <w:lvl w:ilvl="0" w:tplc="011A9388">
      <w:start w:val="1"/>
      <w:numFmt w:val="decimal"/>
      <w:lvlText w:val="%1."/>
      <w:lvlJc w:val="left"/>
      <w:pPr>
        <w:tabs>
          <w:tab w:val="num" w:pos="960"/>
        </w:tabs>
        <w:ind w:left="9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1A3345B7"/>
    <w:multiLevelType w:val="hybridMultilevel"/>
    <w:tmpl w:val="6CA2EA30"/>
    <w:lvl w:ilvl="0" w:tplc="0DDACD2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84355E6"/>
    <w:multiLevelType w:val="hybridMultilevel"/>
    <w:tmpl w:val="421CB850"/>
    <w:lvl w:ilvl="0" w:tplc="0DDACD2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74A4887"/>
    <w:multiLevelType w:val="hybridMultilevel"/>
    <w:tmpl w:val="E81E4F32"/>
    <w:lvl w:ilvl="0" w:tplc="AD726E62">
      <w:start w:val="1"/>
      <w:numFmt w:val="taiwaneseCountingThousand"/>
      <w:lvlText w:val="(%1)"/>
      <w:lvlJc w:val="left"/>
      <w:pPr>
        <w:tabs>
          <w:tab w:val="num" w:pos="1722"/>
        </w:tabs>
        <w:ind w:left="1722" w:hanging="615"/>
      </w:pPr>
      <w:rPr>
        <w:rFonts w:eastAsia="標楷體" w:hAnsi="標楷體" w:cs="Times New Roman" w:hint="default"/>
        <w:color w:val="auto"/>
        <w:sz w:val="28"/>
      </w:rPr>
    </w:lvl>
    <w:lvl w:ilvl="1" w:tplc="04090019" w:tentative="1">
      <w:start w:val="1"/>
      <w:numFmt w:val="ideographTraditional"/>
      <w:lvlText w:val="%2、"/>
      <w:lvlJc w:val="left"/>
      <w:pPr>
        <w:tabs>
          <w:tab w:val="num" w:pos="2067"/>
        </w:tabs>
        <w:ind w:left="2067" w:hanging="480"/>
      </w:pPr>
      <w:rPr>
        <w:rFonts w:cs="Times New Roman"/>
      </w:rPr>
    </w:lvl>
    <w:lvl w:ilvl="2" w:tplc="0409001B" w:tentative="1">
      <w:start w:val="1"/>
      <w:numFmt w:val="lowerRoman"/>
      <w:lvlText w:val="%3."/>
      <w:lvlJc w:val="right"/>
      <w:pPr>
        <w:tabs>
          <w:tab w:val="num" w:pos="2547"/>
        </w:tabs>
        <w:ind w:left="2547" w:hanging="480"/>
      </w:pPr>
      <w:rPr>
        <w:rFonts w:cs="Times New Roman"/>
      </w:rPr>
    </w:lvl>
    <w:lvl w:ilvl="3" w:tplc="0409000F" w:tentative="1">
      <w:start w:val="1"/>
      <w:numFmt w:val="decimal"/>
      <w:lvlText w:val="%4."/>
      <w:lvlJc w:val="left"/>
      <w:pPr>
        <w:tabs>
          <w:tab w:val="num" w:pos="3027"/>
        </w:tabs>
        <w:ind w:left="3027" w:hanging="480"/>
      </w:pPr>
      <w:rPr>
        <w:rFonts w:cs="Times New Roman"/>
      </w:rPr>
    </w:lvl>
    <w:lvl w:ilvl="4" w:tplc="04090019" w:tentative="1">
      <w:start w:val="1"/>
      <w:numFmt w:val="ideographTraditional"/>
      <w:lvlText w:val="%5、"/>
      <w:lvlJc w:val="left"/>
      <w:pPr>
        <w:tabs>
          <w:tab w:val="num" w:pos="3507"/>
        </w:tabs>
        <w:ind w:left="3507" w:hanging="480"/>
      </w:pPr>
      <w:rPr>
        <w:rFonts w:cs="Times New Roman"/>
      </w:rPr>
    </w:lvl>
    <w:lvl w:ilvl="5" w:tplc="0409001B" w:tentative="1">
      <w:start w:val="1"/>
      <w:numFmt w:val="lowerRoman"/>
      <w:lvlText w:val="%6."/>
      <w:lvlJc w:val="right"/>
      <w:pPr>
        <w:tabs>
          <w:tab w:val="num" w:pos="3987"/>
        </w:tabs>
        <w:ind w:left="3987" w:hanging="480"/>
      </w:pPr>
      <w:rPr>
        <w:rFonts w:cs="Times New Roman"/>
      </w:rPr>
    </w:lvl>
    <w:lvl w:ilvl="6" w:tplc="0409000F" w:tentative="1">
      <w:start w:val="1"/>
      <w:numFmt w:val="decimal"/>
      <w:lvlText w:val="%7."/>
      <w:lvlJc w:val="left"/>
      <w:pPr>
        <w:tabs>
          <w:tab w:val="num" w:pos="4467"/>
        </w:tabs>
        <w:ind w:left="4467" w:hanging="480"/>
      </w:pPr>
      <w:rPr>
        <w:rFonts w:cs="Times New Roman"/>
      </w:rPr>
    </w:lvl>
    <w:lvl w:ilvl="7" w:tplc="04090019" w:tentative="1">
      <w:start w:val="1"/>
      <w:numFmt w:val="ideographTraditional"/>
      <w:lvlText w:val="%8、"/>
      <w:lvlJc w:val="left"/>
      <w:pPr>
        <w:tabs>
          <w:tab w:val="num" w:pos="4947"/>
        </w:tabs>
        <w:ind w:left="4947" w:hanging="480"/>
      </w:pPr>
      <w:rPr>
        <w:rFonts w:cs="Times New Roman"/>
      </w:rPr>
    </w:lvl>
    <w:lvl w:ilvl="8" w:tplc="0409001B" w:tentative="1">
      <w:start w:val="1"/>
      <w:numFmt w:val="lowerRoman"/>
      <w:lvlText w:val="%9."/>
      <w:lvlJc w:val="right"/>
      <w:pPr>
        <w:tabs>
          <w:tab w:val="num" w:pos="5427"/>
        </w:tabs>
        <w:ind w:left="5427" w:hanging="480"/>
      </w:pPr>
      <w:rPr>
        <w:rFonts w:cs="Times New Roman"/>
      </w:rPr>
    </w:lvl>
  </w:abstractNum>
  <w:abstractNum w:abstractNumId="5">
    <w:nsid w:val="5DC04875"/>
    <w:multiLevelType w:val="hybridMultilevel"/>
    <w:tmpl w:val="D48C8140"/>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nsid w:val="651F18EF"/>
    <w:multiLevelType w:val="hybridMultilevel"/>
    <w:tmpl w:val="3D568E08"/>
    <w:lvl w:ilvl="0" w:tplc="011A9388">
      <w:start w:val="1"/>
      <w:numFmt w:val="decimal"/>
      <w:lvlText w:val="%1."/>
      <w:lvlJc w:val="left"/>
      <w:pPr>
        <w:tabs>
          <w:tab w:val="num" w:pos="960"/>
        </w:tabs>
        <w:ind w:left="960" w:hanging="36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7">
    <w:nsid w:val="70A651D6"/>
    <w:multiLevelType w:val="singleLevel"/>
    <w:tmpl w:val="89E49A4E"/>
    <w:lvl w:ilvl="0">
      <w:start w:val="1"/>
      <w:numFmt w:val="decimal"/>
      <w:lvlText w:val="%1"/>
      <w:legacy w:legacy="1" w:legacySpace="0" w:legacyIndent="360"/>
      <w:lvlJc w:val="left"/>
      <w:rPr>
        <w:rFonts w:ascii="標楷體" w:eastAsia="標楷體" w:hAnsi="標楷體" w:cs="Times New Roman" w:hint="eastAsia"/>
      </w:rPr>
    </w:lvl>
  </w:abstractNum>
  <w:abstractNum w:abstractNumId="8">
    <w:nsid w:val="73A42BB3"/>
    <w:multiLevelType w:val="hybridMultilevel"/>
    <w:tmpl w:val="39689888"/>
    <w:lvl w:ilvl="0" w:tplc="0DDACD20">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75FF0238"/>
    <w:multiLevelType w:val="hybridMultilevel"/>
    <w:tmpl w:val="963034A4"/>
    <w:lvl w:ilvl="0" w:tplc="011A9388">
      <w:start w:val="1"/>
      <w:numFmt w:val="decimal"/>
      <w:lvlText w:val="%1."/>
      <w:lvlJc w:val="left"/>
      <w:pPr>
        <w:tabs>
          <w:tab w:val="num" w:pos="960"/>
        </w:tabs>
        <w:ind w:left="9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7CEC3907"/>
    <w:multiLevelType w:val="hybridMultilevel"/>
    <w:tmpl w:val="13CA87F2"/>
    <w:lvl w:ilvl="0" w:tplc="0409000F">
      <w:start w:val="1"/>
      <w:numFmt w:val="decimal"/>
      <w:lvlText w:val="%1."/>
      <w:lvlJc w:val="left"/>
      <w:pPr>
        <w:tabs>
          <w:tab w:val="num" w:pos="1080"/>
        </w:tabs>
        <w:ind w:left="1080" w:hanging="480"/>
      </w:pPr>
      <w:rPr>
        <w:rFonts w:cs="Times New Roman"/>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num w:numId="1">
    <w:abstractNumId w:val="5"/>
  </w:num>
  <w:num w:numId="2">
    <w:abstractNumId w:val="0"/>
  </w:num>
  <w:num w:numId="3">
    <w:abstractNumId w:val="3"/>
  </w:num>
  <w:num w:numId="4">
    <w:abstractNumId w:val="2"/>
  </w:num>
  <w:num w:numId="5">
    <w:abstractNumId w:val="8"/>
  </w:num>
  <w:num w:numId="6">
    <w:abstractNumId w:val="10"/>
  </w:num>
  <w:num w:numId="7">
    <w:abstractNumId w:val="6"/>
  </w:num>
  <w:num w:numId="8">
    <w:abstractNumId w:val="9"/>
  </w:num>
  <w:num w:numId="9">
    <w:abstractNumId w:val="1"/>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0A57"/>
    <w:rsid w:val="000030B6"/>
    <w:rsid w:val="00016F79"/>
    <w:rsid w:val="00020C22"/>
    <w:rsid w:val="000579CE"/>
    <w:rsid w:val="000730A7"/>
    <w:rsid w:val="00095CB9"/>
    <w:rsid w:val="000A116A"/>
    <w:rsid w:val="000D0464"/>
    <w:rsid w:val="000F629D"/>
    <w:rsid w:val="00113D14"/>
    <w:rsid w:val="001166D6"/>
    <w:rsid w:val="00123FDC"/>
    <w:rsid w:val="00197DB9"/>
    <w:rsid w:val="001B1D34"/>
    <w:rsid w:val="001B3024"/>
    <w:rsid w:val="001E089D"/>
    <w:rsid w:val="001F4A57"/>
    <w:rsid w:val="0020271C"/>
    <w:rsid w:val="002468DC"/>
    <w:rsid w:val="002567DE"/>
    <w:rsid w:val="002666D7"/>
    <w:rsid w:val="00273633"/>
    <w:rsid w:val="00274ADA"/>
    <w:rsid w:val="002871E1"/>
    <w:rsid w:val="0029202A"/>
    <w:rsid w:val="002C274B"/>
    <w:rsid w:val="002F2A57"/>
    <w:rsid w:val="00304388"/>
    <w:rsid w:val="00322C96"/>
    <w:rsid w:val="003249E1"/>
    <w:rsid w:val="00336A02"/>
    <w:rsid w:val="003658DA"/>
    <w:rsid w:val="003965E2"/>
    <w:rsid w:val="003A7B4B"/>
    <w:rsid w:val="003B566A"/>
    <w:rsid w:val="00403FAD"/>
    <w:rsid w:val="0043571E"/>
    <w:rsid w:val="00440030"/>
    <w:rsid w:val="00443B42"/>
    <w:rsid w:val="0045008C"/>
    <w:rsid w:val="00476B05"/>
    <w:rsid w:val="00496B69"/>
    <w:rsid w:val="00535665"/>
    <w:rsid w:val="005513EB"/>
    <w:rsid w:val="0056483F"/>
    <w:rsid w:val="00565C95"/>
    <w:rsid w:val="00571E6E"/>
    <w:rsid w:val="00575B57"/>
    <w:rsid w:val="00587F46"/>
    <w:rsid w:val="005912BB"/>
    <w:rsid w:val="005A1720"/>
    <w:rsid w:val="005B54E5"/>
    <w:rsid w:val="00620AF6"/>
    <w:rsid w:val="00645EB6"/>
    <w:rsid w:val="006753C6"/>
    <w:rsid w:val="00680AFF"/>
    <w:rsid w:val="006820A3"/>
    <w:rsid w:val="0068782F"/>
    <w:rsid w:val="006A1066"/>
    <w:rsid w:val="006D7806"/>
    <w:rsid w:val="00707098"/>
    <w:rsid w:val="0071277F"/>
    <w:rsid w:val="00715A4F"/>
    <w:rsid w:val="00745073"/>
    <w:rsid w:val="00771572"/>
    <w:rsid w:val="007A2793"/>
    <w:rsid w:val="007A38DB"/>
    <w:rsid w:val="008050B4"/>
    <w:rsid w:val="0080559B"/>
    <w:rsid w:val="00830BB4"/>
    <w:rsid w:val="00847734"/>
    <w:rsid w:val="00867367"/>
    <w:rsid w:val="00873F8E"/>
    <w:rsid w:val="00880266"/>
    <w:rsid w:val="00882470"/>
    <w:rsid w:val="008846FE"/>
    <w:rsid w:val="00885635"/>
    <w:rsid w:val="008A0919"/>
    <w:rsid w:val="008C7230"/>
    <w:rsid w:val="008C72EF"/>
    <w:rsid w:val="008D4232"/>
    <w:rsid w:val="008F7ED0"/>
    <w:rsid w:val="009479D9"/>
    <w:rsid w:val="0099278A"/>
    <w:rsid w:val="009A1F83"/>
    <w:rsid w:val="009A4374"/>
    <w:rsid w:val="009C6CE7"/>
    <w:rsid w:val="009D4122"/>
    <w:rsid w:val="009D582D"/>
    <w:rsid w:val="00A234D4"/>
    <w:rsid w:val="00A361F6"/>
    <w:rsid w:val="00A52E78"/>
    <w:rsid w:val="00A67DDD"/>
    <w:rsid w:val="00A71A0B"/>
    <w:rsid w:val="00B0369A"/>
    <w:rsid w:val="00B077DD"/>
    <w:rsid w:val="00B30A57"/>
    <w:rsid w:val="00B62DDD"/>
    <w:rsid w:val="00B77FBD"/>
    <w:rsid w:val="00BA188E"/>
    <w:rsid w:val="00BA3A23"/>
    <w:rsid w:val="00BF596A"/>
    <w:rsid w:val="00C3408D"/>
    <w:rsid w:val="00CA3E8E"/>
    <w:rsid w:val="00CB2472"/>
    <w:rsid w:val="00CB5881"/>
    <w:rsid w:val="00CC30D4"/>
    <w:rsid w:val="00CE6FEF"/>
    <w:rsid w:val="00CF1569"/>
    <w:rsid w:val="00D0401D"/>
    <w:rsid w:val="00D23518"/>
    <w:rsid w:val="00D33338"/>
    <w:rsid w:val="00D346D3"/>
    <w:rsid w:val="00D5291E"/>
    <w:rsid w:val="00D62460"/>
    <w:rsid w:val="00D74843"/>
    <w:rsid w:val="00DF23E8"/>
    <w:rsid w:val="00E03BB7"/>
    <w:rsid w:val="00E04C1D"/>
    <w:rsid w:val="00E172FD"/>
    <w:rsid w:val="00E220C4"/>
    <w:rsid w:val="00E30F47"/>
    <w:rsid w:val="00E50733"/>
    <w:rsid w:val="00E6494D"/>
    <w:rsid w:val="00EA1299"/>
    <w:rsid w:val="00EA7E6E"/>
    <w:rsid w:val="00EC760F"/>
    <w:rsid w:val="00EE2930"/>
    <w:rsid w:val="00F4203D"/>
    <w:rsid w:val="00F72BBD"/>
    <w:rsid w:val="00FA3A62"/>
    <w:rsid w:val="00FA774E"/>
    <w:rsid w:val="00FC24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4"/>
    </w:rPr>
  </w:style>
  <w:style w:type="paragraph" w:styleId="Heading1">
    <w:name w:val="heading 1"/>
    <w:basedOn w:val="Normal"/>
    <w:next w:val="Normal"/>
    <w:link w:val="Heading1Char"/>
    <w:uiPriority w:val="9"/>
    <w:qFormat/>
    <w:rsid w:val="00322C96"/>
    <w:pPr>
      <w:keepNext/>
      <w:spacing w:before="180" w:after="180" w:line="720" w:lineRule="auto"/>
      <w:outlineLvl w:val="0"/>
    </w:pPr>
    <w:rPr>
      <w:rFonts w:ascii="Arial" w:hAnsi="Arial"/>
      <w:b/>
      <w:bCs/>
      <w:kern w:val="52"/>
      <w:sz w:val="52"/>
      <w:szCs w:val="52"/>
    </w:rPr>
  </w:style>
  <w:style w:type="paragraph" w:styleId="Heading3">
    <w:name w:val="heading 3"/>
    <w:basedOn w:val="Normal"/>
    <w:link w:val="Heading3Char"/>
    <w:uiPriority w:val="9"/>
    <w:qFormat/>
    <w:pPr>
      <w:snapToGrid w:val="0"/>
      <w:spacing w:line="500" w:lineRule="atLeast"/>
      <w:ind w:left="624" w:hanging="624"/>
      <w:jc w:val="both"/>
      <w:outlineLvl w:val="2"/>
    </w:pPr>
    <w:rPr>
      <w:rFonts w:eastAsia="標楷體"/>
      <w:spacing w:val="10"/>
      <w:sz w:val="28"/>
      <w:szCs w:val="20"/>
    </w:rPr>
  </w:style>
  <w:style w:type="paragraph" w:styleId="Heading4">
    <w:name w:val="heading 4"/>
    <w:basedOn w:val="Normal"/>
    <w:link w:val="Heading4Char"/>
    <w:uiPriority w:val="9"/>
    <w:qFormat/>
    <w:pPr>
      <w:snapToGrid w:val="0"/>
      <w:spacing w:line="500" w:lineRule="atLeast"/>
      <w:ind w:left="1248" w:hanging="624"/>
      <w:jc w:val="both"/>
      <w:outlineLvl w:val="3"/>
    </w:pPr>
    <w:rPr>
      <w:rFonts w:eastAsia="標楷體"/>
      <w:spacing w:val="10"/>
      <w:sz w:val="28"/>
      <w:szCs w:val="20"/>
    </w:rPr>
  </w:style>
  <w:style w:type="paragraph" w:styleId="Heading5">
    <w:name w:val="heading 5"/>
    <w:basedOn w:val="Normal"/>
    <w:link w:val="Heading5Char"/>
    <w:uiPriority w:val="9"/>
    <w:qFormat/>
    <w:pPr>
      <w:snapToGrid w:val="0"/>
      <w:spacing w:line="500" w:lineRule="atLeast"/>
      <w:ind w:left="1871" w:hanging="624"/>
      <w:jc w:val="both"/>
      <w:outlineLvl w:val="4"/>
    </w:pPr>
    <w:rPr>
      <w:rFonts w:eastAsia="華康楷書體W5"/>
      <w:spacing w:val="20"/>
      <w:sz w:val="28"/>
      <w:szCs w:val="20"/>
    </w:rPr>
  </w:style>
  <w:style w:type="paragraph" w:styleId="Heading7">
    <w:name w:val="heading 7"/>
    <w:basedOn w:val="Normal"/>
    <w:link w:val="Heading7Char"/>
    <w:uiPriority w:val="9"/>
    <w:qFormat/>
    <w:pPr>
      <w:snapToGrid w:val="0"/>
      <w:spacing w:line="500" w:lineRule="atLeast"/>
      <w:ind w:left="3119" w:hanging="624"/>
      <w:jc w:val="both"/>
      <w:outlineLvl w:val="6"/>
    </w:pPr>
    <w:rPr>
      <w:rFonts w:eastAsia="華康楷書體W5"/>
      <w:spacing w:val="20"/>
      <w:sz w:val="28"/>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A84"/>
    <w:rPr>
      <w:rFonts w:asciiTheme="majorHAnsi" w:eastAsiaTheme="majorEastAsia" w:hAnsiTheme="majorHAnsi" w:cstheme="majorBidi"/>
      <w:b/>
      <w:bCs/>
      <w:kern w:val="52"/>
      <w:sz w:val="52"/>
      <w:szCs w:val="52"/>
    </w:rPr>
  </w:style>
  <w:style w:type="character" w:customStyle="1" w:styleId="Heading3Char">
    <w:name w:val="Heading 3 Char"/>
    <w:basedOn w:val="DefaultParagraphFont"/>
    <w:link w:val="Heading3"/>
    <w:uiPriority w:val="9"/>
    <w:semiHidden/>
    <w:rsid w:val="00950A84"/>
    <w:rPr>
      <w:rFonts w:asciiTheme="majorHAnsi" w:eastAsiaTheme="majorEastAsia" w:hAnsiTheme="majorHAnsi" w:cstheme="majorBidi"/>
      <w:b/>
      <w:bCs/>
      <w:kern w:val="2"/>
      <w:sz w:val="36"/>
      <w:szCs w:val="36"/>
    </w:rPr>
  </w:style>
  <w:style w:type="character" w:customStyle="1" w:styleId="Heading4Char">
    <w:name w:val="Heading 4 Char"/>
    <w:basedOn w:val="DefaultParagraphFont"/>
    <w:link w:val="Heading4"/>
    <w:uiPriority w:val="9"/>
    <w:semiHidden/>
    <w:rsid w:val="00950A84"/>
    <w:rPr>
      <w:rFonts w:asciiTheme="majorHAnsi" w:eastAsiaTheme="majorEastAsia" w:hAnsiTheme="majorHAnsi" w:cstheme="majorBidi"/>
      <w:kern w:val="2"/>
      <w:sz w:val="36"/>
      <w:szCs w:val="36"/>
    </w:rPr>
  </w:style>
  <w:style w:type="character" w:customStyle="1" w:styleId="Heading5Char">
    <w:name w:val="Heading 5 Char"/>
    <w:basedOn w:val="DefaultParagraphFont"/>
    <w:link w:val="Heading5"/>
    <w:uiPriority w:val="9"/>
    <w:semiHidden/>
    <w:rsid w:val="00950A84"/>
    <w:rPr>
      <w:rFonts w:asciiTheme="majorHAnsi" w:eastAsiaTheme="majorEastAsia" w:hAnsiTheme="majorHAnsi" w:cstheme="majorBidi"/>
      <w:b/>
      <w:bCs/>
      <w:kern w:val="2"/>
      <w:sz w:val="36"/>
      <w:szCs w:val="36"/>
    </w:rPr>
  </w:style>
  <w:style w:type="character" w:customStyle="1" w:styleId="Heading7Char">
    <w:name w:val="Heading 7 Char"/>
    <w:basedOn w:val="DefaultParagraphFont"/>
    <w:link w:val="Heading7"/>
    <w:uiPriority w:val="9"/>
    <w:semiHidden/>
    <w:rsid w:val="00950A84"/>
    <w:rPr>
      <w:rFonts w:asciiTheme="majorHAnsi" w:eastAsiaTheme="majorEastAsia" w:hAnsiTheme="majorHAnsi" w:cstheme="majorBidi"/>
      <w:b/>
      <w:bCs/>
      <w:kern w:val="2"/>
      <w:sz w:val="36"/>
      <w:szCs w:val="36"/>
    </w:rPr>
  </w:style>
  <w:style w:type="paragraph" w:customStyle="1" w:styleId="2">
    <w:name w:val="表格內文2"/>
    <w:basedOn w:val="Normal"/>
    <w:pPr>
      <w:snapToGrid w:val="0"/>
      <w:spacing w:line="240" w:lineRule="atLeast"/>
      <w:jc w:val="both"/>
    </w:pPr>
    <w:rPr>
      <w:rFonts w:eastAsia="標楷體"/>
      <w:szCs w:val="20"/>
    </w:rPr>
  </w:style>
  <w:style w:type="paragraph" w:styleId="FootnoteText">
    <w:name w:val="footnote text"/>
    <w:basedOn w:val="Normal"/>
    <w:link w:val="FootnoteTextChar"/>
    <w:uiPriority w:val="99"/>
    <w:semiHidden/>
    <w:pPr>
      <w:snapToGrid w:val="0"/>
    </w:pPr>
    <w:rPr>
      <w:sz w:val="20"/>
      <w:szCs w:val="20"/>
    </w:rPr>
  </w:style>
  <w:style w:type="character" w:customStyle="1" w:styleId="FootnoteTextChar">
    <w:name w:val="Footnote Text Char"/>
    <w:basedOn w:val="DefaultParagraphFont"/>
    <w:link w:val="FootnoteText"/>
    <w:uiPriority w:val="99"/>
    <w:semiHidden/>
    <w:rsid w:val="00950A84"/>
    <w:rPr>
      <w:kern w:val="2"/>
    </w:rPr>
  </w:style>
  <w:style w:type="character" w:styleId="FootnoteReference">
    <w:name w:val="footnote reference"/>
    <w:basedOn w:val="DefaultParagraphFont"/>
    <w:uiPriority w:val="99"/>
    <w:semiHidden/>
    <w:rPr>
      <w:rFonts w:cs="Times New Roman"/>
      <w:vertAlign w:val="superscript"/>
    </w:rPr>
  </w:style>
  <w:style w:type="paragraph" w:styleId="Footer">
    <w:name w:val="footer"/>
    <w:basedOn w:val="Normal"/>
    <w:link w:val="FooterChar"/>
    <w:uiPriority w:val="9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950A84"/>
    <w:rPr>
      <w:kern w:val="2"/>
    </w:rPr>
  </w:style>
  <w:style w:type="character" w:styleId="PageNumber">
    <w:name w:val="page number"/>
    <w:basedOn w:val="DefaultParagraphFont"/>
    <w:uiPriority w:val="99"/>
    <w:rPr>
      <w:rFonts w:cs="Times New Roman"/>
    </w:rPr>
  </w:style>
  <w:style w:type="paragraph" w:customStyle="1" w:styleId="a">
    <w:name w:val="內容說明"/>
    <w:basedOn w:val="Normal"/>
    <w:pPr>
      <w:snapToGrid w:val="0"/>
      <w:spacing w:line="240" w:lineRule="atLeast"/>
      <w:jc w:val="both"/>
    </w:pPr>
    <w:rPr>
      <w:rFonts w:eastAsia="華康楷書體W5"/>
      <w:szCs w:val="20"/>
    </w:rPr>
  </w:style>
  <w:style w:type="paragraph" w:customStyle="1" w:styleId="20">
    <w:name w:val="標題 2內文"/>
    <w:basedOn w:val="Normal"/>
    <w:pPr>
      <w:overflowPunct w:val="0"/>
      <w:snapToGrid w:val="0"/>
      <w:spacing w:line="500" w:lineRule="atLeast"/>
      <w:ind w:firstLine="624"/>
      <w:jc w:val="both"/>
    </w:pPr>
    <w:rPr>
      <w:rFonts w:eastAsia="標楷體"/>
      <w:spacing w:val="10"/>
      <w:sz w:val="28"/>
      <w:szCs w:val="20"/>
    </w:rPr>
  </w:style>
  <w:style w:type="paragraph" w:customStyle="1" w:styleId="4">
    <w:name w:val="標題 4內文"/>
    <w:basedOn w:val="Normal"/>
    <w:pPr>
      <w:snapToGrid w:val="0"/>
      <w:spacing w:line="500" w:lineRule="atLeast"/>
      <w:ind w:left="1247" w:firstLine="624"/>
      <w:jc w:val="both"/>
    </w:pPr>
    <w:rPr>
      <w:rFonts w:eastAsia="標楷體"/>
      <w:spacing w:val="10"/>
      <w:sz w:val="28"/>
      <w:szCs w:val="20"/>
    </w:rPr>
  </w:style>
  <w:style w:type="character" w:customStyle="1" w:styleId="40">
    <w:name w:val="標題 4內文 字元"/>
    <w:basedOn w:val="DefaultParagraphFont"/>
    <w:rPr>
      <w:rFonts w:eastAsia="標楷體" w:cs="Times New Roman"/>
      <w:spacing w:val="10"/>
      <w:kern w:val="2"/>
      <w:sz w:val="28"/>
      <w:lang w:val="en-US" w:eastAsia="zh-TW" w:bidi="ar-SA"/>
    </w:rPr>
  </w:style>
  <w:style w:type="paragraph" w:customStyle="1" w:styleId="3">
    <w:name w:val="標題 3內文"/>
    <w:basedOn w:val="Normal"/>
    <w:pPr>
      <w:snapToGrid w:val="0"/>
      <w:spacing w:line="500" w:lineRule="atLeast"/>
      <w:ind w:left="624" w:firstLine="624"/>
      <w:jc w:val="both"/>
    </w:pPr>
    <w:rPr>
      <w:rFonts w:eastAsia="標楷體"/>
      <w:spacing w:val="10"/>
      <w:sz w:val="28"/>
      <w:szCs w:val="20"/>
    </w:rPr>
  </w:style>
  <w:style w:type="paragraph" w:customStyle="1" w:styleId="a0">
    <w:name w:val="圖表內文"/>
    <w:basedOn w:val="Normal"/>
    <w:pPr>
      <w:snapToGrid w:val="0"/>
      <w:spacing w:line="240" w:lineRule="atLeast"/>
      <w:jc w:val="center"/>
    </w:pPr>
    <w:rPr>
      <w:rFonts w:eastAsia="標楷體"/>
    </w:rPr>
  </w:style>
  <w:style w:type="paragraph" w:customStyle="1" w:styleId="3-1">
    <w:name w:val="標題 3-1"/>
    <w:basedOn w:val="Heading3"/>
  </w:style>
  <w:style w:type="paragraph" w:customStyle="1" w:styleId="a1">
    <w:name w:val="封面標題"/>
    <w:basedOn w:val="Heading1"/>
    <w:rsid w:val="00322C96"/>
    <w:pPr>
      <w:adjustRightInd w:val="0"/>
      <w:spacing w:before="0" w:after="400" w:line="240" w:lineRule="atLeast"/>
      <w:jc w:val="center"/>
      <w:textAlignment w:val="baseline"/>
    </w:pPr>
    <w:rPr>
      <w:rFonts w:ascii="Times New Roman" w:eastAsia="標楷體" w:hAnsi="Times New Roman"/>
      <w:bCs w:val="0"/>
      <w:spacing w:val="40"/>
      <w:sz w:val="48"/>
      <w:szCs w:val="20"/>
    </w:rPr>
  </w:style>
  <w:style w:type="paragraph" w:customStyle="1" w:styleId="4-1">
    <w:name w:val="標題 4-1"/>
    <w:basedOn w:val="Heading4"/>
    <w:link w:val="4-10"/>
    <w:rsid w:val="00FA774E"/>
  </w:style>
  <w:style w:type="character" w:customStyle="1" w:styleId="4-10">
    <w:name w:val="標題 4-1 字元"/>
    <w:basedOn w:val="DefaultParagraphFont"/>
    <w:link w:val="4-1"/>
    <w:locked/>
    <w:rsid w:val="00FA774E"/>
    <w:rPr>
      <w:rFonts w:eastAsia="標楷體" w:cs="Times New Roman"/>
      <w:spacing w:val="10"/>
      <w:kern w:val="2"/>
      <w:sz w:val="28"/>
      <w:lang w:val="en-US" w:eastAsia="zh-TW" w:bidi="ar-SA"/>
    </w:rPr>
  </w:style>
  <w:style w:type="paragraph" w:customStyle="1" w:styleId="1">
    <w:name w:val="標題 1內文"/>
    <w:basedOn w:val="Normal"/>
    <w:rsid w:val="00B77FBD"/>
    <w:pPr>
      <w:suppressLineNumbers/>
      <w:snapToGrid w:val="0"/>
      <w:spacing w:line="500" w:lineRule="atLeast"/>
      <w:ind w:firstLine="624"/>
      <w:jc w:val="both"/>
    </w:pPr>
    <w:rPr>
      <w:rFonts w:eastAsia="華康楷書體W5"/>
      <w:noProof/>
      <w:spacing w:val="20"/>
      <w:kern w:val="0"/>
      <w:sz w:val="28"/>
      <w:szCs w:val="20"/>
    </w:rPr>
  </w:style>
  <w:style w:type="paragraph" w:styleId="BodyTextIndent3">
    <w:name w:val="Body Text Indent 3"/>
    <w:basedOn w:val="Normal"/>
    <w:link w:val="BodyTextIndent3Char"/>
    <w:uiPriority w:val="99"/>
    <w:rsid w:val="0029202A"/>
    <w:pPr>
      <w:adjustRightInd w:val="0"/>
      <w:spacing w:line="360" w:lineRule="atLeast"/>
      <w:ind w:firstLineChars="200" w:firstLine="440"/>
      <w:jc w:val="both"/>
      <w:textAlignment w:val="baseline"/>
    </w:pPr>
    <w:rPr>
      <w:rFonts w:eastAsia="華康楷書體W5"/>
      <w:kern w:val="0"/>
      <w:sz w:val="22"/>
      <w:szCs w:val="20"/>
    </w:rPr>
  </w:style>
  <w:style w:type="character" w:customStyle="1" w:styleId="BodyTextIndent3Char">
    <w:name w:val="Body Text Indent 3 Char"/>
    <w:basedOn w:val="DefaultParagraphFont"/>
    <w:link w:val="BodyTextIndent3"/>
    <w:uiPriority w:val="99"/>
    <w:semiHidden/>
    <w:rsid w:val="00950A84"/>
    <w:rPr>
      <w:kern w:val="2"/>
      <w:sz w:val="16"/>
      <w:szCs w:val="16"/>
    </w:rPr>
  </w:style>
  <w:style w:type="paragraph" w:customStyle="1" w:styleId="10">
    <w:name w:val="1"/>
    <w:basedOn w:val="Normal"/>
    <w:rsid w:val="0029202A"/>
    <w:pPr>
      <w:widowControl/>
      <w:spacing w:after="160" w:line="240" w:lineRule="exact"/>
    </w:pPr>
    <w:rPr>
      <w:rFonts w:ascii="Arial" w:hAnsi="Arial" w:cs="Arial"/>
      <w:kern w:val="0"/>
      <w:sz w:val="20"/>
      <w:szCs w:val="20"/>
      <w:lang w:eastAsia="en-US"/>
    </w:rPr>
  </w:style>
  <w:style w:type="paragraph" w:customStyle="1" w:styleId="21">
    <w:name w:val="標題 2 內文"/>
    <w:basedOn w:val="Normal"/>
    <w:rsid w:val="0068782F"/>
    <w:pPr>
      <w:snapToGrid w:val="0"/>
      <w:spacing w:line="500" w:lineRule="atLeast"/>
      <w:ind w:firstLine="624"/>
      <w:jc w:val="both"/>
    </w:pPr>
    <w:rPr>
      <w:rFonts w:eastAsia="標楷體"/>
      <w:spacing w:val="20"/>
      <w:sz w:val="28"/>
      <w:szCs w:val="20"/>
    </w:rPr>
  </w:style>
  <w:style w:type="paragraph" w:customStyle="1" w:styleId="a2">
    <w:name w:val="標題一"/>
    <w:basedOn w:val="Heading1"/>
    <w:link w:val="a3"/>
    <w:rsid w:val="00CA3E8E"/>
    <w:pPr>
      <w:snapToGrid w:val="0"/>
      <w:spacing w:before="0" w:after="400" w:line="240" w:lineRule="atLeast"/>
      <w:jc w:val="center"/>
    </w:pPr>
    <w:rPr>
      <w:rFonts w:ascii="Times New Roman" w:eastAsia="標楷體" w:hAnsi="Times New Roman"/>
      <w:b w:val="0"/>
      <w:bCs w:val="0"/>
      <w:spacing w:val="10"/>
      <w:sz w:val="36"/>
      <w:szCs w:val="36"/>
    </w:rPr>
  </w:style>
  <w:style w:type="character" w:customStyle="1" w:styleId="a3">
    <w:name w:val="標題一 字元"/>
    <w:basedOn w:val="DefaultParagraphFont"/>
    <w:link w:val="a2"/>
    <w:locked/>
    <w:rsid w:val="00CA3E8E"/>
    <w:rPr>
      <w:rFonts w:eastAsia="標楷體" w:cs="Times New Roman"/>
      <w:spacing w:val="10"/>
      <w:kern w:val="52"/>
      <w:sz w:val="36"/>
      <w:szCs w:val="36"/>
      <w:lang w:val="en-US" w:eastAsia="zh-TW" w:bidi="ar-SA"/>
    </w:rPr>
  </w:style>
  <w:style w:type="paragraph" w:customStyle="1" w:styleId="a4">
    <w:name w:val="標題三內文"/>
    <w:basedOn w:val="Normal"/>
    <w:rsid w:val="00C3408D"/>
    <w:pPr>
      <w:snapToGrid w:val="0"/>
      <w:spacing w:line="500" w:lineRule="atLeast"/>
      <w:ind w:leftChars="213" w:left="639" w:firstLineChars="213" w:firstLine="682"/>
      <w:jc w:val="both"/>
    </w:pPr>
    <w:rPr>
      <w:rFonts w:eastAsia="標楷體" w:hAnsi="標楷體"/>
      <w:spacing w:val="20"/>
      <w:sz w:val="28"/>
      <w:szCs w:val="28"/>
    </w:rPr>
  </w:style>
  <w:style w:type="character" w:styleId="Strong">
    <w:name w:val="Strong"/>
    <w:basedOn w:val="DefaultParagraphFont"/>
    <w:uiPriority w:val="22"/>
    <w:qFormat/>
    <w:rsid w:val="00C3408D"/>
    <w:rPr>
      <w:rFonts w:cs="Times New Roman"/>
      <w:b/>
      <w:bCs/>
    </w:rPr>
  </w:style>
  <w:style w:type="paragraph" w:customStyle="1" w:styleId="a5">
    <w:name w:val="標題二內文"/>
    <w:basedOn w:val="Normal"/>
    <w:rsid w:val="00C3408D"/>
    <w:pPr>
      <w:snapToGrid w:val="0"/>
      <w:spacing w:line="500" w:lineRule="atLeast"/>
      <w:ind w:firstLine="660"/>
      <w:jc w:val="both"/>
    </w:pPr>
    <w:rPr>
      <w:rFonts w:eastAsia="標楷體"/>
      <w:spacing w:val="20"/>
      <w:sz w:val="28"/>
      <w:szCs w:val="20"/>
    </w:rPr>
  </w:style>
  <w:style w:type="paragraph" w:customStyle="1" w:styleId="a6">
    <w:name w:val="標題四內文"/>
    <w:basedOn w:val="Normal"/>
    <w:rsid w:val="0099278A"/>
    <w:pPr>
      <w:snapToGrid w:val="0"/>
      <w:spacing w:line="500" w:lineRule="atLeast"/>
      <w:ind w:leftChars="373" w:left="1119" w:firstLine="640"/>
      <w:jc w:val="both"/>
    </w:pPr>
    <w:rPr>
      <w:rFonts w:eastAsia="標楷體" w:hAnsi="標楷體"/>
      <w:spacing w:val="2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Pages>
  <Words>886</Words>
  <Characters>5055</Characters>
  <Application>Microsoft Office Outlook</Application>
  <DocSecurity>0</DocSecurity>
  <Lines>0</Lines>
  <Paragraphs>0</Paragraphs>
  <ScaleCrop>false</ScaleCrop>
  <Company>tdcc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臺灣集中保管結算所股份有限公司</dc:title>
  <dc:subject/>
  <dc:creator>m01_法務組A</dc:creator>
  <cp:keywords/>
  <dc:description/>
  <cp:lastModifiedBy>u950210</cp:lastModifiedBy>
  <cp:revision>8</cp:revision>
  <cp:lastPrinted>2012-12-18T08:21:00Z</cp:lastPrinted>
  <dcterms:created xsi:type="dcterms:W3CDTF">2013-12-28T05:10:00Z</dcterms:created>
  <dcterms:modified xsi:type="dcterms:W3CDTF">2013-12-30T01:36:00Z</dcterms:modified>
</cp:coreProperties>
</file>