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88"/>
        <w:gridCol w:w="4320"/>
        <w:gridCol w:w="190"/>
        <w:gridCol w:w="561"/>
        <w:gridCol w:w="2849"/>
      </w:tblGrid>
      <w:tr w:rsidR="007B321D" w:rsidRPr="00691BA9" w:rsidTr="00583045">
        <w:trPr>
          <w:trHeight w:val="878"/>
        </w:trPr>
        <w:tc>
          <w:tcPr>
            <w:tcW w:w="5608" w:type="dxa"/>
            <w:gridSpan w:val="2"/>
            <w:vAlign w:val="center"/>
          </w:tcPr>
          <w:p w:rsidR="00C348D8" w:rsidRPr="00691BA9" w:rsidRDefault="00F36939" w:rsidP="00691BA9">
            <w:pPr>
              <w:snapToGrid w:val="0"/>
              <w:spacing w:beforeLines="50" w:line="400" w:lineRule="atLeast"/>
              <w:jc w:val="both"/>
              <w:rPr>
                <w:rFonts w:eastAsia="標楷體"/>
                <w:sz w:val="28"/>
              </w:rPr>
            </w:pPr>
            <w:r w:rsidRPr="00691BA9">
              <w:rPr>
                <w:rFonts w:eastAsia="標楷體" w:hAnsi="標楷體" w:hint="eastAsia"/>
                <w:sz w:val="32"/>
                <w:szCs w:val="32"/>
              </w:rPr>
              <w:t>臺灣期貨交易所</w:t>
            </w:r>
            <w:r w:rsidR="00D06CA4" w:rsidRPr="00691BA9">
              <w:rPr>
                <w:rFonts w:eastAsia="標楷體" w:hAnsi="標楷體" w:hint="eastAsia"/>
                <w:sz w:val="32"/>
                <w:szCs w:val="32"/>
              </w:rPr>
              <w:t>100</w:t>
            </w:r>
            <w:r w:rsidRPr="00691BA9">
              <w:rPr>
                <w:rFonts w:eastAsia="標楷體" w:hAnsi="標楷體" w:hint="eastAsia"/>
                <w:sz w:val="32"/>
                <w:szCs w:val="32"/>
              </w:rPr>
              <w:t>年度研究報告提要表</w:t>
            </w:r>
          </w:p>
        </w:tc>
        <w:tc>
          <w:tcPr>
            <w:tcW w:w="3600" w:type="dxa"/>
            <w:gridSpan w:val="3"/>
          </w:tcPr>
          <w:p w:rsidR="007B321D" w:rsidRPr="00691BA9" w:rsidRDefault="00F36939">
            <w:pPr>
              <w:widowControl/>
              <w:spacing w:line="380" w:lineRule="exact"/>
              <w:rPr>
                <w:rFonts w:eastAsia="標楷體"/>
                <w:sz w:val="28"/>
              </w:rPr>
            </w:pPr>
            <w:r w:rsidRPr="00691BA9">
              <w:rPr>
                <w:rFonts w:eastAsia="標楷體" w:hAnsi="標楷體" w:hint="eastAsia"/>
                <w:sz w:val="28"/>
              </w:rPr>
              <w:t>填表人：</w:t>
            </w:r>
            <w:r w:rsidR="00D06CA4" w:rsidRPr="00691BA9">
              <w:rPr>
                <w:rFonts w:eastAsia="標楷體" w:hAnsi="標楷體" w:hint="eastAsia"/>
                <w:sz w:val="28"/>
              </w:rPr>
              <w:t>顏含容</w:t>
            </w:r>
          </w:p>
          <w:p w:rsidR="00C348D8" w:rsidRPr="00691BA9" w:rsidRDefault="00F36939">
            <w:pPr>
              <w:snapToGrid w:val="0"/>
              <w:spacing w:line="380" w:lineRule="exact"/>
              <w:rPr>
                <w:rFonts w:eastAsia="標楷體"/>
                <w:sz w:val="28"/>
              </w:rPr>
            </w:pPr>
            <w:r w:rsidRPr="00691BA9">
              <w:rPr>
                <w:rFonts w:eastAsia="標楷體" w:hAnsi="標楷體" w:hint="eastAsia"/>
                <w:sz w:val="28"/>
              </w:rPr>
              <w:t>填表日期：</w:t>
            </w:r>
            <w:r w:rsidR="00D06CA4" w:rsidRPr="00691BA9">
              <w:rPr>
                <w:rFonts w:eastAsia="標楷體" w:hAnsi="標楷體" w:hint="eastAsia"/>
                <w:sz w:val="28"/>
              </w:rPr>
              <w:t>100</w:t>
            </w:r>
            <w:r w:rsidRPr="00691BA9">
              <w:rPr>
                <w:rFonts w:eastAsia="標楷體" w:hAnsi="標楷體" w:hint="eastAsia"/>
                <w:sz w:val="28"/>
              </w:rPr>
              <w:t>年</w:t>
            </w:r>
            <w:r w:rsidR="00D67D90" w:rsidRPr="00691BA9">
              <w:rPr>
                <w:rFonts w:eastAsia="標楷體" w:hAnsi="標楷體" w:hint="eastAsia"/>
                <w:sz w:val="28"/>
              </w:rPr>
              <w:t>1</w:t>
            </w:r>
            <w:r w:rsidR="00FC4CEA" w:rsidRPr="00691BA9">
              <w:rPr>
                <w:rFonts w:eastAsia="標楷體" w:hAnsi="標楷體" w:hint="eastAsia"/>
                <w:sz w:val="28"/>
              </w:rPr>
              <w:t>2</w:t>
            </w:r>
            <w:r w:rsidRPr="00691BA9">
              <w:rPr>
                <w:rFonts w:eastAsia="標楷體" w:hAnsi="標楷體" w:hint="eastAsia"/>
                <w:sz w:val="28"/>
              </w:rPr>
              <w:t>月</w:t>
            </w:r>
            <w:r w:rsidR="00D06CA4" w:rsidRPr="00691BA9">
              <w:rPr>
                <w:rFonts w:eastAsia="標楷體" w:hAnsi="標楷體" w:hint="eastAsia"/>
                <w:sz w:val="28"/>
              </w:rPr>
              <w:t>15</w:t>
            </w:r>
            <w:r w:rsidRPr="00691BA9">
              <w:rPr>
                <w:rFonts w:eastAsia="標楷體" w:hAnsi="標楷體" w:hint="eastAsia"/>
                <w:sz w:val="28"/>
              </w:rPr>
              <w:t>日</w:t>
            </w:r>
          </w:p>
        </w:tc>
      </w:tr>
      <w:tr w:rsidR="007B321D" w:rsidRPr="00691BA9" w:rsidTr="00583045">
        <w:trPr>
          <w:trHeight w:val="643"/>
        </w:trPr>
        <w:tc>
          <w:tcPr>
            <w:tcW w:w="1288" w:type="dxa"/>
          </w:tcPr>
          <w:p w:rsidR="007B321D" w:rsidRPr="00691BA9" w:rsidRDefault="00F36939">
            <w:pPr>
              <w:snapToGrid w:val="0"/>
              <w:spacing w:line="500" w:lineRule="atLeast"/>
              <w:jc w:val="both"/>
              <w:rPr>
                <w:rFonts w:eastAsia="標楷體"/>
                <w:sz w:val="28"/>
              </w:rPr>
            </w:pPr>
            <w:r w:rsidRPr="00691BA9">
              <w:rPr>
                <w:rFonts w:eastAsia="標楷體" w:hAnsi="標楷體" w:hint="eastAsia"/>
                <w:sz w:val="28"/>
              </w:rPr>
              <w:t>研究項目</w:t>
            </w:r>
          </w:p>
        </w:tc>
        <w:tc>
          <w:tcPr>
            <w:tcW w:w="7920" w:type="dxa"/>
            <w:gridSpan w:val="4"/>
          </w:tcPr>
          <w:p w:rsidR="007B321D" w:rsidRPr="00691BA9" w:rsidRDefault="00D06CA4">
            <w:pPr>
              <w:snapToGrid w:val="0"/>
              <w:spacing w:line="500" w:lineRule="atLeast"/>
              <w:rPr>
                <w:rFonts w:eastAsia="標楷體"/>
                <w:sz w:val="28"/>
                <w:szCs w:val="28"/>
              </w:rPr>
            </w:pPr>
            <w:r w:rsidRPr="00691BA9">
              <w:rPr>
                <w:rFonts w:eastAsia="標楷體"/>
                <w:sz w:val="28"/>
                <w:szCs w:val="28"/>
              </w:rPr>
              <w:t>國外股票期貨或選擇權上市可行性之研究</w:t>
            </w:r>
          </w:p>
        </w:tc>
      </w:tr>
      <w:tr w:rsidR="007B321D" w:rsidRPr="00691BA9" w:rsidTr="00583045">
        <w:trPr>
          <w:trHeight w:val="1564"/>
        </w:trPr>
        <w:tc>
          <w:tcPr>
            <w:tcW w:w="1288" w:type="dxa"/>
            <w:vAlign w:val="center"/>
          </w:tcPr>
          <w:p w:rsidR="007B321D" w:rsidRPr="00691BA9" w:rsidRDefault="00F36939">
            <w:pPr>
              <w:snapToGrid w:val="0"/>
              <w:spacing w:line="500" w:lineRule="atLeast"/>
              <w:jc w:val="both"/>
              <w:rPr>
                <w:rFonts w:eastAsia="標楷體"/>
                <w:sz w:val="28"/>
              </w:rPr>
            </w:pPr>
            <w:r w:rsidRPr="00691BA9">
              <w:rPr>
                <w:rFonts w:eastAsia="標楷體" w:hAnsi="標楷體" w:hint="eastAsia"/>
                <w:sz w:val="28"/>
              </w:rPr>
              <w:t>研究單位</w:t>
            </w:r>
          </w:p>
          <w:p w:rsidR="007B321D" w:rsidRPr="00691BA9" w:rsidRDefault="00F36939">
            <w:pPr>
              <w:snapToGrid w:val="0"/>
              <w:spacing w:line="500" w:lineRule="atLeast"/>
              <w:jc w:val="both"/>
              <w:rPr>
                <w:rFonts w:eastAsia="標楷體"/>
                <w:sz w:val="28"/>
              </w:rPr>
            </w:pPr>
            <w:r w:rsidRPr="00691BA9">
              <w:rPr>
                <w:rFonts w:eastAsia="標楷體" w:hAnsi="標楷體" w:hint="eastAsia"/>
                <w:sz w:val="28"/>
              </w:rPr>
              <w:t>及人員</w:t>
            </w:r>
          </w:p>
        </w:tc>
        <w:tc>
          <w:tcPr>
            <w:tcW w:w="4510" w:type="dxa"/>
            <w:gridSpan w:val="2"/>
            <w:vAlign w:val="center"/>
          </w:tcPr>
          <w:p w:rsidR="007B321D" w:rsidRPr="00691BA9" w:rsidRDefault="00FC4CEA">
            <w:pPr>
              <w:widowControl/>
              <w:spacing w:line="340" w:lineRule="exact"/>
              <w:jc w:val="both"/>
              <w:rPr>
                <w:rFonts w:eastAsia="標楷體"/>
                <w:sz w:val="28"/>
                <w:szCs w:val="32"/>
              </w:rPr>
            </w:pPr>
            <w:r w:rsidRPr="00691BA9">
              <w:rPr>
                <w:rFonts w:eastAsia="標楷體" w:hAnsi="標楷體"/>
                <w:sz w:val="28"/>
              </w:rPr>
              <w:t>研究單位</w:t>
            </w:r>
            <w:r w:rsidR="00F36939" w:rsidRPr="00691BA9">
              <w:rPr>
                <w:rFonts w:eastAsia="標楷體" w:hAnsi="標楷體" w:hint="eastAsia"/>
                <w:sz w:val="28"/>
                <w:szCs w:val="32"/>
              </w:rPr>
              <w:t>：</w:t>
            </w:r>
          </w:p>
          <w:p w:rsidR="007B321D" w:rsidRPr="00691BA9" w:rsidRDefault="00FC4CEA">
            <w:pPr>
              <w:widowControl/>
              <w:spacing w:line="340" w:lineRule="exact"/>
              <w:jc w:val="both"/>
              <w:rPr>
                <w:rFonts w:eastAsia="標楷體" w:hAnsi="標楷體"/>
                <w:sz w:val="28"/>
                <w:szCs w:val="32"/>
              </w:rPr>
            </w:pPr>
            <w:r w:rsidRPr="00691BA9">
              <w:rPr>
                <w:rFonts w:eastAsia="標楷體" w:hAnsi="標楷體" w:hint="eastAsia"/>
                <w:sz w:val="28"/>
                <w:szCs w:val="32"/>
              </w:rPr>
              <w:t>臺灣期貨交易所</w:t>
            </w:r>
          </w:p>
          <w:p w:rsidR="00FC4CEA" w:rsidRPr="00691BA9" w:rsidRDefault="00FC4CEA">
            <w:pPr>
              <w:widowControl/>
              <w:spacing w:line="340" w:lineRule="exact"/>
              <w:jc w:val="both"/>
              <w:rPr>
                <w:rFonts w:eastAsia="標楷體"/>
                <w:sz w:val="28"/>
                <w:szCs w:val="32"/>
              </w:rPr>
            </w:pPr>
          </w:p>
          <w:p w:rsidR="00FC4CEA" w:rsidRPr="00691BA9" w:rsidRDefault="00FC4CEA">
            <w:pPr>
              <w:widowControl/>
              <w:spacing w:line="340" w:lineRule="exact"/>
              <w:jc w:val="both"/>
              <w:rPr>
                <w:rFonts w:eastAsia="標楷體"/>
                <w:sz w:val="28"/>
                <w:szCs w:val="32"/>
              </w:rPr>
            </w:pPr>
          </w:p>
          <w:p w:rsidR="007B321D" w:rsidRPr="00691BA9" w:rsidRDefault="00F36939">
            <w:pPr>
              <w:widowControl/>
              <w:spacing w:line="340" w:lineRule="exact"/>
              <w:jc w:val="both"/>
              <w:rPr>
                <w:rFonts w:eastAsia="標楷體"/>
                <w:sz w:val="28"/>
                <w:szCs w:val="32"/>
              </w:rPr>
            </w:pPr>
            <w:r w:rsidRPr="00691BA9">
              <w:rPr>
                <w:rFonts w:eastAsia="標楷體" w:hAnsi="標楷體" w:hint="eastAsia"/>
                <w:sz w:val="28"/>
                <w:szCs w:val="32"/>
              </w:rPr>
              <w:t>研究人員：</w:t>
            </w:r>
          </w:p>
          <w:p w:rsidR="007B321D" w:rsidRPr="00691BA9" w:rsidRDefault="00D06CA4">
            <w:pPr>
              <w:snapToGrid w:val="0"/>
              <w:spacing w:line="340" w:lineRule="exact"/>
              <w:jc w:val="both"/>
              <w:rPr>
                <w:rFonts w:eastAsia="標楷體"/>
                <w:sz w:val="28"/>
              </w:rPr>
            </w:pPr>
            <w:r w:rsidRPr="00691BA9">
              <w:rPr>
                <w:rFonts w:eastAsia="標楷體" w:hAnsi="標楷體" w:hint="eastAsia"/>
                <w:kern w:val="0"/>
                <w:sz w:val="28"/>
              </w:rPr>
              <w:t>顏含容</w:t>
            </w:r>
          </w:p>
        </w:tc>
        <w:tc>
          <w:tcPr>
            <w:tcW w:w="561" w:type="dxa"/>
            <w:vAlign w:val="center"/>
          </w:tcPr>
          <w:p w:rsidR="00C348D8" w:rsidRPr="00691BA9" w:rsidRDefault="00F36939">
            <w:pPr>
              <w:snapToGrid w:val="0"/>
              <w:spacing w:line="500" w:lineRule="atLeast"/>
              <w:jc w:val="center"/>
              <w:rPr>
                <w:rFonts w:eastAsia="標楷體"/>
                <w:sz w:val="28"/>
              </w:rPr>
            </w:pPr>
            <w:r w:rsidRPr="00691BA9">
              <w:rPr>
                <w:rFonts w:eastAsia="標楷體" w:hAnsi="標楷體" w:hint="eastAsia"/>
                <w:sz w:val="28"/>
              </w:rPr>
              <w:t>研究</w:t>
            </w:r>
          </w:p>
          <w:p w:rsidR="00C348D8" w:rsidRPr="00691BA9" w:rsidRDefault="00F36939">
            <w:pPr>
              <w:snapToGrid w:val="0"/>
              <w:spacing w:line="500" w:lineRule="atLeast"/>
              <w:jc w:val="center"/>
              <w:rPr>
                <w:rFonts w:eastAsia="標楷體"/>
                <w:sz w:val="28"/>
              </w:rPr>
            </w:pPr>
            <w:r w:rsidRPr="00691BA9">
              <w:rPr>
                <w:rFonts w:eastAsia="標楷體" w:hAnsi="標楷體" w:hint="eastAsia"/>
                <w:sz w:val="28"/>
              </w:rPr>
              <w:t>時間</w:t>
            </w:r>
          </w:p>
        </w:tc>
        <w:tc>
          <w:tcPr>
            <w:tcW w:w="2849" w:type="dxa"/>
            <w:vAlign w:val="center"/>
          </w:tcPr>
          <w:p w:rsidR="007B321D" w:rsidRPr="00691BA9" w:rsidRDefault="00F36939">
            <w:pPr>
              <w:widowControl/>
              <w:spacing w:line="340" w:lineRule="exact"/>
              <w:jc w:val="both"/>
              <w:rPr>
                <w:rFonts w:eastAsia="標楷體"/>
                <w:sz w:val="28"/>
                <w:szCs w:val="32"/>
              </w:rPr>
            </w:pPr>
            <w:r w:rsidRPr="00691BA9">
              <w:rPr>
                <w:rFonts w:eastAsia="標楷體" w:hAnsi="標楷體" w:hint="eastAsia"/>
                <w:sz w:val="28"/>
                <w:szCs w:val="32"/>
              </w:rPr>
              <w:t>自</w:t>
            </w:r>
            <w:r w:rsidR="00D06CA4" w:rsidRPr="00691BA9">
              <w:rPr>
                <w:rFonts w:eastAsia="標楷體" w:hAnsi="標楷體" w:hint="eastAsia"/>
                <w:sz w:val="28"/>
                <w:szCs w:val="32"/>
              </w:rPr>
              <w:t>100</w:t>
            </w:r>
            <w:r w:rsidRPr="00691BA9">
              <w:rPr>
                <w:rFonts w:eastAsia="標楷體" w:hAnsi="標楷體" w:hint="eastAsia"/>
                <w:sz w:val="28"/>
                <w:szCs w:val="32"/>
              </w:rPr>
              <w:t>年</w:t>
            </w:r>
            <w:r w:rsidR="00FC4CEA" w:rsidRPr="00691BA9">
              <w:rPr>
                <w:rFonts w:eastAsia="標楷體" w:hint="eastAsia"/>
                <w:sz w:val="28"/>
                <w:szCs w:val="32"/>
              </w:rPr>
              <w:t>1</w:t>
            </w:r>
            <w:r w:rsidRPr="00691BA9">
              <w:rPr>
                <w:rFonts w:eastAsia="標楷體" w:hAnsi="標楷體" w:hint="eastAsia"/>
                <w:sz w:val="28"/>
                <w:szCs w:val="32"/>
              </w:rPr>
              <w:t>月</w:t>
            </w:r>
            <w:r w:rsidR="00F6279E" w:rsidRPr="00691BA9">
              <w:rPr>
                <w:rFonts w:eastAsia="標楷體" w:hAnsi="標楷體" w:hint="eastAsia"/>
                <w:sz w:val="28"/>
                <w:szCs w:val="32"/>
              </w:rPr>
              <w:t>1</w:t>
            </w:r>
            <w:r w:rsidR="00D67D90" w:rsidRPr="00691BA9">
              <w:rPr>
                <w:rFonts w:eastAsia="標楷體" w:hAnsi="標楷體" w:hint="eastAsia"/>
                <w:sz w:val="28"/>
                <w:szCs w:val="32"/>
              </w:rPr>
              <w:t>日</w:t>
            </w:r>
          </w:p>
          <w:p w:rsidR="00C348D8" w:rsidRPr="00691BA9" w:rsidRDefault="00FC4CEA">
            <w:pPr>
              <w:widowControl/>
              <w:spacing w:line="340" w:lineRule="exact"/>
              <w:jc w:val="both"/>
              <w:rPr>
                <w:rFonts w:eastAsia="標楷體"/>
                <w:sz w:val="28"/>
                <w:szCs w:val="32"/>
              </w:rPr>
            </w:pPr>
            <w:r w:rsidRPr="00691BA9">
              <w:rPr>
                <w:rFonts w:eastAsia="標楷體" w:hAnsi="標楷體" w:hint="eastAsia"/>
                <w:sz w:val="28"/>
                <w:szCs w:val="32"/>
              </w:rPr>
              <w:t>至</w:t>
            </w:r>
            <w:r w:rsidR="00D06CA4" w:rsidRPr="00691BA9">
              <w:rPr>
                <w:rFonts w:eastAsia="標楷體" w:hAnsi="標楷體" w:hint="eastAsia"/>
                <w:sz w:val="28"/>
                <w:szCs w:val="32"/>
              </w:rPr>
              <w:t>100</w:t>
            </w:r>
            <w:r w:rsidR="00F36939" w:rsidRPr="00691BA9">
              <w:rPr>
                <w:rFonts w:eastAsia="標楷體" w:hAnsi="標楷體" w:hint="eastAsia"/>
                <w:sz w:val="28"/>
                <w:szCs w:val="32"/>
              </w:rPr>
              <w:t>年</w:t>
            </w:r>
            <w:r w:rsidR="00D67D90" w:rsidRPr="00691BA9">
              <w:rPr>
                <w:rFonts w:eastAsia="標楷體" w:hint="eastAsia"/>
                <w:sz w:val="28"/>
                <w:szCs w:val="32"/>
              </w:rPr>
              <w:t>1</w:t>
            </w:r>
            <w:r w:rsidR="001D664F" w:rsidRPr="00691BA9">
              <w:rPr>
                <w:rFonts w:eastAsia="標楷體" w:hint="eastAsia"/>
                <w:sz w:val="28"/>
                <w:szCs w:val="32"/>
              </w:rPr>
              <w:t>1</w:t>
            </w:r>
            <w:r w:rsidR="00F36939" w:rsidRPr="00691BA9">
              <w:rPr>
                <w:rFonts w:eastAsia="標楷體"/>
                <w:sz w:val="28"/>
                <w:szCs w:val="32"/>
              </w:rPr>
              <w:t xml:space="preserve"> </w:t>
            </w:r>
            <w:r w:rsidR="00F36939" w:rsidRPr="00691BA9">
              <w:rPr>
                <w:rFonts w:eastAsia="標楷體" w:hAnsi="標楷體" w:hint="eastAsia"/>
                <w:sz w:val="28"/>
                <w:szCs w:val="32"/>
              </w:rPr>
              <w:t>月</w:t>
            </w:r>
            <w:r w:rsidR="001D664F" w:rsidRPr="00691BA9">
              <w:rPr>
                <w:rFonts w:eastAsia="標楷體" w:hAnsi="標楷體" w:hint="eastAsia"/>
                <w:sz w:val="28"/>
                <w:szCs w:val="32"/>
              </w:rPr>
              <w:t>30</w:t>
            </w:r>
            <w:r w:rsidR="00F36939" w:rsidRPr="00691BA9">
              <w:rPr>
                <w:rFonts w:eastAsia="標楷體" w:hAnsi="標楷體" w:hint="eastAsia"/>
                <w:sz w:val="28"/>
                <w:szCs w:val="32"/>
              </w:rPr>
              <w:t>日</w:t>
            </w:r>
          </w:p>
        </w:tc>
      </w:tr>
      <w:tr w:rsidR="007B321D" w:rsidRPr="00691BA9" w:rsidTr="00583045">
        <w:trPr>
          <w:cantSplit/>
        </w:trPr>
        <w:tc>
          <w:tcPr>
            <w:tcW w:w="9208" w:type="dxa"/>
            <w:gridSpan w:val="5"/>
          </w:tcPr>
          <w:p w:rsidR="00C348D8" w:rsidRPr="00691BA9" w:rsidRDefault="00F36939">
            <w:pPr>
              <w:snapToGrid w:val="0"/>
              <w:spacing w:line="500" w:lineRule="atLeast"/>
              <w:jc w:val="center"/>
              <w:rPr>
                <w:rFonts w:eastAsia="標楷體"/>
                <w:sz w:val="28"/>
              </w:rPr>
            </w:pPr>
            <w:r w:rsidRPr="00691BA9">
              <w:rPr>
                <w:rFonts w:eastAsia="標楷體" w:hAnsi="標楷體" w:hint="eastAsia"/>
                <w:sz w:val="28"/>
              </w:rPr>
              <w:t>報告內容提要</w:t>
            </w:r>
          </w:p>
        </w:tc>
      </w:tr>
      <w:tr w:rsidR="007B321D" w:rsidRPr="00691BA9" w:rsidTr="00583045">
        <w:trPr>
          <w:trHeight w:val="1776"/>
        </w:trPr>
        <w:tc>
          <w:tcPr>
            <w:tcW w:w="9208" w:type="dxa"/>
            <w:gridSpan w:val="5"/>
            <w:tcBorders>
              <w:bottom w:val="single" w:sz="4" w:space="0" w:color="auto"/>
            </w:tcBorders>
          </w:tcPr>
          <w:p w:rsidR="00C348D8" w:rsidRPr="00691BA9" w:rsidRDefault="00F36939">
            <w:pPr>
              <w:widowControl/>
              <w:adjustRightInd w:val="0"/>
              <w:spacing w:line="520" w:lineRule="exact"/>
              <w:ind w:rightChars="50" w:right="120"/>
              <w:rPr>
                <w:rFonts w:eastAsia="標楷體"/>
                <w:sz w:val="28"/>
                <w:szCs w:val="32"/>
              </w:rPr>
            </w:pPr>
            <w:r w:rsidRPr="00691BA9">
              <w:rPr>
                <w:rFonts w:eastAsia="標楷體" w:hint="eastAsia"/>
                <w:sz w:val="28"/>
              </w:rPr>
              <w:t>壹、研究內容重點</w:t>
            </w:r>
            <w:r w:rsidRPr="00691BA9">
              <w:rPr>
                <w:rFonts w:eastAsia="標楷體"/>
                <w:sz w:val="28"/>
                <w:szCs w:val="32"/>
              </w:rPr>
              <w:t xml:space="preserve"> </w:t>
            </w:r>
          </w:p>
          <w:p w:rsidR="00D06CA4" w:rsidRPr="00691BA9" w:rsidRDefault="00D06CA4" w:rsidP="00D06CA4">
            <w:pPr>
              <w:widowControl/>
              <w:numPr>
                <w:ilvl w:val="0"/>
                <w:numId w:val="4"/>
              </w:numPr>
              <w:adjustRightInd w:val="0"/>
              <w:spacing w:line="480" w:lineRule="exact"/>
              <w:ind w:left="998" w:rightChars="50" w:right="120"/>
              <w:rPr>
                <w:rFonts w:eastAsia="標楷體"/>
                <w:sz w:val="28"/>
                <w:szCs w:val="32"/>
              </w:rPr>
            </w:pPr>
            <w:r w:rsidRPr="00691BA9">
              <w:rPr>
                <w:rFonts w:eastAsia="標楷體" w:hint="eastAsia"/>
                <w:sz w:val="28"/>
                <w:szCs w:val="32"/>
              </w:rPr>
              <w:t>全球主要交易所之國外股票期貨暨選擇權交易概況。</w:t>
            </w:r>
          </w:p>
          <w:p w:rsidR="00D06CA4" w:rsidRPr="00691BA9" w:rsidRDefault="00D06CA4" w:rsidP="00D06CA4">
            <w:pPr>
              <w:widowControl/>
              <w:numPr>
                <w:ilvl w:val="0"/>
                <w:numId w:val="4"/>
              </w:numPr>
              <w:adjustRightInd w:val="0"/>
              <w:spacing w:line="480" w:lineRule="exact"/>
              <w:ind w:left="998" w:rightChars="50" w:right="120"/>
              <w:rPr>
                <w:rFonts w:eastAsia="標楷體"/>
                <w:sz w:val="28"/>
                <w:szCs w:val="32"/>
              </w:rPr>
            </w:pPr>
            <w:r w:rsidRPr="00691BA9">
              <w:rPr>
                <w:rFonts w:eastAsia="標楷體" w:hint="eastAsia"/>
                <w:sz w:val="28"/>
                <w:szCs w:val="32"/>
              </w:rPr>
              <w:t>國外股票期貨暨選擇權之潛在需求分析。</w:t>
            </w:r>
          </w:p>
          <w:p w:rsidR="00D06CA4" w:rsidRPr="00691BA9" w:rsidRDefault="00D06CA4" w:rsidP="00D06CA4">
            <w:pPr>
              <w:widowControl/>
              <w:numPr>
                <w:ilvl w:val="0"/>
                <w:numId w:val="4"/>
              </w:numPr>
              <w:adjustRightInd w:val="0"/>
              <w:spacing w:line="480" w:lineRule="exact"/>
              <w:ind w:left="998" w:rightChars="50" w:right="120"/>
              <w:rPr>
                <w:rFonts w:eastAsia="標楷體"/>
                <w:sz w:val="28"/>
                <w:szCs w:val="32"/>
              </w:rPr>
            </w:pPr>
            <w:r w:rsidRPr="00691BA9">
              <w:rPr>
                <w:rFonts w:eastAsia="標楷體" w:hint="eastAsia"/>
                <w:sz w:val="28"/>
                <w:szCs w:val="32"/>
              </w:rPr>
              <w:t>國外股票期貨暨選擇權之</w:t>
            </w:r>
            <w:r w:rsidRPr="00691BA9">
              <w:rPr>
                <w:rFonts w:eastAsia="標楷體" w:hint="eastAsia"/>
                <w:sz w:val="28"/>
                <w:szCs w:val="28"/>
              </w:rPr>
              <w:t>經濟效益與公共利益分析。</w:t>
            </w:r>
          </w:p>
          <w:p w:rsidR="00D06CA4" w:rsidRPr="00691BA9" w:rsidRDefault="00D06CA4" w:rsidP="00D06CA4">
            <w:pPr>
              <w:widowControl/>
              <w:numPr>
                <w:ilvl w:val="0"/>
                <w:numId w:val="4"/>
              </w:numPr>
              <w:adjustRightInd w:val="0"/>
              <w:spacing w:line="480" w:lineRule="exact"/>
              <w:ind w:left="998" w:rightChars="50" w:right="120"/>
              <w:rPr>
                <w:rFonts w:eastAsia="標楷體"/>
                <w:sz w:val="28"/>
                <w:szCs w:val="32"/>
              </w:rPr>
            </w:pPr>
            <w:r w:rsidRPr="00691BA9">
              <w:rPr>
                <w:rFonts w:eastAsia="標楷體" w:hint="eastAsia"/>
                <w:sz w:val="28"/>
                <w:szCs w:val="32"/>
              </w:rPr>
              <w:t>國外股票期貨暨選擇權之研議項目及配套措施。</w:t>
            </w:r>
          </w:p>
          <w:p w:rsidR="00D06CA4" w:rsidRPr="00691BA9" w:rsidRDefault="00D06CA4" w:rsidP="00D06CA4">
            <w:pPr>
              <w:widowControl/>
              <w:numPr>
                <w:ilvl w:val="0"/>
                <w:numId w:val="4"/>
              </w:numPr>
              <w:adjustRightInd w:val="0"/>
              <w:spacing w:line="480" w:lineRule="exact"/>
              <w:ind w:left="998" w:rightChars="50" w:right="120"/>
              <w:rPr>
                <w:rFonts w:eastAsia="標楷體"/>
                <w:sz w:val="28"/>
                <w:szCs w:val="32"/>
              </w:rPr>
            </w:pPr>
            <w:r w:rsidRPr="00691BA9">
              <w:rPr>
                <w:rFonts w:eastAsia="標楷體" w:hint="eastAsia"/>
                <w:sz w:val="28"/>
                <w:szCs w:val="32"/>
              </w:rPr>
              <w:t>國外股票期貨暨選擇權之可行性分析。</w:t>
            </w:r>
          </w:p>
          <w:p w:rsidR="00C348D8" w:rsidRPr="00691BA9" w:rsidRDefault="00F36939" w:rsidP="00C348D8">
            <w:pPr>
              <w:widowControl/>
              <w:numPr>
                <w:ilvl w:val="0"/>
                <w:numId w:val="4"/>
              </w:numPr>
              <w:adjustRightInd w:val="0"/>
              <w:spacing w:line="480" w:lineRule="exact"/>
              <w:ind w:left="998" w:rightChars="50" w:right="120"/>
              <w:rPr>
                <w:rFonts w:eastAsia="標楷體"/>
                <w:sz w:val="28"/>
                <w:szCs w:val="28"/>
              </w:rPr>
            </w:pPr>
            <w:r w:rsidRPr="00691BA9">
              <w:rPr>
                <w:rFonts w:eastAsia="標楷體" w:hint="eastAsia"/>
                <w:sz w:val="28"/>
                <w:szCs w:val="28"/>
              </w:rPr>
              <w:t>結論與建議。</w:t>
            </w:r>
          </w:p>
          <w:p w:rsidR="00C348D8" w:rsidRPr="00691BA9" w:rsidRDefault="00F36939" w:rsidP="00691BA9">
            <w:pPr>
              <w:widowControl/>
              <w:adjustRightInd w:val="0"/>
              <w:spacing w:beforeLines="50" w:line="480" w:lineRule="exact"/>
              <w:ind w:rightChars="50" w:right="120"/>
              <w:rPr>
                <w:rFonts w:eastAsia="標楷體"/>
                <w:sz w:val="28"/>
                <w:szCs w:val="26"/>
              </w:rPr>
            </w:pPr>
            <w:r w:rsidRPr="00691BA9">
              <w:rPr>
                <w:rFonts w:eastAsia="標楷體" w:hint="eastAsia"/>
                <w:sz w:val="28"/>
              </w:rPr>
              <w:t>貳、結論與建議事項</w:t>
            </w:r>
          </w:p>
          <w:p w:rsidR="00D06CA4" w:rsidRPr="00691BA9" w:rsidRDefault="00D06CA4" w:rsidP="00D06CA4">
            <w:pPr>
              <w:numPr>
                <w:ilvl w:val="0"/>
                <w:numId w:val="7"/>
              </w:numPr>
              <w:spacing w:line="480" w:lineRule="exact"/>
              <w:ind w:left="1009" w:rightChars="50" w:right="120"/>
              <w:jc w:val="both"/>
              <w:rPr>
                <w:rFonts w:eastAsia="標楷體"/>
                <w:sz w:val="28"/>
                <w:szCs w:val="28"/>
              </w:rPr>
            </w:pPr>
            <w:r w:rsidRPr="00691BA9">
              <w:rPr>
                <w:rFonts w:eastAsia="標楷體"/>
                <w:sz w:val="28"/>
                <w:szCs w:val="28"/>
              </w:rPr>
              <w:t>我國交易人投資國外證券之交易</w:t>
            </w:r>
            <w:r w:rsidRPr="00691BA9">
              <w:rPr>
                <w:rFonts w:eastAsia="標楷體" w:hint="eastAsia"/>
                <w:sz w:val="28"/>
                <w:szCs w:val="28"/>
              </w:rPr>
              <w:t>金額達相當規模，且具</w:t>
            </w:r>
            <w:r w:rsidRPr="00691BA9">
              <w:rPr>
                <w:rFonts w:eastAsia="標楷體"/>
                <w:sz w:val="28"/>
                <w:szCs w:val="28"/>
              </w:rPr>
              <w:t>成長</w:t>
            </w:r>
            <w:r w:rsidRPr="00691BA9">
              <w:rPr>
                <w:rFonts w:eastAsia="標楷體" w:hint="eastAsia"/>
                <w:sz w:val="28"/>
                <w:szCs w:val="28"/>
              </w:rPr>
              <w:t>趨勢</w:t>
            </w:r>
            <w:r w:rsidRPr="00691BA9">
              <w:rPr>
                <w:rFonts w:eastAsia="標楷體"/>
                <w:sz w:val="28"/>
                <w:szCs w:val="28"/>
              </w:rPr>
              <w:t>，</w:t>
            </w:r>
            <w:r w:rsidRPr="00691BA9">
              <w:rPr>
                <w:rFonts w:eastAsia="標楷體" w:hint="eastAsia"/>
                <w:sz w:val="28"/>
                <w:szCs w:val="28"/>
              </w:rPr>
              <w:t>具有潛在之避險需求</w:t>
            </w:r>
            <w:r w:rsidRPr="00691BA9">
              <w:rPr>
                <w:rFonts w:eastAsia="標楷體"/>
                <w:sz w:val="28"/>
                <w:szCs w:val="28"/>
              </w:rPr>
              <w:t>。本公司若掛牌國外股票期貨暨選擇權，</w:t>
            </w:r>
            <w:r w:rsidRPr="00691BA9">
              <w:rPr>
                <w:rFonts w:eastAsia="標楷體" w:hint="eastAsia"/>
                <w:sz w:val="28"/>
                <w:szCs w:val="28"/>
              </w:rPr>
              <w:t>可提供國內交易人</w:t>
            </w:r>
            <w:r w:rsidRPr="00691BA9">
              <w:rPr>
                <w:rFonts w:eastAsia="標楷體"/>
                <w:sz w:val="28"/>
                <w:szCs w:val="28"/>
              </w:rPr>
              <w:t>便利</w:t>
            </w:r>
            <w:r w:rsidRPr="00691BA9">
              <w:rPr>
                <w:rFonts w:eastAsia="標楷體" w:hint="eastAsia"/>
                <w:sz w:val="28"/>
                <w:szCs w:val="28"/>
              </w:rPr>
              <w:t>且</w:t>
            </w:r>
            <w:r w:rsidRPr="00691BA9">
              <w:rPr>
                <w:rFonts w:eastAsia="標楷體"/>
                <w:sz w:val="28"/>
                <w:szCs w:val="28"/>
              </w:rPr>
              <w:t>交易成本低之國外股票</w:t>
            </w:r>
            <w:r w:rsidRPr="00691BA9">
              <w:rPr>
                <w:rFonts w:eastAsia="標楷體" w:hint="eastAsia"/>
                <w:sz w:val="28"/>
                <w:szCs w:val="28"/>
              </w:rPr>
              <w:t>交易、避險管道，增進交易人之交易彈性及資金運用效率，使我國期貨市場商品線更加多元完整，並有助於提升我國期貨市場之國際化程度。</w:t>
            </w:r>
          </w:p>
          <w:p w:rsidR="00A92E53" w:rsidRPr="00691BA9" w:rsidRDefault="00D06CA4" w:rsidP="00D06CA4">
            <w:pPr>
              <w:numPr>
                <w:ilvl w:val="0"/>
                <w:numId w:val="7"/>
              </w:numPr>
              <w:spacing w:line="480" w:lineRule="exact"/>
              <w:ind w:left="1009" w:rightChars="50" w:right="120"/>
              <w:jc w:val="both"/>
              <w:rPr>
                <w:rFonts w:eastAsia="標楷體"/>
                <w:sz w:val="28"/>
                <w:szCs w:val="28"/>
              </w:rPr>
            </w:pPr>
            <w:r w:rsidRPr="00691BA9">
              <w:rPr>
                <w:rFonts w:eastAsia="標楷體"/>
                <w:sz w:val="28"/>
                <w:szCs w:val="28"/>
              </w:rPr>
              <w:t>我國金管會</w:t>
            </w:r>
            <w:r w:rsidRPr="00691BA9">
              <w:rPr>
                <w:rFonts w:eastAsia="標楷體" w:hint="eastAsia"/>
                <w:sz w:val="28"/>
                <w:szCs w:val="28"/>
              </w:rPr>
              <w:t>已</w:t>
            </w:r>
            <w:r w:rsidRPr="00691BA9">
              <w:rPr>
                <w:rFonts w:eastAsia="標楷體"/>
                <w:sz w:val="28"/>
                <w:szCs w:val="28"/>
              </w:rPr>
              <w:t>於</w:t>
            </w:r>
            <w:r w:rsidRPr="00691BA9">
              <w:rPr>
                <w:rFonts w:eastAsia="標楷體"/>
                <w:sz w:val="28"/>
                <w:szCs w:val="28"/>
              </w:rPr>
              <w:t>2011</w:t>
            </w:r>
            <w:r w:rsidRPr="00691BA9">
              <w:rPr>
                <w:rFonts w:eastAsia="標楷體"/>
                <w:sz w:val="28"/>
                <w:szCs w:val="28"/>
              </w:rPr>
              <w:t>年</w:t>
            </w:r>
            <w:r w:rsidRPr="00691BA9">
              <w:rPr>
                <w:rFonts w:eastAsia="標楷體"/>
                <w:sz w:val="28"/>
                <w:szCs w:val="28"/>
              </w:rPr>
              <w:t>3</w:t>
            </w:r>
            <w:r w:rsidRPr="00691BA9">
              <w:rPr>
                <w:rFonts w:eastAsia="標楷體"/>
                <w:sz w:val="28"/>
                <w:szCs w:val="28"/>
              </w:rPr>
              <w:t>月</w:t>
            </w:r>
            <w:r w:rsidRPr="00691BA9">
              <w:rPr>
                <w:rFonts w:eastAsia="標楷體"/>
                <w:sz w:val="28"/>
                <w:szCs w:val="28"/>
              </w:rPr>
              <w:t>15</w:t>
            </w:r>
            <w:r w:rsidRPr="00691BA9">
              <w:rPr>
                <w:rFonts w:eastAsia="標楷體"/>
                <w:sz w:val="28"/>
                <w:szCs w:val="28"/>
              </w:rPr>
              <w:t>日簽署國際證券管理機構組織諮商、合作與資訊交換多邊瞭解備忘錄（</w:t>
            </w:r>
            <w:r w:rsidRPr="00691BA9">
              <w:rPr>
                <w:rFonts w:eastAsia="標楷體"/>
                <w:sz w:val="28"/>
                <w:szCs w:val="28"/>
              </w:rPr>
              <w:t>IOSCO MMoU</w:t>
            </w:r>
            <w:r w:rsidRPr="00691BA9">
              <w:rPr>
                <w:rFonts w:eastAsia="標楷體"/>
                <w:sz w:val="28"/>
                <w:szCs w:val="28"/>
              </w:rPr>
              <w:t>），簽署會員間能依法進行資訊交換、協助調查等跨境監理合作</w:t>
            </w:r>
            <w:r w:rsidR="00BD3169" w:rsidRPr="00691BA9">
              <w:rPr>
                <w:rFonts w:eastAsia="標楷體" w:hint="eastAsia"/>
                <w:sz w:val="28"/>
                <w:szCs w:val="28"/>
              </w:rPr>
              <w:t>，</w:t>
            </w:r>
            <w:r w:rsidRPr="00691BA9">
              <w:rPr>
                <w:rFonts w:eastAsia="標楷體" w:hint="eastAsia"/>
                <w:sz w:val="28"/>
                <w:szCs w:val="28"/>
              </w:rPr>
              <w:t>目前已簽署</w:t>
            </w:r>
            <w:r w:rsidRPr="00691BA9">
              <w:rPr>
                <w:rFonts w:eastAsia="標楷體" w:hint="eastAsia"/>
                <w:sz w:val="28"/>
                <w:szCs w:val="28"/>
              </w:rPr>
              <w:t>MMoU</w:t>
            </w:r>
            <w:r w:rsidRPr="00691BA9">
              <w:rPr>
                <w:rFonts w:eastAsia="標楷體" w:hint="eastAsia"/>
                <w:sz w:val="28"/>
                <w:szCs w:val="28"/>
              </w:rPr>
              <w:t>的國家共計</w:t>
            </w:r>
            <w:r w:rsidRPr="00691BA9">
              <w:rPr>
                <w:rFonts w:eastAsia="標楷體" w:hint="eastAsia"/>
                <w:sz w:val="28"/>
                <w:szCs w:val="28"/>
              </w:rPr>
              <w:t>80</w:t>
            </w:r>
            <w:r w:rsidR="00BD3169" w:rsidRPr="00691BA9">
              <w:rPr>
                <w:rFonts w:eastAsia="標楷體" w:hint="eastAsia"/>
                <w:sz w:val="28"/>
                <w:szCs w:val="28"/>
              </w:rPr>
              <w:t>個，包括：美國、英國、日本、香港等，</w:t>
            </w:r>
            <w:r w:rsidRPr="00691BA9">
              <w:rPr>
                <w:rFonts w:eastAsia="標楷體"/>
                <w:sz w:val="28"/>
                <w:szCs w:val="28"/>
              </w:rPr>
              <w:t>本公司</w:t>
            </w:r>
            <w:r w:rsidRPr="00691BA9">
              <w:rPr>
                <w:rFonts w:eastAsia="標楷體" w:hint="eastAsia"/>
                <w:sz w:val="28"/>
                <w:szCs w:val="28"/>
              </w:rPr>
              <w:t>如以該</w:t>
            </w:r>
            <w:r w:rsidRPr="00691BA9">
              <w:rPr>
                <w:rFonts w:eastAsia="標楷體"/>
                <w:sz w:val="28"/>
                <w:szCs w:val="28"/>
              </w:rPr>
              <w:t>國</w:t>
            </w:r>
            <w:r w:rsidRPr="00691BA9">
              <w:rPr>
                <w:rFonts w:eastAsia="標楷體" w:hint="eastAsia"/>
                <w:sz w:val="28"/>
                <w:szCs w:val="28"/>
              </w:rPr>
              <w:t>家之交易所掛牌證券作為</w:t>
            </w:r>
            <w:r w:rsidRPr="00691BA9">
              <w:rPr>
                <w:rFonts w:eastAsia="標楷體"/>
                <w:sz w:val="28"/>
                <w:szCs w:val="28"/>
              </w:rPr>
              <w:t>股票期貨暨選擇權</w:t>
            </w:r>
            <w:r w:rsidRPr="00691BA9">
              <w:rPr>
                <w:rFonts w:eastAsia="標楷體" w:hint="eastAsia"/>
                <w:sz w:val="28"/>
                <w:szCs w:val="28"/>
              </w:rPr>
              <w:t>標的，亦可取得相關</w:t>
            </w:r>
            <w:r w:rsidRPr="00691BA9">
              <w:rPr>
                <w:rFonts w:eastAsia="標楷體"/>
                <w:sz w:val="28"/>
                <w:szCs w:val="28"/>
              </w:rPr>
              <w:t>監理</w:t>
            </w:r>
            <w:r w:rsidRPr="00691BA9">
              <w:rPr>
                <w:rFonts w:eastAsia="標楷體" w:hint="eastAsia"/>
                <w:sz w:val="28"/>
                <w:szCs w:val="28"/>
              </w:rPr>
              <w:t>資訊</w:t>
            </w:r>
            <w:r w:rsidRPr="00691BA9">
              <w:rPr>
                <w:rFonts w:eastAsia="標楷體"/>
                <w:sz w:val="28"/>
                <w:szCs w:val="28"/>
              </w:rPr>
              <w:t>。</w:t>
            </w:r>
          </w:p>
          <w:p w:rsidR="00C348D8" w:rsidRPr="00691BA9" w:rsidRDefault="00A92E53" w:rsidP="00A92E53">
            <w:pPr>
              <w:numPr>
                <w:ilvl w:val="0"/>
                <w:numId w:val="7"/>
              </w:numPr>
              <w:spacing w:line="480" w:lineRule="exact"/>
              <w:ind w:left="1009" w:rightChars="50" w:right="120"/>
              <w:jc w:val="both"/>
              <w:rPr>
                <w:rFonts w:eastAsia="標楷體"/>
                <w:sz w:val="28"/>
                <w:szCs w:val="28"/>
              </w:rPr>
            </w:pPr>
            <w:r w:rsidRPr="00691BA9">
              <w:rPr>
                <w:rFonts w:eastAsia="標楷體"/>
                <w:sz w:val="28"/>
                <w:szCs w:val="28"/>
              </w:rPr>
              <w:lastRenderedPageBreak/>
              <w:t>考量各國金融監理水準，為保障我國交易人權益，</w:t>
            </w:r>
            <w:r w:rsidRPr="00691BA9">
              <w:rPr>
                <w:rFonts w:eastAsia="標楷體" w:hint="eastAsia"/>
                <w:sz w:val="28"/>
                <w:szCs w:val="28"/>
              </w:rPr>
              <w:t>建議以</w:t>
            </w:r>
            <w:r w:rsidRPr="00691BA9">
              <w:rPr>
                <w:rFonts w:eastAsia="標楷體"/>
                <w:sz w:val="28"/>
                <w:szCs w:val="28"/>
              </w:rPr>
              <w:t>歐、美、日或香港等金融監理制度完善地區</w:t>
            </w:r>
            <w:r w:rsidRPr="00691BA9">
              <w:rPr>
                <w:rFonts w:eastAsia="標楷體" w:hint="eastAsia"/>
                <w:sz w:val="28"/>
                <w:szCs w:val="28"/>
              </w:rPr>
              <w:t>之證券為交易標的，並以國人較為熟悉之股票為優先考量之掛牌標的，選擇具國際知名度、市場代表性、規模較大或與我國產業相關的股票。</w:t>
            </w:r>
          </w:p>
        </w:tc>
      </w:tr>
    </w:tbl>
    <w:p w:rsidR="007B321D" w:rsidRPr="00691BA9" w:rsidRDefault="007B321D">
      <w:pPr>
        <w:rPr>
          <w:rFonts w:ascii="標楷體" w:eastAsia="標楷體" w:hAnsi="標楷體"/>
        </w:rPr>
      </w:pPr>
      <w:r w:rsidRPr="00691BA9">
        <w:rPr>
          <w:rFonts w:ascii="標楷體" w:eastAsia="標楷體" w:hAnsi="標楷體" w:hint="eastAsia"/>
        </w:rPr>
        <w:lastRenderedPageBreak/>
        <w:t>附註：</w:t>
      </w:r>
      <w:r w:rsidR="008D2343" w:rsidRPr="00691BA9">
        <w:rPr>
          <w:rFonts w:ascii="標楷體" w:eastAsia="標楷體" w:hAnsi="標楷體" w:hint="eastAsia"/>
        </w:rPr>
        <w:t>一、</w:t>
      </w:r>
      <w:r w:rsidRPr="00691BA9">
        <w:rPr>
          <w:rFonts w:ascii="標楷體" w:eastAsia="標楷體" w:hAnsi="標楷體" w:hint="eastAsia"/>
        </w:rPr>
        <w:t>報告內容提要應包括下列</w:t>
      </w:r>
      <w:r w:rsidR="008D2343" w:rsidRPr="00691BA9">
        <w:rPr>
          <w:rFonts w:ascii="標楷體" w:eastAsia="標楷體" w:hAnsi="標楷體" w:hint="eastAsia"/>
        </w:rPr>
        <w:t>二</w:t>
      </w:r>
      <w:r w:rsidRPr="00691BA9">
        <w:rPr>
          <w:rFonts w:ascii="標楷體" w:eastAsia="標楷體" w:hAnsi="標楷體" w:hint="eastAsia"/>
        </w:rPr>
        <w:t>部分：</w:t>
      </w:r>
    </w:p>
    <w:p w:rsidR="00C348D8" w:rsidRPr="00691BA9" w:rsidRDefault="008D2343">
      <w:pPr>
        <w:ind w:left="720"/>
        <w:rPr>
          <w:rFonts w:ascii="標楷體" w:eastAsia="標楷體" w:hAnsi="標楷體"/>
        </w:rPr>
      </w:pPr>
      <w:r w:rsidRPr="00691BA9">
        <w:rPr>
          <w:rFonts w:ascii="標楷體" w:eastAsia="標楷體" w:hAnsi="標楷體" w:hint="eastAsia"/>
        </w:rPr>
        <w:t>（一）</w:t>
      </w:r>
      <w:r w:rsidR="007B321D" w:rsidRPr="00691BA9">
        <w:rPr>
          <w:rFonts w:ascii="標楷體" w:eastAsia="標楷體" w:hAnsi="標楷體" w:hint="eastAsia"/>
        </w:rPr>
        <w:t>研究內容重點</w:t>
      </w:r>
    </w:p>
    <w:p w:rsidR="00C348D8" w:rsidRPr="00691BA9" w:rsidRDefault="008D2343">
      <w:pPr>
        <w:ind w:firstLineChars="303" w:firstLine="727"/>
        <w:rPr>
          <w:rFonts w:ascii="標楷體" w:eastAsia="標楷體" w:hAnsi="標楷體"/>
        </w:rPr>
      </w:pPr>
      <w:r w:rsidRPr="00691BA9">
        <w:rPr>
          <w:rFonts w:ascii="標楷體" w:eastAsia="標楷體" w:hAnsi="標楷體" w:hint="eastAsia"/>
        </w:rPr>
        <w:t>（二）結論與建議</w:t>
      </w:r>
      <w:r w:rsidR="007B321D" w:rsidRPr="00691BA9">
        <w:rPr>
          <w:rFonts w:ascii="標楷體" w:eastAsia="標楷體" w:hAnsi="標楷體" w:hint="eastAsia"/>
        </w:rPr>
        <w:t>事項</w:t>
      </w:r>
    </w:p>
    <w:p w:rsidR="00C348D8" w:rsidRPr="00691BA9" w:rsidRDefault="008D2343" w:rsidP="00E50B49">
      <w:pPr>
        <w:ind w:firstLineChars="297" w:firstLine="713"/>
        <w:rPr>
          <w:rFonts w:ascii="標楷體" w:eastAsia="標楷體" w:hAnsi="標楷體"/>
        </w:rPr>
      </w:pPr>
      <w:r w:rsidRPr="00691BA9">
        <w:rPr>
          <w:rFonts w:ascii="標楷體" w:eastAsia="標楷體" w:hAnsi="標楷體" w:hint="eastAsia"/>
        </w:rPr>
        <w:t>二、本提要表須附電子</w:t>
      </w:r>
      <w:r w:rsidR="006F1897" w:rsidRPr="00691BA9">
        <w:rPr>
          <w:rFonts w:ascii="標楷體" w:eastAsia="標楷體" w:hAnsi="標楷體" w:hint="eastAsia"/>
        </w:rPr>
        <w:t>檔</w:t>
      </w:r>
    </w:p>
    <w:sectPr w:rsidR="00C348D8" w:rsidRPr="00691BA9" w:rsidSect="001614D7">
      <w:footerReference w:type="even" r:id="rId9"/>
      <w:footerReference w:type="default" r:id="rId10"/>
      <w:pgSz w:w="11906" w:h="16838" w:code="9"/>
      <w:pgMar w:top="1440" w:right="1474" w:bottom="1440" w:left="1474" w:header="851" w:footer="992" w:gutter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DCE" w:rsidRDefault="00B84DCE">
      <w:r>
        <w:separator/>
      </w:r>
    </w:p>
  </w:endnote>
  <w:endnote w:type="continuationSeparator" w:id="1">
    <w:p w:rsidR="00B84DCE" w:rsidRDefault="00B84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841" w:rsidRDefault="00CB5D2A" w:rsidP="0010287D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F28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F2841" w:rsidRDefault="008F284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841" w:rsidRDefault="00CB5D2A" w:rsidP="0010287D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F284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91BA9">
      <w:rPr>
        <w:rStyle w:val="a4"/>
        <w:noProof/>
      </w:rPr>
      <w:t>2</w:t>
    </w:r>
    <w:r>
      <w:rPr>
        <w:rStyle w:val="a4"/>
      </w:rPr>
      <w:fldChar w:fldCharType="end"/>
    </w:r>
  </w:p>
  <w:p w:rsidR="008F2841" w:rsidRDefault="008F28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DCE" w:rsidRDefault="00B84DCE">
      <w:r>
        <w:separator/>
      </w:r>
    </w:p>
  </w:footnote>
  <w:footnote w:type="continuationSeparator" w:id="1">
    <w:p w:rsidR="00B84DCE" w:rsidRDefault="00B84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8DA"/>
    <w:multiLevelType w:val="hybridMultilevel"/>
    <w:tmpl w:val="5C7469BC"/>
    <w:lvl w:ilvl="0" w:tplc="9DAE924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8D26C1C"/>
    <w:multiLevelType w:val="hybridMultilevel"/>
    <w:tmpl w:val="65725282"/>
    <w:lvl w:ilvl="0" w:tplc="0409000F">
      <w:start w:val="1"/>
      <w:numFmt w:val="decimal"/>
      <w:lvlText w:val="%1.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>
    <w:nsid w:val="2D827DB0"/>
    <w:multiLevelType w:val="hybridMultilevel"/>
    <w:tmpl w:val="D89A0B86"/>
    <w:lvl w:ilvl="0" w:tplc="A1108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974917"/>
    <w:multiLevelType w:val="hybridMultilevel"/>
    <w:tmpl w:val="C5A4B3B6"/>
    <w:lvl w:ilvl="0" w:tplc="2AA672BA">
      <w:start w:val="1"/>
      <w:numFmt w:val="taiwaneseCountingThousand"/>
      <w:lvlText w:val="%1、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4">
    <w:nsid w:val="4D050A7F"/>
    <w:multiLevelType w:val="hybridMultilevel"/>
    <w:tmpl w:val="979CAD12"/>
    <w:lvl w:ilvl="0" w:tplc="66426F2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70E4DF0"/>
    <w:multiLevelType w:val="hybridMultilevel"/>
    <w:tmpl w:val="CCF464BE"/>
    <w:lvl w:ilvl="0" w:tplc="A094B6D6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6">
    <w:nsid w:val="673A6FD5"/>
    <w:multiLevelType w:val="hybridMultilevel"/>
    <w:tmpl w:val="666235D6"/>
    <w:lvl w:ilvl="0" w:tplc="DDBACB88">
      <w:start w:val="1"/>
      <w:numFmt w:val="decimal"/>
      <w:lvlText w:val="%1."/>
      <w:lvlJc w:val="left"/>
      <w:pPr>
        <w:tabs>
          <w:tab w:val="num" w:pos="-88"/>
        </w:tabs>
        <w:ind w:left="96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4"/>
        </w:tabs>
        <w:ind w:left="87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54"/>
        </w:tabs>
        <w:ind w:left="135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4"/>
        </w:tabs>
        <w:ind w:left="183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4"/>
        </w:tabs>
        <w:ind w:left="231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94"/>
        </w:tabs>
        <w:ind w:left="279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4"/>
        </w:tabs>
        <w:ind w:left="327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4"/>
        </w:tabs>
        <w:ind w:left="375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34"/>
        </w:tabs>
        <w:ind w:left="4234" w:hanging="480"/>
      </w:pPr>
      <w:rPr>
        <w:rFonts w:cs="Times New Roman"/>
      </w:rPr>
    </w:lvl>
  </w:abstractNum>
  <w:abstractNum w:abstractNumId="7">
    <w:nsid w:val="7623701F"/>
    <w:multiLevelType w:val="hybridMultilevel"/>
    <w:tmpl w:val="4CF01566"/>
    <w:lvl w:ilvl="0" w:tplc="A094B6D6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CTIVE" w:val="台灣期貨交易所九十年度研究報告提要表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0732AD"/>
    <w:rsid w:val="000720F3"/>
    <w:rsid w:val="000732AD"/>
    <w:rsid w:val="000A670F"/>
    <w:rsid w:val="000B24E6"/>
    <w:rsid w:val="000E7C16"/>
    <w:rsid w:val="0010287D"/>
    <w:rsid w:val="001614D7"/>
    <w:rsid w:val="001A27EF"/>
    <w:rsid w:val="001D664F"/>
    <w:rsid w:val="0026261C"/>
    <w:rsid w:val="00271C15"/>
    <w:rsid w:val="00287C66"/>
    <w:rsid w:val="00335DAC"/>
    <w:rsid w:val="00350C4D"/>
    <w:rsid w:val="0039029F"/>
    <w:rsid w:val="003F35AE"/>
    <w:rsid w:val="00413FE1"/>
    <w:rsid w:val="00416E74"/>
    <w:rsid w:val="004772B8"/>
    <w:rsid w:val="004B7670"/>
    <w:rsid w:val="004D0C2D"/>
    <w:rsid w:val="00557982"/>
    <w:rsid w:val="00583045"/>
    <w:rsid w:val="005D1CC6"/>
    <w:rsid w:val="00607EED"/>
    <w:rsid w:val="00632616"/>
    <w:rsid w:val="00657A89"/>
    <w:rsid w:val="00657BD8"/>
    <w:rsid w:val="00691BA9"/>
    <w:rsid w:val="006C72E7"/>
    <w:rsid w:val="006F1897"/>
    <w:rsid w:val="00731E27"/>
    <w:rsid w:val="00735E3A"/>
    <w:rsid w:val="007673CE"/>
    <w:rsid w:val="00782001"/>
    <w:rsid w:val="007B21FE"/>
    <w:rsid w:val="007B321D"/>
    <w:rsid w:val="00884310"/>
    <w:rsid w:val="008A1504"/>
    <w:rsid w:val="008C5FE2"/>
    <w:rsid w:val="008D2343"/>
    <w:rsid w:val="008F2841"/>
    <w:rsid w:val="00915FAE"/>
    <w:rsid w:val="009940C1"/>
    <w:rsid w:val="00A201E5"/>
    <w:rsid w:val="00A75FBD"/>
    <w:rsid w:val="00A92E53"/>
    <w:rsid w:val="00AA6EB9"/>
    <w:rsid w:val="00AA71D5"/>
    <w:rsid w:val="00AB717E"/>
    <w:rsid w:val="00AE6E48"/>
    <w:rsid w:val="00B30E6A"/>
    <w:rsid w:val="00B84DCE"/>
    <w:rsid w:val="00BD3169"/>
    <w:rsid w:val="00C00855"/>
    <w:rsid w:val="00C348D8"/>
    <w:rsid w:val="00C616BD"/>
    <w:rsid w:val="00C825D5"/>
    <w:rsid w:val="00C87AE4"/>
    <w:rsid w:val="00CB5D2A"/>
    <w:rsid w:val="00CC150C"/>
    <w:rsid w:val="00CC296A"/>
    <w:rsid w:val="00CD1355"/>
    <w:rsid w:val="00CE06CB"/>
    <w:rsid w:val="00D06CA4"/>
    <w:rsid w:val="00D21ED0"/>
    <w:rsid w:val="00D67D90"/>
    <w:rsid w:val="00DB3550"/>
    <w:rsid w:val="00E2108C"/>
    <w:rsid w:val="00E50B49"/>
    <w:rsid w:val="00E55131"/>
    <w:rsid w:val="00E62122"/>
    <w:rsid w:val="00E73A27"/>
    <w:rsid w:val="00EA18A0"/>
    <w:rsid w:val="00EB034D"/>
    <w:rsid w:val="00F36939"/>
    <w:rsid w:val="00F3777E"/>
    <w:rsid w:val="00F444FF"/>
    <w:rsid w:val="00F6279E"/>
    <w:rsid w:val="00F90610"/>
    <w:rsid w:val="00FC4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3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36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  <w:rsid w:val="00F36939"/>
  </w:style>
  <w:style w:type="paragraph" w:styleId="a5">
    <w:name w:val="footer"/>
    <w:basedOn w:val="a"/>
    <w:link w:val="a6"/>
    <w:uiPriority w:val="99"/>
    <w:semiHidden/>
    <w:unhideWhenUsed/>
    <w:rsid w:val="00073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732AD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E55131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55131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rsid w:val="00350C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9">
    <w:name w:val="List Paragraph"/>
    <w:basedOn w:val="a"/>
    <w:uiPriority w:val="34"/>
    <w:qFormat/>
    <w:rsid w:val="00D06CA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026FE-A365-469C-81CD-69FD9604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110</Words>
  <Characters>630</Characters>
  <Application>Microsoft Office Word</Application>
  <DocSecurity>0</DocSecurity>
  <Lines>5</Lines>
  <Paragraphs>1</Paragraphs>
  <ScaleCrop>false</ScaleCrop>
  <Company>none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臺灣期貨交易所九十年度研究報告提要表</dc:title>
  <dc:creator>user</dc:creator>
  <cp:lastModifiedBy>christy</cp:lastModifiedBy>
  <cp:revision>4</cp:revision>
  <cp:lastPrinted>2011-12-26T03:13:00Z</cp:lastPrinted>
  <dcterms:created xsi:type="dcterms:W3CDTF">2011-12-21T01:45:00Z</dcterms:created>
  <dcterms:modified xsi:type="dcterms:W3CDTF">2011-12-26T03:28:00Z</dcterms:modified>
</cp:coreProperties>
</file>