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88"/>
        <w:gridCol w:w="4127"/>
        <w:gridCol w:w="383"/>
        <w:gridCol w:w="561"/>
        <w:gridCol w:w="2883"/>
      </w:tblGrid>
      <w:tr w:rsidR="007B321D" w:rsidRPr="001E4DDF" w:rsidTr="0077312D">
        <w:trPr>
          <w:trHeight w:val="878"/>
        </w:trPr>
        <w:tc>
          <w:tcPr>
            <w:tcW w:w="5415" w:type="dxa"/>
            <w:gridSpan w:val="2"/>
            <w:vAlign w:val="center"/>
          </w:tcPr>
          <w:p w:rsidR="00C348D8" w:rsidRPr="001E4DDF" w:rsidRDefault="00F36939" w:rsidP="006F3217">
            <w:pPr>
              <w:snapToGrid w:val="0"/>
              <w:spacing w:beforeLines="50" w:line="400" w:lineRule="atLeast"/>
              <w:rPr>
                <w:rFonts w:ascii="標楷體" w:eastAsia="標楷體" w:hAnsi="標楷體"/>
                <w:sz w:val="28"/>
                <w:szCs w:val="28"/>
              </w:rPr>
            </w:pPr>
            <w:r w:rsidRPr="001E4DDF">
              <w:rPr>
                <w:rFonts w:ascii="標楷體" w:eastAsia="標楷體" w:hAnsi="標楷體" w:hint="eastAsia"/>
                <w:sz w:val="28"/>
                <w:szCs w:val="28"/>
              </w:rPr>
              <w:t>臺灣期貨交易所</w:t>
            </w:r>
            <w:r w:rsidR="0008585A" w:rsidRPr="001E4DDF">
              <w:rPr>
                <w:rFonts w:ascii="標楷體" w:eastAsia="標楷體" w:hAnsi="標楷體" w:hint="eastAsia"/>
                <w:sz w:val="28"/>
                <w:szCs w:val="28"/>
              </w:rPr>
              <w:t>100</w:t>
            </w:r>
            <w:r w:rsidRPr="001E4DDF">
              <w:rPr>
                <w:rFonts w:ascii="標楷體" w:eastAsia="標楷體" w:hAnsi="標楷體" w:hint="eastAsia"/>
                <w:sz w:val="28"/>
                <w:szCs w:val="28"/>
              </w:rPr>
              <w:t>年度研究報告提要表</w:t>
            </w:r>
          </w:p>
        </w:tc>
        <w:tc>
          <w:tcPr>
            <w:tcW w:w="3827" w:type="dxa"/>
            <w:gridSpan w:val="3"/>
            <w:vAlign w:val="center"/>
          </w:tcPr>
          <w:p w:rsidR="007B321D" w:rsidRPr="001E4DDF" w:rsidRDefault="00F36939" w:rsidP="0077312D">
            <w:pPr>
              <w:widowControl/>
              <w:spacing w:line="380" w:lineRule="exact"/>
              <w:rPr>
                <w:rFonts w:ascii="標楷體" w:eastAsia="標楷體" w:hAnsi="標楷體"/>
                <w:sz w:val="28"/>
                <w:szCs w:val="28"/>
              </w:rPr>
            </w:pPr>
            <w:r w:rsidRPr="001E4DDF">
              <w:rPr>
                <w:rFonts w:ascii="標楷體" w:eastAsia="標楷體" w:hAnsi="標楷體" w:hint="eastAsia"/>
                <w:sz w:val="28"/>
                <w:szCs w:val="28"/>
              </w:rPr>
              <w:t>填表人：</w:t>
            </w:r>
            <w:r w:rsidR="0008585A" w:rsidRPr="001E4DDF">
              <w:rPr>
                <w:rFonts w:ascii="標楷體" w:eastAsia="標楷體" w:hAnsi="標楷體" w:hint="eastAsia"/>
                <w:sz w:val="28"/>
                <w:szCs w:val="28"/>
              </w:rPr>
              <w:t>許維敏</w:t>
            </w:r>
          </w:p>
          <w:p w:rsidR="00C348D8" w:rsidRPr="001E4DDF" w:rsidRDefault="00F36939" w:rsidP="0077312D">
            <w:pPr>
              <w:snapToGrid w:val="0"/>
              <w:spacing w:line="380" w:lineRule="exact"/>
              <w:rPr>
                <w:rFonts w:ascii="標楷體" w:eastAsia="標楷體" w:hAnsi="標楷體"/>
                <w:sz w:val="28"/>
                <w:szCs w:val="28"/>
              </w:rPr>
            </w:pPr>
            <w:r w:rsidRPr="001E4DDF">
              <w:rPr>
                <w:rFonts w:ascii="標楷體" w:eastAsia="標楷體" w:hAnsi="標楷體" w:hint="eastAsia"/>
                <w:sz w:val="28"/>
                <w:szCs w:val="28"/>
              </w:rPr>
              <w:t>填表日期：</w:t>
            </w:r>
            <w:r w:rsidR="0008585A" w:rsidRPr="001E4DDF">
              <w:rPr>
                <w:rFonts w:ascii="標楷體" w:eastAsia="標楷體" w:hAnsi="標楷體" w:hint="eastAsia"/>
                <w:sz w:val="28"/>
                <w:szCs w:val="28"/>
              </w:rPr>
              <w:t>100</w:t>
            </w:r>
            <w:r w:rsidRPr="001E4DDF">
              <w:rPr>
                <w:rFonts w:ascii="標楷體" w:eastAsia="標楷體" w:hAnsi="標楷體" w:hint="eastAsia"/>
                <w:sz w:val="28"/>
                <w:szCs w:val="28"/>
              </w:rPr>
              <w:t>年</w:t>
            </w:r>
            <w:r w:rsidR="00D67D90" w:rsidRPr="001E4DDF">
              <w:rPr>
                <w:rFonts w:ascii="標楷體" w:eastAsia="標楷體" w:hAnsi="標楷體" w:hint="eastAsia"/>
                <w:sz w:val="28"/>
                <w:szCs w:val="28"/>
              </w:rPr>
              <w:t>1</w:t>
            </w:r>
            <w:r w:rsidR="00FC4CEA" w:rsidRPr="001E4DDF">
              <w:rPr>
                <w:rFonts w:ascii="標楷體" w:eastAsia="標楷體" w:hAnsi="標楷體" w:hint="eastAsia"/>
                <w:sz w:val="28"/>
                <w:szCs w:val="28"/>
              </w:rPr>
              <w:t>2</w:t>
            </w:r>
            <w:r w:rsidRPr="001E4DDF">
              <w:rPr>
                <w:rFonts w:ascii="標楷體" w:eastAsia="標楷體" w:hAnsi="標楷體" w:hint="eastAsia"/>
                <w:sz w:val="28"/>
                <w:szCs w:val="28"/>
              </w:rPr>
              <w:t>月</w:t>
            </w:r>
            <w:r w:rsidR="00287C66" w:rsidRPr="001E4DDF">
              <w:rPr>
                <w:rFonts w:ascii="標楷體" w:eastAsia="標楷體" w:hAnsi="標楷體" w:hint="eastAsia"/>
                <w:sz w:val="28"/>
                <w:szCs w:val="28"/>
              </w:rPr>
              <w:t>1</w:t>
            </w:r>
            <w:r w:rsidR="0008585A" w:rsidRPr="001E4DDF">
              <w:rPr>
                <w:rFonts w:ascii="標楷體" w:eastAsia="標楷體" w:hAnsi="標楷體" w:hint="eastAsia"/>
                <w:sz w:val="28"/>
                <w:szCs w:val="28"/>
              </w:rPr>
              <w:t>2</w:t>
            </w:r>
            <w:r w:rsidRPr="001E4DDF">
              <w:rPr>
                <w:rFonts w:ascii="標楷體" w:eastAsia="標楷體" w:hAnsi="標楷體" w:hint="eastAsia"/>
                <w:sz w:val="28"/>
                <w:szCs w:val="28"/>
              </w:rPr>
              <w:t>日</w:t>
            </w:r>
          </w:p>
        </w:tc>
      </w:tr>
      <w:tr w:rsidR="007B321D" w:rsidRPr="001E4DDF" w:rsidTr="0077312D">
        <w:trPr>
          <w:trHeight w:val="643"/>
        </w:trPr>
        <w:tc>
          <w:tcPr>
            <w:tcW w:w="1288" w:type="dxa"/>
            <w:vAlign w:val="center"/>
          </w:tcPr>
          <w:p w:rsidR="007B321D" w:rsidRPr="001E4DDF" w:rsidRDefault="00F36939" w:rsidP="0077312D">
            <w:pPr>
              <w:snapToGrid w:val="0"/>
              <w:spacing w:line="500" w:lineRule="atLeast"/>
              <w:rPr>
                <w:rFonts w:ascii="標楷體" w:eastAsia="標楷體" w:hAnsi="標楷體"/>
                <w:sz w:val="28"/>
                <w:szCs w:val="28"/>
              </w:rPr>
            </w:pPr>
            <w:r w:rsidRPr="001E4DDF">
              <w:rPr>
                <w:rFonts w:ascii="標楷體" w:eastAsia="標楷體" w:hAnsi="標楷體" w:hint="eastAsia"/>
                <w:sz w:val="28"/>
                <w:szCs w:val="28"/>
              </w:rPr>
              <w:t>研究項目</w:t>
            </w:r>
          </w:p>
        </w:tc>
        <w:tc>
          <w:tcPr>
            <w:tcW w:w="7954" w:type="dxa"/>
            <w:gridSpan w:val="4"/>
            <w:vAlign w:val="center"/>
          </w:tcPr>
          <w:p w:rsidR="007B321D" w:rsidRPr="001E4DDF" w:rsidRDefault="0008585A" w:rsidP="005B10D6">
            <w:pPr>
              <w:snapToGrid w:val="0"/>
              <w:spacing w:line="500" w:lineRule="atLeast"/>
              <w:rPr>
                <w:rFonts w:ascii="標楷體" w:eastAsia="標楷體" w:hAnsi="標楷體"/>
                <w:sz w:val="28"/>
                <w:szCs w:val="28"/>
              </w:rPr>
            </w:pPr>
            <w:r w:rsidRPr="001E4DDF">
              <w:rPr>
                <w:rFonts w:ascii="標楷體" w:eastAsia="標楷體" w:hAnsi="標楷體" w:hint="eastAsia"/>
                <w:sz w:val="28"/>
                <w:szCs w:val="28"/>
              </w:rPr>
              <w:t>我國期貨市場開放</w:t>
            </w:r>
            <w:r w:rsidR="005B10D6">
              <w:rPr>
                <w:rFonts w:ascii="標楷體" w:eastAsia="標楷體" w:hAnsi="標楷體" w:hint="eastAsia"/>
                <w:sz w:val="28"/>
                <w:szCs w:val="28"/>
              </w:rPr>
              <w:t>交易人</w:t>
            </w:r>
            <w:r w:rsidR="00516759" w:rsidRPr="001E4DDF">
              <w:rPr>
                <w:rFonts w:ascii="標楷體" w:eastAsia="標楷體" w:hAnsi="標楷體" w:hint="eastAsia"/>
                <w:sz w:val="28"/>
                <w:szCs w:val="28"/>
              </w:rPr>
              <w:t>直接連線之</w:t>
            </w:r>
            <w:r w:rsidR="00BA2AB4" w:rsidRPr="001E4DDF">
              <w:rPr>
                <w:rFonts w:ascii="標楷體" w:eastAsia="標楷體" w:hAnsi="標楷體" w:hint="eastAsia"/>
                <w:sz w:val="28"/>
                <w:szCs w:val="28"/>
              </w:rPr>
              <w:t xml:space="preserve">下單方式 </w:t>
            </w:r>
            <w:r w:rsidRPr="001E4DDF">
              <w:rPr>
                <w:rFonts w:ascii="標楷體" w:eastAsia="標楷體" w:hAnsi="標楷體" w:hint="eastAsia"/>
                <w:sz w:val="28"/>
                <w:szCs w:val="28"/>
              </w:rPr>
              <w:t>(pure DMA)利弊分析研究</w:t>
            </w:r>
          </w:p>
        </w:tc>
      </w:tr>
      <w:tr w:rsidR="007B321D" w:rsidRPr="001E4DDF" w:rsidTr="0077312D">
        <w:trPr>
          <w:trHeight w:val="1564"/>
        </w:trPr>
        <w:tc>
          <w:tcPr>
            <w:tcW w:w="1288" w:type="dxa"/>
            <w:vAlign w:val="center"/>
          </w:tcPr>
          <w:p w:rsidR="007B321D" w:rsidRPr="001E4DDF" w:rsidRDefault="00F36939" w:rsidP="0077312D">
            <w:pPr>
              <w:snapToGrid w:val="0"/>
              <w:spacing w:line="500" w:lineRule="atLeast"/>
              <w:jc w:val="center"/>
              <w:rPr>
                <w:rFonts w:ascii="標楷體" w:eastAsia="標楷體" w:hAnsi="標楷體"/>
                <w:sz w:val="28"/>
                <w:szCs w:val="28"/>
              </w:rPr>
            </w:pPr>
            <w:r w:rsidRPr="001E4DDF">
              <w:rPr>
                <w:rFonts w:ascii="標楷體" w:eastAsia="標楷體" w:hAnsi="標楷體" w:hint="eastAsia"/>
                <w:sz w:val="28"/>
                <w:szCs w:val="28"/>
              </w:rPr>
              <w:t>研究單位</w:t>
            </w:r>
          </w:p>
          <w:p w:rsidR="007B321D" w:rsidRPr="001E4DDF" w:rsidRDefault="00F36939" w:rsidP="0077312D">
            <w:pPr>
              <w:snapToGrid w:val="0"/>
              <w:spacing w:line="500" w:lineRule="atLeast"/>
              <w:jc w:val="center"/>
              <w:rPr>
                <w:rFonts w:ascii="標楷體" w:eastAsia="標楷體" w:hAnsi="標楷體"/>
                <w:sz w:val="28"/>
                <w:szCs w:val="28"/>
              </w:rPr>
            </w:pPr>
            <w:r w:rsidRPr="001E4DDF">
              <w:rPr>
                <w:rFonts w:ascii="標楷體" w:eastAsia="標楷體" w:hAnsi="標楷體" w:hint="eastAsia"/>
                <w:sz w:val="28"/>
                <w:szCs w:val="28"/>
              </w:rPr>
              <w:t>及人員</w:t>
            </w:r>
          </w:p>
        </w:tc>
        <w:tc>
          <w:tcPr>
            <w:tcW w:w="4510" w:type="dxa"/>
            <w:gridSpan w:val="2"/>
            <w:vAlign w:val="center"/>
          </w:tcPr>
          <w:p w:rsidR="007B321D" w:rsidRPr="001E4DDF" w:rsidRDefault="00FC4CEA" w:rsidP="0077312D">
            <w:pPr>
              <w:widowControl/>
              <w:spacing w:line="340" w:lineRule="exact"/>
              <w:rPr>
                <w:rFonts w:ascii="標楷體" w:eastAsia="標楷體" w:hAnsi="標楷體"/>
                <w:sz w:val="28"/>
                <w:szCs w:val="28"/>
              </w:rPr>
            </w:pPr>
            <w:r w:rsidRPr="001E4DDF">
              <w:rPr>
                <w:rFonts w:ascii="標楷體" w:eastAsia="標楷體" w:hAnsi="標楷體"/>
                <w:sz w:val="28"/>
                <w:szCs w:val="28"/>
              </w:rPr>
              <w:t>研究單位</w:t>
            </w:r>
            <w:r w:rsidR="00F36939" w:rsidRPr="001E4DDF">
              <w:rPr>
                <w:rFonts w:ascii="標楷體" w:eastAsia="標楷體" w:hAnsi="標楷體" w:hint="eastAsia"/>
                <w:sz w:val="28"/>
                <w:szCs w:val="28"/>
              </w:rPr>
              <w:t>：</w:t>
            </w:r>
            <w:r w:rsidRPr="001E4DDF">
              <w:rPr>
                <w:rFonts w:ascii="標楷體" w:eastAsia="標楷體" w:hAnsi="標楷體" w:hint="eastAsia"/>
                <w:sz w:val="28"/>
                <w:szCs w:val="28"/>
              </w:rPr>
              <w:t>臺灣期貨交易所</w:t>
            </w:r>
          </w:p>
          <w:p w:rsidR="007B321D" w:rsidRPr="001E4DDF" w:rsidRDefault="00F36939" w:rsidP="0077312D">
            <w:pPr>
              <w:widowControl/>
              <w:spacing w:line="340" w:lineRule="exact"/>
              <w:rPr>
                <w:rFonts w:ascii="標楷體" w:eastAsia="標楷體" w:hAnsi="標楷體"/>
                <w:sz w:val="28"/>
                <w:szCs w:val="28"/>
              </w:rPr>
            </w:pPr>
            <w:r w:rsidRPr="001E4DDF">
              <w:rPr>
                <w:rFonts w:ascii="標楷體" w:eastAsia="標楷體" w:hAnsi="標楷體" w:hint="eastAsia"/>
                <w:sz w:val="28"/>
                <w:szCs w:val="28"/>
              </w:rPr>
              <w:t>研究人員：</w:t>
            </w:r>
            <w:r w:rsidR="0008585A" w:rsidRPr="001E4DDF">
              <w:rPr>
                <w:rFonts w:ascii="標楷體" w:eastAsia="標楷體" w:hAnsi="標楷體" w:hint="eastAsia"/>
                <w:kern w:val="0"/>
                <w:sz w:val="28"/>
                <w:szCs w:val="28"/>
              </w:rPr>
              <w:t>許維敏</w:t>
            </w:r>
          </w:p>
        </w:tc>
        <w:tc>
          <w:tcPr>
            <w:tcW w:w="561" w:type="dxa"/>
            <w:vAlign w:val="center"/>
          </w:tcPr>
          <w:p w:rsidR="00C348D8" w:rsidRPr="001E4DDF" w:rsidRDefault="00F36939" w:rsidP="0077312D">
            <w:pPr>
              <w:snapToGrid w:val="0"/>
              <w:spacing w:line="500" w:lineRule="atLeast"/>
              <w:jc w:val="center"/>
              <w:rPr>
                <w:rFonts w:ascii="標楷體" w:eastAsia="標楷體" w:hAnsi="標楷體"/>
                <w:sz w:val="28"/>
                <w:szCs w:val="28"/>
              </w:rPr>
            </w:pPr>
            <w:r w:rsidRPr="001E4DDF">
              <w:rPr>
                <w:rFonts w:ascii="標楷體" w:eastAsia="標楷體" w:hAnsi="標楷體" w:hint="eastAsia"/>
                <w:sz w:val="28"/>
                <w:szCs w:val="28"/>
              </w:rPr>
              <w:t>研究</w:t>
            </w:r>
          </w:p>
          <w:p w:rsidR="00C348D8" w:rsidRPr="001E4DDF" w:rsidRDefault="00F36939" w:rsidP="0077312D">
            <w:pPr>
              <w:snapToGrid w:val="0"/>
              <w:spacing w:line="500" w:lineRule="atLeast"/>
              <w:jc w:val="center"/>
              <w:rPr>
                <w:rFonts w:ascii="標楷體" w:eastAsia="標楷體" w:hAnsi="標楷體"/>
                <w:sz w:val="28"/>
                <w:szCs w:val="28"/>
              </w:rPr>
            </w:pPr>
            <w:r w:rsidRPr="001E4DDF">
              <w:rPr>
                <w:rFonts w:ascii="標楷體" w:eastAsia="標楷體" w:hAnsi="標楷體" w:hint="eastAsia"/>
                <w:sz w:val="28"/>
                <w:szCs w:val="28"/>
              </w:rPr>
              <w:t>時間</w:t>
            </w:r>
          </w:p>
        </w:tc>
        <w:tc>
          <w:tcPr>
            <w:tcW w:w="2883" w:type="dxa"/>
            <w:vAlign w:val="center"/>
          </w:tcPr>
          <w:p w:rsidR="007B321D" w:rsidRPr="001E4DDF" w:rsidRDefault="00F36939" w:rsidP="0077312D">
            <w:pPr>
              <w:widowControl/>
              <w:spacing w:line="340" w:lineRule="exact"/>
              <w:jc w:val="center"/>
              <w:rPr>
                <w:rFonts w:ascii="標楷體" w:eastAsia="標楷體" w:hAnsi="標楷體"/>
                <w:sz w:val="28"/>
                <w:szCs w:val="28"/>
              </w:rPr>
            </w:pPr>
            <w:r w:rsidRPr="001E4DDF">
              <w:rPr>
                <w:rFonts w:ascii="標楷體" w:eastAsia="標楷體" w:hAnsi="標楷體" w:hint="eastAsia"/>
                <w:sz w:val="28"/>
                <w:szCs w:val="28"/>
              </w:rPr>
              <w:t>自</w:t>
            </w:r>
            <w:r w:rsidR="0008585A" w:rsidRPr="001E4DDF">
              <w:rPr>
                <w:rFonts w:ascii="標楷體" w:eastAsia="標楷體" w:hAnsi="標楷體" w:hint="eastAsia"/>
                <w:sz w:val="28"/>
                <w:szCs w:val="28"/>
              </w:rPr>
              <w:t>100</w:t>
            </w:r>
            <w:r w:rsidRPr="001E4DDF">
              <w:rPr>
                <w:rFonts w:ascii="標楷體" w:eastAsia="標楷體" w:hAnsi="標楷體" w:hint="eastAsia"/>
                <w:sz w:val="28"/>
                <w:szCs w:val="28"/>
              </w:rPr>
              <w:t>年</w:t>
            </w:r>
            <w:r w:rsidR="00FC4CEA" w:rsidRPr="001E4DDF">
              <w:rPr>
                <w:rFonts w:ascii="標楷體" w:eastAsia="標楷體" w:hAnsi="標楷體" w:hint="eastAsia"/>
                <w:sz w:val="28"/>
                <w:szCs w:val="28"/>
              </w:rPr>
              <w:t>1</w:t>
            </w:r>
            <w:r w:rsidRPr="001E4DDF">
              <w:rPr>
                <w:rFonts w:ascii="標楷體" w:eastAsia="標楷體" w:hAnsi="標楷體" w:hint="eastAsia"/>
                <w:sz w:val="28"/>
                <w:szCs w:val="28"/>
              </w:rPr>
              <w:t>月</w:t>
            </w:r>
            <w:r w:rsidR="00F6279E" w:rsidRPr="001E4DDF">
              <w:rPr>
                <w:rFonts w:ascii="標楷體" w:eastAsia="標楷體" w:hAnsi="標楷體" w:hint="eastAsia"/>
                <w:sz w:val="28"/>
                <w:szCs w:val="28"/>
              </w:rPr>
              <w:t>1</w:t>
            </w:r>
            <w:r w:rsidR="00D67D90" w:rsidRPr="001E4DDF">
              <w:rPr>
                <w:rFonts w:ascii="標楷體" w:eastAsia="標楷體" w:hAnsi="標楷體" w:hint="eastAsia"/>
                <w:sz w:val="28"/>
                <w:szCs w:val="28"/>
              </w:rPr>
              <w:t>日</w:t>
            </w:r>
          </w:p>
          <w:p w:rsidR="00C348D8" w:rsidRPr="001E4DDF" w:rsidRDefault="00FC4CEA" w:rsidP="005B10D6">
            <w:pPr>
              <w:widowControl/>
              <w:spacing w:line="340" w:lineRule="exact"/>
              <w:jc w:val="center"/>
              <w:rPr>
                <w:rFonts w:ascii="標楷體" w:eastAsia="標楷體" w:hAnsi="標楷體"/>
                <w:sz w:val="28"/>
                <w:szCs w:val="28"/>
              </w:rPr>
            </w:pPr>
            <w:r w:rsidRPr="001E4DDF">
              <w:rPr>
                <w:rFonts w:ascii="標楷體" w:eastAsia="標楷體" w:hAnsi="標楷體" w:hint="eastAsia"/>
                <w:sz w:val="28"/>
                <w:szCs w:val="28"/>
              </w:rPr>
              <w:t>至</w:t>
            </w:r>
            <w:r w:rsidR="0008585A" w:rsidRPr="001E4DDF">
              <w:rPr>
                <w:rFonts w:ascii="標楷體" w:eastAsia="標楷體" w:hAnsi="標楷體" w:hint="eastAsia"/>
                <w:sz w:val="28"/>
                <w:szCs w:val="28"/>
              </w:rPr>
              <w:t>100</w:t>
            </w:r>
            <w:r w:rsidR="00F36939" w:rsidRPr="001E4DDF">
              <w:rPr>
                <w:rFonts w:ascii="標楷體" w:eastAsia="標楷體" w:hAnsi="標楷體" w:hint="eastAsia"/>
                <w:sz w:val="28"/>
                <w:szCs w:val="28"/>
              </w:rPr>
              <w:t>年</w:t>
            </w:r>
            <w:r w:rsidR="00D67D90" w:rsidRPr="001E4DDF">
              <w:rPr>
                <w:rFonts w:ascii="標楷體" w:eastAsia="標楷體" w:hAnsi="標楷體" w:hint="eastAsia"/>
                <w:sz w:val="28"/>
                <w:szCs w:val="28"/>
              </w:rPr>
              <w:t>1</w:t>
            </w:r>
            <w:r w:rsidR="0008585A" w:rsidRPr="001E4DDF">
              <w:rPr>
                <w:rFonts w:ascii="標楷體" w:eastAsia="標楷體" w:hAnsi="標楷體" w:hint="eastAsia"/>
                <w:sz w:val="28"/>
                <w:szCs w:val="28"/>
              </w:rPr>
              <w:t>2</w:t>
            </w:r>
            <w:r w:rsidR="00F36939" w:rsidRPr="001E4DDF">
              <w:rPr>
                <w:rFonts w:ascii="標楷體" w:eastAsia="標楷體" w:hAnsi="標楷體"/>
                <w:sz w:val="28"/>
                <w:szCs w:val="28"/>
              </w:rPr>
              <w:t xml:space="preserve"> </w:t>
            </w:r>
            <w:r w:rsidR="00F36939" w:rsidRPr="001E4DDF">
              <w:rPr>
                <w:rFonts w:ascii="標楷體" w:eastAsia="標楷體" w:hAnsi="標楷體" w:hint="eastAsia"/>
                <w:sz w:val="28"/>
                <w:szCs w:val="28"/>
              </w:rPr>
              <w:t>月</w:t>
            </w:r>
            <w:r w:rsidR="005B10D6">
              <w:rPr>
                <w:rFonts w:ascii="標楷體" w:eastAsia="標楷體" w:hAnsi="標楷體" w:hint="eastAsia"/>
                <w:sz w:val="28"/>
                <w:szCs w:val="28"/>
              </w:rPr>
              <w:t>20</w:t>
            </w:r>
            <w:r w:rsidR="00F36939" w:rsidRPr="001E4DDF">
              <w:rPr>
                <w:rFonts w:ascii="標楷體" w:eastAsia="標楷體" w:hAnsi="標楷體" w:hint="eastAsia"/>
                <w:sz w:val="28"/>
                <w:szCs w:val="28"/>
              </w:rPr>
              <w:t>日</w:t>
            </w:r>
          </w:p>
        </w:tc>
      </w:tr>
      <w:tr w:rsidR="007B321D" w:rsidRPr="001E4DDF" w:rsidTr="0077312D">
        <w:trPr>
          <w:cantSplit/>
        </w:trPr>
        <w:tc>
          <w:tcPr>
            <w:tcW w:w="9242" w:type="dxa"/>
            <w:gridSpan w:val="5"/>
          </w:tcPr>
          <w:p w:rsidR="00C348D8" w:rsidRPr="001E4DDF" w:rsidRDefault="00F36939">
            <w:pPr>
              <w:snapToGrid w:val="0"/>
              <w:spacing w:line="500" w:lineRule="atLeast"/>
              <w:jc w:val="center"/>
              <w:rPr>
                <w:rFonts w:ascii="標楷體" w:eastAsia="標楷體" w:hAnsi="標楷體"/>
                <w:sz w:val="28"/>
              </w:rPr>
            </w:pPr>
            <w:r w:rsidRPr="001E4DDF">
              <w:rPr>
                <w:rFonts w:ascii="標楷體" w:eastAsia="標楷體" w:hAnsi="標楷體" w:hint="eastAsia"/>
                <w:sz w:val="28"/>
              </w:rPr>
              <w:t>報告內容提要</w:t>
            </w:r>
          </w:p>
        </w:tc>
      </w:tr>
      <w:tr w:rsidR="007B321D" w:rsidRPr="001E4DDF" w:rsidTr="00E7717E">
        <w:trPr>
          <w:trHeight w:val="1833"/>
        </w:trPr>
        <w:tc>
          <w:tcPr>
            <w:tcW w:w="9242" w:type="dxa"/>
            <w:gridSpan w:val="5"/>
          </w:tcPr>
          <w:p w:rsidR="00FB55C4" w:rsidRDefault="00064C64" w:rsidP="003178D4">
            <w:pPr>
              <w:pStyle w:val="a9"/>
              <w:widowControl/>
              <w:numPr>
                <w:ilvl w:val="0"/>
                <w:numId w:val="40"/>
              </w:numPr>
              <w:adjustRightInd w:val="0"/>
              <w:spacing w:line="480" w:lineRule="exact"/>
              <w:ind w:leftChars="0" w:rightChars="47" w:right="113"/>
              <w:rPr>
                <w:rFonts w:ascii="標楷體" w:eastAsia="標楷體" w:hAnsi="標楷體"/>
                <w:b/>
              </w:rPr>
            </w:pPr>
            <w:r w:rsidRPr="001E4DDF">
              <w:rPr>
                <w:rFonts w:ascii="標楷體" w:eastAsia="標楷體" w:hAnsi="標楷體"/>
                <w:b/>
              </w:rPr>
              <w:t>研究內容</w:t>
            </w:r>
            <w:r w:rsidRPr="001E4DDF">
              <w:rPr>
                <w:rFonts w:ascii="標楷體" w:eastAsia="標楷體" w:hAnsi="標楷體" w:hint="eastAsia"/>
                <w:b/>
              </w:rPr>
              <w:t>重</w:t>
            </w:r>
            <w:r w:rsidRPr="001E4DDF">
              <w:rPr>
                <w:rFonts w:ascii="標楷體" w:eastAsia="標楷體" w:hAnsi="標楷體"/>
                <w:b/>
              </w:rPr>
              <w:t>點</w:t>
            </w:r>
          </w:p>
          <w:p w:rsidR="003178D4" w:rsidRPr="001E4DDF" w:rsidRDefault="003178D4" w:rsidP="003178D4">
            <w:pPr>
              <w:widowControl/>
              <w:numPr>
                <w:ilvl w:val="0"/>
                <w:numId w:val="4"/>
              </w:numPr>
              <w:adjustRightInd w:val="0"/>
              <w:spacing w:line="480" w:lineRule="exact"/>
              <w:ind w:left="851" w:rightChars="50" w:right="120" w:hanging="567"/>
              <w:rPr>
                <w:rFonts w:ascii="標楷體" w:eastAsia="標楷體" w:hAnsi="標楷體"/>
              </w:rPr>
            </w:pPr>
            <w:r w:rsidRPr="001E4DDF">
              <w:rPr>
                <w:rFonts w:ascii="標楷體" w:eastAsia="標楷體" w:hAnsi="標楷體" w:hint="eastAsia"/>
              </w:rPr>
              <w:t>世界主要交易所直接連線方式之介紹</w:t>
            </w:r>
            <w:r w:rsidR="00923B81" w:rsidRPr="001E4DDF">
              <w:rPr>
                <w:rFonts w:ascii="標楷體" w:eastAsia="標楷體" w:hAnsi="標楷體" w:hint="eastAsia"/>
              </w:rPr>
              <w:t>。</w:t>
            </w:r>
          </w:p>
          <w:p w:rsidR="003178D4" w:rsidRPr="001E4DDF" w:rsidRDefault="003178D4" w:rsidP="003178D4">
            <w:pPr>
              <w:widowControl/>
              <w:numPr>
                <w:ilvl w:val="0"/>
                <w:numId w:val="4"/>
              </w:numPr>
              <w:adjustRightInd w:val="0"/>
              <w:spacing w:line="480" w:lineRule="exact"/>
              <w:ind w:left="851" w:rightChars="50" w:right="120" w:hanging="567"/>
              <w:rPr>
                <w:rFonts w:ascii="標楷體" w:eastAsia="標楷體" w:hAnsi="標楷體"/>
              </w:rPr>
            </w:pPr>
            <w:r w:rsidRPr="001E4DDF">
              <w:rPr>
                <w:rFonts w:ascii="標楷體" w:eastAsia="標楷體" w:hAnsi="標楷體" w:hint="eastAsia"/>
              </w:rPr>
              <w:t>直接連線方式對交易市場之影響</w:t>
            </w:r>
            <w:r w:rsidR="00923B81" w:rsidRPr="001E4DDF">
              <w:rPr>
                <w:rFonts w:ascii="標楷體" w:eastAsia="標楷體" w:hAnsi="標楷體" w:hint="eastAsia"/>
              </w:rPr>
              <w:t>。</w:t>
            </w:r>
          </w:p>
          <w:p w:rsidR="003178D4" w:rsidRPr="001E4DDF" w:rsidRDefault="003178D4" w:rsidP="003178D4">
            <w:pPr>
              <w:widowControl/>
              <w:numPr>
                <w:ilvl w:val="0"/>
                <w:numId w:val="4"/>
              </w:numPr>
              <w:adjustRightInd w:val="0"/>
              <w:spacing w:line="480" w:lineRule="exact"/>
              <w:ind w:left="851" w:rightChars="50" w:right="120" w:hanging="567"/>
              <w:rPr>
                <w:rFonts w:ascii="標楷體" w:eastAsia="標楷體" w:hAnsi="標楷體"/>
              </w:rPr>
            </w:pPr>
            <w:r w:rsidRPr="001E4DDF">
              <w:rPr>
                <w:rFonts w:ascii="標楷體" w:eastAsia="標楷體" w:hAnsi="標楷體" w:hint="eastAsia"/>
              </w:rPr>
              <w:t>近期國外證券、期貨管理機關與自律機構對直接連線方式之規範與建議</w:t>
            </w:r>
            <w:r w:rsidR="00923B81" w:rsidRPr="001E4DDF">
              <w:rPr>
                <w:rFonts w:ascii="標楷體" w:eastAsia="標楷體" w:hAnsi="標楷體" w:hint="eastAsia"/>
              </w:rPr>
              <w:t>。</w:t>
            </w:r>
          </w:p>
          <w:p w:rsidR="003178D4" w:rsidRPr="001E4DDF" w:rsidRDefault="003178D4" w:rsidP="0027116E">
            <w:pPr>
              <w:widowControl/>
              <w:numPr>
                <w:ilvl w:val="1"/>
                <w:numId w:val="43"/>
              </w:numPr>
              <w:adjustRightInd w:val="0"/>
              <w:spacing w:line="480" w:lineRule="exact"/>
              <w:ind w:left="1276" w:rightChars="50" w:right="120" w:hanging="850"/>
              <w:rPr>
                <w:rFonts w:ascii="標楷體" w:eastAsia="標楷體" w:hAnsi="標楷體"/>
              </w:rPr>
            </w:pPr>
            <w:r w:rsidRPr="001E4DDF">
              <w:rPr>
                <w:rFonts w:ascii="標楷體" w:eastAsia="標楷體" w:hAnsi="標楷體" w:hint="eastAsia"/>
              </w:rPr>
              <w:t>美國</w:t>
            </w:r>
            <w:r w:rsidR="002B6E88" w:rsidRPr="002B6E88">
              <w:rPr>
                <w:rFonts w:ascii="標楷體" w:eastAsia="標楷體" w:hAnsi="標楷體" w:hint="eastAsia"/>
              </w:rPr>
              <w:t>證券交易委員會(</w:t>
            </w:r>
            <w:r w:rsidRPr="001E4DDF">
              <w:rPr>
                <w:rFonts w:ascii="標楷體" w:eastAsia="標楷體" w:hAnsi="標楷體" w:hint="eastAsia"/>
              </w:rPr>
              <w:t>SEC</w:t>
            </w:r>
            <w:r w:rsidR="002B6E88">
              <w:rPr>
                <w:rFonts w:ascii="標楷體" w:eastAsia="標楷體" w:hAnsi="標楷體" w:hint="eastAsia"/>
              </w:rPr>
              <w:t>)</w:t>
            </w:r>
            <w:r w:rsidRPr="001E4DDF">
              <w:rPr>
                <w:rFonts w:ascii="標楷體" w:eastAsia="標楷體" w:hAnsi="標楷體" w:hint="eastAsia"/>
              </w:rPr>
              <w:t>禁止未經檢核之直接連線方式</w:t>
            </w:r>
          </w:p>
          <w:p w:rsidR="003178D4" w:rsidRPr="001E4DDF" w:rsidRDefault="003178D4" w:rsidP="0027116E">
            <w:pPr>
              <w:widowControl/>
              <w:numPr>
                <w:ilvl w:val="1"/>
                <w:numId w:val="43"/>
              </w:numPr>
              <w:adjustRightInd w:val="0"/>
              <w:spacing w:line="480" w:lineRule="exact"/>
              <w:ind w:left="1276" w:rightChars="50" w:right="120" w:hanging="850"/>
              <w:rPr>
                <w:rFonts w:ascii="標楷體" w:eastAsia="標楷體" w:hAnsi="標楷體"/>
              </w:rPr>
            </w:pPr>
            <w:r w:rsidRPr="001E4DDF">
              <w:rPr>
                <w:rFonts w:ascii="標楷體" w:eastAsia="標楷體" w:hAnsi="標楷體" w:hint="eastAsia"/>
              </w:rPr>
              <w:t>美國</w:t>
            </w:r>
            <w:r w:rsidR="002B6E88" w:rsidRPr="002B6E88">
              <w:rPr>
                <w:rFonts w:ascii="標楷體" w:eastAsia="標楷體" w:hAnsi="標楷體" w:hint="eastAsia"/>
              </w:rPr>
              <w:t>商品期貨交易委員會(</w:t>
            </w:r>
            <w:r w:rsidRPr="001E4DDF">
              <w:rPr>
                <w:rFonts w:ascii="標楷體" w:eastAsia="標楷體" w:hAnsi="標楷體" w:hint="eastAsia"/>
              </w:rPr>
              <w:t>CFTC</w:t>
            </w:r>
            <w:r w:rsidR="002B6E88">
              <w:rPr>
                <w:rFonts w:ascii="標楷體" w:eastAsia="標楷體" w:hAnsi="標楷體" w:hint="eastAsia"/>
              </w:rPr>
              <w:t>)</w:t>
            </w:r>
            <w:r w:rsidRPr="001E4DDF">
              <w:rPr>
                <w:rFonts w:ascii="標楷體" w:eastAsia="標楷體" w:hAnsi="標楷體" w:hint="eastAsia"/>
              </w:rPr>
              <w:t>對直接連線方式</w:t>
            </w:r>
            <w:r w:rsidR="00923B81" w:rsidRPr="001E4DDF">
              <w:rPr>
                <w:rFonts w:ascii="標楷體" w:eastAsia="標楷體" w:hAnsi="標楷體" w:hint="eastAsia"/>
              </w:rPr>
              <w:t>之</w:t>
            </w:r>
            <w:r w:rsidRPr="001E4DDF">
              <w:rPr>
                <w:rFonts w:ascii="標楷體" w:eastAsia="標楷體" w:hAnsi="標楷體" w:hint="eastAsia"/>
              </w:rPr>
              <w:t>建議</w:t>
            </w:r>
          </w:p>
          <w:p w:rsidR="003178D4" w:rsidRPr="001E4DDF" w:rsidRDefault="003178D4" w:rsidP="0027116E">
            <w:pPr>
              <w:widowControl/>
              <w:numPr>
                <w:ilvl w:val="1"/>
                <w:numId w:val="43"/>
              </w:numPr>
              <w:adjustRightInd w:val="0"/>
              <w:spacing w:line="480" w:lineRule="exact"/>
              <w:ind w:left="1276" w:rightChars="50" w:right="120" w:hanging="850"/>
              <w:rPr>
                <w:rFonts w:ascii="標楷體" w:eastAsia="標楷體" w:hAnsi="標楷體"/>
              </w:rPr>
            </w:pPr>
            <w:r w:rsidRPr="001E4DDF">
              <w:rPr>
                <w:rFonts w:ascii="標楷體" w:eastAsia="標楷體" w:hAnsi="標楷體" w:hint="eastAsia"/>
              </w:rPr>
              <w:t>美國</w:t>
            </w:r>
            <w:r w:rsidR="002B6E88" w:rsidRPr="002B6E88">
              <w:rPr>
                <w:rFonts w:ascii="標楷體" w:eastAsia="標楷體" w:hAnsi="標楷體" w:hint="eastAsia"/>
              </w:rPr>
              <w:t>期貨協會(</w:t>
            </w:r>
            <w:r w:rsidRPr="001E4DDF">
              <w:rPr>
                <w:rFonts w:ascii="標楷體" w:eastAsia="標楷體" w:hAnsi="標楷體" w:hint="eastAsia"/>
              </w:rPr>
              <w:t>FIA</w:t>
            </w:r>
            <w:r w:rsidR="002B6E88">
              <w:rPr>
                <w:rFonts w:ascii="標楷體" w:eastAsia="標楷體" w:hAnsi="標楷體" w:hint="eastAsia"/>
              </w:rPr>
              <w:t>)</w:t>
            </w:r>
            <w:r w:rsidRPr="001E4DDF">
              <w:rPr>
                <w:rFonts w:ascii="標楷體" w:eastAsia="標楷體" w:hAnsi="標楷體" w:hint="eastAsia"/>
              </w:rPr>
              <w:t>對</w:t>
            </w:r>
            <w:r w:rsidR="003823B7">
              <w:rPr>
                <w:rFonts w:ascii="標楷體" w:eastAsia="標楷體" w:hAnsi="標楷體" w:hint="eastAsia"/>
              </w:rPr>
              <w:t>市場</w:t>
            </w:r>
            <w:r w:rsidRPr="001E4DDF">
              <w:rPr>
                <w:rFonts w:ascii="標楷體" w:eastAsia="標楷體" w:hAnsi="標楷體" w:hint="eastAsia"/>
              </w:rPr>
              <w:t>連線風險管理</w:t>
            </w:r>
            <w:r w:rsidR="00923B81" w:rsidRPr="001E4DDF">
              <w:rPr>
                <w:rFonts w:ascii="標楷體" w:eastAsia="標楷體" w:hAnsi="標楷體" w:hint="eastAsia"/>
              </w:rPr>
              <w:t>之</w:t>
            </w:r>
            <w:r w:rsidRPr="001E4DDF">
              <w:rPr>
                <w:rFonts w:ascii="標楷體" w:eastAsia="標楷體" w:hAnsi="標楷體" w:hint="eastAsia"/>
              </w:rPr>
              <w:t>建議及調查報告</w:t>
            </w:r>
          </w:p>
          <w:p w:rsidR="003178D4" w:rsidRPr="001E4DDF" w:rsidRDefault="003178D4" w:rsidP="0027116E">
            <w:pPr>
              <w:widowControl/>
              <w:numPr>
                <w:ilvl w:val="1"/>
                <w:numId w:val="43"/>
              </w:numPr>
              <w:adjustRightInd w:val="0"/>
              <w:spacing w:line="480" w:lineRule="exact"/>
              <w:ind w:left="1276" w:rightChars="50" w:right="120" w:hanging="850"/>
              <w:rPr>
                <w:rFonts w:ascii="標楷體" w:eastAsia="標楷體" w:hAnsi="標楷體"/>
              </w:rPr>
            </w:pPr>
            <w:r w:rsidRPr="001E4DDF">
              <w:rPr>
                <w:rFonts w:ascii="標楷體" w:eastAsia="標楷體" w:hAnsi="標楷體" w:hint="eastAsia"/>
              </w:rPr>
              <w:t>國際證券管理機構組織</w:t>
            </w:r>
            <w:r w:rsidR="002B6E88">
              <w:rPr>
                <w:rFonts w:ascii="標楷體" w:eastAsia="標楷體" w:hAnsi="標楷體" w:hint="eastAsia"/>
              </w:rPr>
              <w:t>(</w:t>
            </w:r>
            <w:r w:rsidRPr="001E4DDF">
              <w:rPr>
                <w:rFonts w:ascii="標楷體" w:eastAsia="標楷體" w:hAnsi="標楷體" w:hint="eastAsia"/>
              </w:rPr>
              <w:t>IOSCO</w:t>
            </w:r>
            <w:r w:rsidR="002B6E88">
              <w:rPr>
                <w:rFonts w:ascii="標楷體" w:eastAsia="標楷體" w:hAnsi="標楷體" w:hint="eastAsia"/>
              </w:rPr>
              <w:t>)</w:t>
            </w:r>
            <w:r w:rsidRPr="001E4DDF">
              <w:rPr>
                <w:rFonts w:ascii="標楷體" w:eastAsia="標楷體" w:hAnsi="標楷體" w:hint="eastAsia"/>
              </w:rPr>
              <w:t>對電子式直接連線方式(Direct Electronic Access</w:t>
            </w:r>
            <w:r w:rsidR="00A1280D">
              <w:rPr>
                <w:rFonts w:ascii="標楷體" w:eastAsia="標楷體" w:hAnsi="標楷體" w:hint="eastAsia"/>
              </w:rPr>
              <w:t>,</w:t>
            </w:r>
            <w:r w:rsidR="00A1280D" w:rsidRPr="001E4DDF">
              <w:rPr>
                <w:rFonts w:ascii="標楷體" w:eastAsia="標楷體" w:hAnsi="標楷體" w:hint="eastAsia"/>
              </w:rPr>
              <w:t>DEA</w:t>
            </w:r>
            <w:r w:rsidRPr="001E4DDF">
              <w:rPr>
                <w:rFonts w:ascii="標楷體" w:eastAsia="標楷體" w:hAnsi="標楷體" w:hint="eastAsia"/>
              </w:rPr>
              <w:t>)制定原則性規範</w:t>
            </w:r>
          </w:p>
          <w:p w:rsidR="003178D4" w:rsidRPr="001E4DDF" w:rsidRDefault="003178D4" w:rsidP="003178D4">
            <w:pPr>
              <w:widowControl/>
              <w:numPr>
                <w:ilvl w:val="0"/>
                <w:numId w:val="4"/>
              </w:numPr>
              <w:adjustRightInd w:val="0"/>
              <w:spacing w:line="480" w:lineRule="exact"/>
              <w:ind w:left="851" w:rightChars="50" w:right="120" w:hanging="567"/>
              <w:rPr>
                <w:rFonts w:ascii="標楷體" w:eastAsia="標楷體" w:hAnsi="標楷體"/>
              </w:rPr>
            </w:pPr>
            <w:r w:rsidRPr="001E4DDF">
              <w:rPr>
                <w:rFonts w:ascii="標楷體" w:eastAsia="標楷體" w:hAnsi="標楷體" w:hint="eastAsia"/>
              </w:rPr>
              <w:t>開放</w:t>
            </w:r>
            <w:r w:rsidR="00896A37">
              <w:rPr>
                <w:rFonts w:ascii="標楷體" w:eastAsia="標楷體" w:hAnsi="標楷體" w:hint="eastAsia"/>
              </w:rPr>
              <w:t>交易人</w:t>
            </w:r>
            <w:r w:rsidRPr="001E4DDF">
              <w:rPr>
                <w:rFonts w:ascii="標楷體" w:eastAsia="標楷體" w:hAnsi="標楷體" w:hint="eastAsia"/>
              </w:rPr>
              <w:t>直接連線方式對我國期貨市場之影響</w:t>
            </w:r>
            <w:r w:rsidR="00923B81" w:rsidRPr="001E4DDF">
              <w:rPr>
                <w:rFonts w:ascii="標楷體" w:eastAsia="標楷體" w:hAnsi="標楷體" w:hint="eastAsia"/>
              </w:rPr>
              <w:t>。</w:t>
            </w:r>
          </w:p>
          <w:p w:rsidR="00E618B5" w:rsidRPr="001E4DDF" w:rsidRDefault="00E618B5" w:rsidP="004E5D8C">
            <w:pPr>
              <w:widowControl/>
              <w:tabs>
                <w:tab w:val="left" w:pos="3900"/>
              </w:tabs>
              <w:adjustRightInd w:val="0"/>
              <w:spacing w:line="480" w:lineRule="exact"/>
              <w:ind w:rightChars="47" w:right="113"/>
              <w:rPr>
                <w:rFonts w:ascii="標楷體" w:eastAsia="標楷體" w:hAnsi="標楷體"/>
                <w:b/>
              </w:rPr>
            </w:pPr>
            <w:r w:rsidRPr="001E4DDF">
              <w:rPr>
                <w:rFonts w:ascii="標楷體" w:eastAsia="標楷體" w:hAnsi="標楷體" w:hint="eastAsia"/>
                <w:b/>
              </w:rPr>
              <w:t>貳、</w:t>
            </w:r>
            <w:r w:rsidR="000A4B7F" w:rsidRPr="001E4DDF">
              <w:rPr>
                <w:rFonts w:ascii="標楷體" w:eastAsia="標楷體" w:hAnsi="標楷體" w:hint="eastAsia"/>
                <w:b/>
              </w:rPr>
              <w:t>主要發現或</w:t>
            </w:r>
            <w:r w:rsidRPr="001E4DDF">
              <w:rPr>
                <w:rFonts w:ascii="標楷體" w:eastAsia="標楷體" w:hAnsi="標楷體" w:hint="eastAsia"/>
                <w:b/>
              </w:rPr>
              <w:t>結論</w:t>
            </w:r>
            <w:r w:rsidR="004E5D8C" w:rsidRPr="001E4DDF">
              <w:rPr>
                <w:rFonts w:ascii="標楷體" w:eastAsia="標楷體" w:hAnsi="標楷體"/>
                <w:b/>
              </w:rPr>
              <w:tab/>
            </w:r>
          </w:p>
          <w:p w:rsidR="00B125EF" w:rsidRPr="001E4DDF" w:rsidRDefault="00553D90" w:rsidP="00E20F56">
            <w:pPr>
              <w:numPr>
                <w:ilvl w:val="0"/>
                <w:numId w:val="7"/>
              </w:numPr>
              <w:spacing w:line="480" w:lineRule="exact"/>
              <w:ind w:left="709" w:rightChars="47" w:right="113" w:hanging="567"/>
              <w:jc w:val="both"/>
              <w:rPr>
                <w:rFonts w:ascii="標楷體" w:eastAsia="標楷體" w:hAnsi="標楷體"/>
                <w:b/>
              </w:rPr>
            </w:pPr>
            <w:r w:rsidRPr="001E4DDF">
              <w:rPr>
                <w:rFonts w:ascii="標楷體" w:eastAsia="標楷體" w:hAnsi="標楷體" w:hint="eastAsia"/>
                <w:b/>
              </w:rPr>
              <w:t>世界主要交易所</w:t>
            </w:r>
            <w:r w:rsidR="00B77E51" w:rsidRPr="001E4DDF">
              <w:rPr>
                <w:rFonts w:ascii="標楷體" w:eastAsia="標楷體" w:hAnsi="標楷體" w:hint="eastAsia"/>
                <w:b/>
              </w:rPr>
              <w:t>提供</w:t>
            </w:r>
            <w:r w:rsidR="005621CB" w:rsidRPr="001E4DDF">
              <w:rPr>
                <w:rFonts w:ascii="標楷體" w:eastAsia="標楷體" w:hAnsi="標楷體" w:hint="eastAsia"/>
                <w:b/>
              </w:rPr>
              <w:t>之</w:t>
            </w:r>
            <w:r w:rsidRPr="001E4DDF">
              <w:rPr>
                <w:rFonts w:ascii="標楷體" w:eastAsia="標楷體" w:hAnsi="標楷體" w:hint="eastAsia"/>
                <w:b/>
              </w:rPr>
              <w:t>直接連線方式</w:t>
            </w:r>
          </w:p>
          <w:p w:rsidR="00CB1532" w:rsidRPr="001E4DDF" w:rsidRDefault="00CB1532" w:rsidP="00084E90">
            <w:pPr>
              <w:spacing w:line="480" w:lineRule="exact"/>
              <w:ind w:leftChars="295" w:left="708" w:rightChars="47" w:right="113"/>
              <w:jc w:val="both"/>
              <w:rPr>
                <w:rFonts w:ascii="標楷體" w:eastAsia="標楷體" w:hAnsi="標楷體"/>
                <w:kern w:val="0"/>
              </w:rPr>
            </w:pPr>
            <w:r w:rsidRPr="001E4DDF">
              <w:rPr>
                <w:rFonts w:ascii="標楷體" w:eastAsia="標楷體" w:hAnsi="標楷體" w:hint="eastAsia"/>
                <w:kern w:val="0"/>
              </w:rPr>
              <w:t>本報告蒐集研究世界各主要交易所包括CME、SGX、HKEX、TOCOM及Eurex等有關</w:t>
            </w:r>
            <w:r w:rsidR="0099623D">
              <w:rPr>
                <w:rFonts w:ascii="標楷體" w:eastAsia="標楷體" w:hAnsi="標楷體" w:hint="eastAsia"/>
                <w:kern w:val="0"/>
              </w:rPr>
              <w:t>市場</w:t>
            </w:r>
            <w:r w:rsidR="0099623D" w:rsidRPr="001E4DDF">
              <w:rPr>
                <w:rFonts w:ascii="標楷體" w:eastAsia="標楷體" w:hAnsi="標楷體" w:hint="eastAsia"/>
              </w:rPr>
              <w:t>直接連線</w:t>
            </w:r>
            <w:r w:rsidR="0099623D">
              <w:rPr>
                <w:rFonts w:ascii="標楷體" w:eastAsia="標楷體" w:hAnsi="標楷體" w:hint="eastAsia"/>
              </w:rPr>
              <w:t>(</w:t>
            </w:r>
            <w:r w:rsidRPr="001E4DDF">
              <w:rPr>
                <w:rFonts w:ascii="標楷體" w:eastAsia="標楷體" w:hAnsi="標楷體" w:hint="eastAsia"/>
                <w:kern w:val="0"/>
              </w:rPr>
              <w:t>D</w:t>
            </w:r>
            <w:r w:rsidR="0099623D">
              <w:rPr>
                <w:rFonts w:ascii="標楷體" w:eastAsia="標楷體" w:hAnsi="標楷體" w:hint="eastAsia"/>
                <w:kern w:val="0"/>
              </w:rPr>
              <w:t xml:space="preserve">irect </w:t>
            </w:r>
            <w:r w:rsidRPr="001E4DDF">
              <w:rPr>
                <w:rFonts w:ascii="標楷體" w:eastAsia="標楷體" w:hAnsi="標楷體" w:hint="eastAsia"/>
                <w:kern w:val="0"/>
              </w:rPr>
              <w:t>M</w:t>
            </w:r>
            <w:r w:rsidR="0099623D">
              <w:rPr>
                <w:rFonts w:ascii="標楷體" w:eastAsia="標楷體" w:hAnsi="標楷體" w:hint="eastAsia"/>
                <w:kern w:val="0"/>
              </w:rPr>
              <w:t xml:space="preserve">arket </w:t>
            </w:r>
            <w:r w:rsidRPr="001E4DDF">
              <w:rPr>
                <w:rFonts w:ascii="標楷體" w:eastAsia="標楷體" w:hAnsi="標楷體" w:hint="eastAsia"/>
                <w:kern w:val="0"/>
              </w:rPr>
              <w:t>A</w:t>
            </w:r>
            <w:r w:rsidR="0099623D">
              <w:rPr>
                <w:rFonts w:ascii="標楷體" w:eastAsia="標楷體" w:hAnsi="標楷體" w:hint="eastAsia"/>
                <w:kern w:val="0"/>
              </w:rPr>
              <w:t>ccess,DMA)</w:t>
            </w:r>
            <w:r w:rsidRPr="001E4DDF">
              <w:rPr>
                <w:rFonts w:ascii="標楷體" w:eastAsia="標楷體" w:hAnsi="標楷體" w:hint="eastAsia"/>
                <w:kern w:val="0"/>
              </w:rPr>
              <w:t>之相關制度，例如:各交易所提供交易人與市場連線之下單方式、申請市場直接連線所需填具之表格及法律文件及市場連線之風險控管措施，另並對各交易所</w:t>
            </w:r>
            <w:r w:rsidR="00A804FA">
              <w:rPr>
                <w:rFonts w:ascii="標楷體" w:eastAsia="標楷體" w:hAnsi="標楷體" w:hint="eastAsia"/>
                <w:kern w:val="0"/>
              </w:rPr>
              <w:t>有關</w:t>
            </w:r>
            <w:r w:rsidR="00541F0B">
              <w:rPr>
                <w:rFonts w:ascii="標楷體" w:eastAsia="標楷體" w:hAnsi="標楷體" w:hint="eastAsia"/>
                <w:kern w:val="0"/>
              </w:rPr>
              <w:t>市場</w:t>
            </w:r>
            <w:r w:rsidRPr="001E4DDF">
              <w:rPr>
                <w:rFonts w:ascii="標楷體" w:eastAsia="標楷體" w:hAnsi="標楷體" w:hint="eastAsia"/>
                <w:kern w:val="0"/>
              </w:rPr>
              <w:t>連線之</w:t>
            </w:r>
            <w:r w:rsidR="00A804FA">
              <w:rPr>
                <w:rFonts w:ascii="標楷體" w:eastAsia="標楷體" w:hAnsi="標楷體" w:hint="eastAsia"/>
                <w:kern w:val="0"/>
              </w:rPr>
              <w:t>交易規則</w:t>
            </w:r>
            <w:r w:rsidRPr="001E4DDF">
              <w:rPr>
                <w:rFonts w:ascii="標楷體" w:eastAsia="標楷體" w:hAnsi="標楷體" w:hint="eastAsia"/>
                <w:kern w:val="0"/>
              </w:rPr>
              <w:t>、契約</w:t>
            </w:r>
            <w:r w:rsidR="00A804FA">
              <w:rPr>
                <w:rFonts w:ascii="標楷體" w:eastAsia="標楷體" w:hAnsi="標楷體" w:hint="eastAsia"/>
                <w:kern w:val="0"/>
              </w:rPr>
              <w:t>暨</w:t>
            </w:r>
            <w:r w:rsidRPr="001E4DDF">
              <w:rPr>
                <w:rFonts w:ascii="標楷體" w:eastAsia="標楷體" w:hAnsi="標楷體" w:hint="eastAsia"/>
                <w:kern w:val="0"/>
              </w:rPr>
              <w:t>相關法律文件之重要條款作重點摘要說明，俾作為日後開放</w:t>
            </w:r>
            <w:r w:rsidR="00EA49C6">
              <w:rPr>
                <w:rFonts w:ascii="標楷體" w:eastAsia="標楷體" w:hAnsi="標楷體" w:hint="eastAsia"/>
                <w:kern w:val="0"/>
              </w:rPr>
              <w:t>交易人</w:t>
            </w:r>
            <w:r w:rsidRPr="001E4DDF">
              <w:rPr>
                <w:rFonts w:ascii="標楷體" w:eastAsia="標楷體" w:hAnsi="標楷體" w:hint="eastAsia"/>
                <w:kern w:val="0"/>
              </w:rPr>
              <w:t>直接連線方式，</w:t>
            </w:r>
            <w:r w:rsidR="00EA49C6">
              <w:rPr>
                <w:rFonts w:ascii="標楷體" w:eastAsia="標楷體" w:hAnsi="標楷體" w:hint="eastAsia"/>
                <w:kern w:val="0"/>
              </w:rPr>
              <w:t>增修訂</w:t>
            </w:r>
            <w:r w:rsidRPr="001E4DDF">
              <w:rPr>
                <w:rFonts w:ascii="標楷體" w:eastAsia="標楷體" w:hAnsi="標楷體" w:hint="eastAsia"/>
                <w:kern w:val="0"/>
              </w:rPr>
              <w:t>本公司相關規</w:t>
            </w:r>
            <w:r w:rsidR="00EA49C6">
              <w:rPr>
                <w:rFonts w:ascii="標楷體" w:eastAsia="標楷體" w:hAnsi="標楷體" w:hint="eastAsia"/>
                <w:kern w:val="0"/>
              </w:rPr>
              <w:t>章作業規</w:t>
            </w:r>
            <w:r w:rsidRPr="001E4DDF">
              <w:rPr>
                <w:rFonts w:ascii="標楷體" w:eastAsia="標楷體" w:hAnsi="標楷體" w:hint="eastAsia"/>
                <w:kern w:val="0"/>
              </w:rPr>
              <w:t>定</w:t>
            </w:r>
            <w:r w:rsidR="00BE7D77">
              <w:rPr>
                <w:rFonts w:ascii="標楷體" w:eastAsia="標楷體" w:hAnsi="標楷體" w:hint="eastAsia"/>
                <w:kern w:val="0"/>
              </w:rPr>
              <w:t>，</w:t>
            </w:r>
            <w:r w:rsidRPr="001E4DDF">
              <w:rPr>
                <w:rFonts w:ascii="標楷體" w:eastAsia="標楷體" w:hAnsi="標楷體" w:hint="eastAsia"/>
                <w:kern w:val="0"/>
              </w:rPr>
              <w:t>並設置相關風險管理措施之參考。</w:t>
            </w:r>
            <w:r w:rsidR="00855F11" w:rsidRPr="001E4DDF">
              <w:rPr>
                <w:rFonts w:ascii="標楷體" w:eastAsia="標楷體" w:hAnsi="標楷體" w:hint="eastAsia"/>
                <w:kern w:val="0"/>
              </w:rPr>
              <w:t>綜合以上之研究</w:t>
            </w:r>
            <w:r w:rsidR="00AC11C0" w:rsidRPr="001E4DDF">
              <w:rPr>
                <w:rFonts w:ascii="標楷體" w:eastAsia="標楷體" w:hAnsi="標楷體" w:hint="eastAsia"/>
                <w:kern w:val="0"/>
              </w:rPr>
              <w:t>並參考</w:t>
            </w:r>
            <w:r w:rsidR="00541F0B" w:rsidRPr="001E4DDF">
              <w:rPr>
                <w:rFonts w:ascii="標楷體" w:eastAsia="標楷體" w:hAnsi="標楷體" w:hint="eastAsia"/>
              </w:rPr>
              <w:t>美國</w:t>
            </w:r>
            <w:r w:rsidR="00541F0B" w:rsidRPr="002B6E88">
              <w:rPr>
                <w:rFonts w:ascii="標楷體" w:eastAsia="標楷體" w:hAnsi="標楷體" w:hint="eastAsia"/>
              </w:rPr>
              <w:t>期貨協會(</w:t>
            </w:r>
            <w:r w:rsidR="00541F0B" w:rsidRPr="001E4DDF">
              <w:rPr>
                <w:rFonts w:ascii="標楷體" w:eastAsia="標楷體" w:hAnsi="標楷體" w:hint="eastAsia"/>
              </w:rPr>
              <w:t>FIA</w:t>
            </w:r>
            <w:r w:rsidR="00541F0B">
              <w:rPr>
                <w:rFonts w:ascii="標楷體" w:eastAsia="標楷體" w:hAnsi="標楷體" w:hint="eastAsia"/>
              </w:rPr>
              <w:t>)</w:t>
            </w:r>
            <w:r w:rsidR="00AC11C0" w:rsidRPr="001E4DDF">
              <w:rPr>
                <w:rFonts w:ascii="標楷體" w:eastAsia="標楷體" w:hAnsi="標楷體" w:hint="eastAsia"/>
                <w:kern w:val="0"/>
              </w:rPr>
              <w:t>對</w:t>
            </w:r>
            <w:r w:rsidR="00541F0B">
              <w:rPr>
                <w:rFonts w:ascii="標楷體" w:eastAsia="標楷體" w:hAnsi="標楷體" w:hint="eastAsia"/>
                <w:kern w:val="0"/>
              </w:rPr>
              <w:t>市場</w:t>
            </w:r>
            <w:r w:rsidR="002836B7" w:rsidRPr="001E4DDF">
              <w:rPr>
                <w:rFonts w:ascii="標楷體" w:eastAsia="標楷體" w:hAnsi="標楷體" w:hint="eastAsia"/>
              </w:rPr>
              <w:t>連線風險管理</w:t>
            </w:r>
            <w:r w:rsidR="00AC11C0" w:rsidRPr="001E4DDF">
              <w:rPr>
                <w:rFonts w:ascii="標楷體" w:eastAsia="標楷體" w:hAnsi="標楷體" w:hint="eastAsia"/>
                <w:kern w:val="0"/>
              </w:rPr>
              <w:t>之調查報告</w:t>
            </w:r>
            <w:r w:rsidR="00855F11" w:rsidRPr="001E4DDF">
              <w:rPr>
                <w:rFonts w:ascii="標楷體" w:eastAsia="標楷體" w:hAnsi="標楷體" w:hint="eastAsia"/>
                <w:kern w:val="0"/>
              </w:rPr>
              <w:t>，</w:t>
            </w:r>
            <w:r w:rsidRPr="001E4DDF">
              <w:rPr>
                <w:rFonts w:ascii="標楷體" w:eastAsia="標楷體" w:hAnsi="標楷體" w:hint="eastAsia"/>
                <w:kern w:val="0"/>
              </w:rPr>
              <w:t>歸納世界各主要</w:t>
            </w:r>
            <w:r w:rsidRPr="001E4DDF">
              <w:rPr>
                <w:rFonts w:ascii="標楷體" w:eastAsia="標楷體" w:hAnsi="標楷體" w:hint="eastAsia"/>
                <w:kern w:val="0"/>
              </w:rPr>
              <w:lastRenderedPageBreak/>
              <w:t>交易所提供之直接連線方式如下:</w:t>
            </w:r>
          </w:p>
          <w:p w:rsidR="002B4AA8" w:rsidRPr="001E4DDF" w:rsidRDefault="009C4934" w:rsidP="00F25AA3">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hint="eastAsia"/>
              </w:rPr>
              <w:t>前揭交易</w:t>
            </w:r>
            <w:r w:rsidR="00F07625" w:rsidRPr="001E4DDF">
              <w:rPr>
                <w:rFonts w:ascii="標楷體" w:eastAsia="標楷體" w:hAnsi="標楷體" w:hint="eastAsia"/>
              </w:rPr>
              <w:t>所皆已提供交易人</w:t>
            </w:r>
            <w:r w:rsidR="001D428E" w:rsidRPr="001E4DDF">
              <w:rPr>
                <w:rFonts w:ascii="標楷體" w:eastAsia="標楷體" w:hAnsi="標楷體" w:hint="eastAsia"/>
              </w:rPr>
              <w:t>，</w:t>
            </w:r>
            <w:r w:rsidR="00F07625" w:rsidRPr="001E4DDF">
              <w:rPr>
                <w:rFonts w:ascii="標楷體" w:eastAsia="標楷體" w:hAnsi="標楷體" w:hint="eastAsia"/>
              </w:rPr>
              <w:t>得不經由其經紀商交易系統</w:t>
            </w:r>
            <w:r w:rsidR="001D428E" w:rsidRPr="001E4DDF">
              <w:rPr>
                <w:rFonts w:ascii="標楷體" w:eastAsia="標楷體" w:hAnsi="標楷體" w:hint="eastAsia"/>
              </w:rPr>
              <w:t>，</w:t>
            </w:r>
            <w:r w:rsidR="00F07625" w:rsidRPr="001E4DDF">
              <w:rPr>
                <w:rFonts w:ascii="標楷體" w:eastAsia="標楷體" w:hAnsi="標楷體" w:hint="eastAsia"/>
              </w:rPr>
              <w:t>直接下單至交易所之連線方式，</w:t>
            </w:r>
            <w:r w:rsidR="00463D22">
              <w:rPr>
                <w:rFonts w:ascii="標楷體" w:eastAsia="標楷體" w:hAnsi="標楷體" w:hint="eastAsia"/>
              </w:rPr>
              <w:t>交易人</w:t>
            </w:r>
            <w:r w:rsidR="005621CB" w:rsidRPr="001E4DDF">
              <w:rPr>
                <w:rFonts w:ascii="標楷體" w:eastAsia="標楷體" w:hAnsi="標楷體" w:hint="eastAsia"/>
              </w:rPr>
              <w:t>直接連線方式</w:t>
            </w:r>
            <w:r w:rsidR="00F07625" w:rsidRPr="001E4DDF">
              <w:rPr>
                <w:rFonts w:ascii="標楷體" w:eastAsia="標楷體" w:hAnsi="標楷體" w:hint="eastAsia"/>
              </w:rPr>
              <w:t>已漸成為交易市場之主流。</w:t>
            </w:r>
          </w:p>
          <w:p w:rsidR="0084084E" w:rsidRPr="001E4DDF" w:rsidRDefault="00C20547" w:rsidP="00F25AA3">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hint="eastAsia"/>
              </w:rPr>
              <w:t>前揭</w:t>
            </w:r>
            <w:r w:rsidR="0084084E" w:rsidRPr="001E4DDF">
              <w:rPr>
                <w:rFonts w:ascii="標楷體" w:eastAsia="標楷體" w:hAnsi="標楷體" w:hint="eastAsia"/>
              </w:rPr>
              <w:t>交易所規定，</w:t>
            </w:r>
            <w:r w:rsidR="00A425DD">
              <w:rPr>
                <w:rFonts w:ascii="標楷體" w:eastAsia="標楷體" w:hAnsi="標楷體" w:hint="eastAsia"/>
              </w:rPr>
              <w:t>申請</w:t>
            </w:r>
            <w:r w:rsidR="0084084E" w:rsidRPr="001E4DDF">
              <w:rPr>
                <w:rFonts w:ascii="標楷體" w:eastAsia="標楷體" w:hAnsi="標楷體" w:hint="eastAsia"/>
              </w:rPr>
              <w:t>使用直接連線之客戶(交易人)，皆須取得結算會員之保證，始得與交易所連線。</w:t>
            </w:r>
          </w:p>
          <w:p w:rsidR="0084084E" w:rsidRPr="001E4DDF" w:rsidRDefault="0084084E" w:rsidP="00F25AA3">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hint="eastAsia"/>
              </w:rPr>
              <w:t>對於交易人申請直接連線之資格限制，Eurex及HKEX等交易所對交易人規定至少必須具備交易會員(非結算會員)資格，始得申請直接連線服務，但CME、SGX及TOCOM等交易所則未作此限制。亦言之，CME、SGX及TOCOM等交易所</w:t>
            </w:r>
            <w:r w:rsidR="006511AF">
              <w:rPr>
                <w:rFonts w:ascii="標楷體" w:eastAsia="標楷體" w:hAnsi="標楷體" w:hint="eastAsia"/>
              </w:rPr>
              <w:t>之</w:t>
            </w:r>
            <w:r w:rsidR="001D428E" w:rsidRPr="001E4DDF">
              <w:rPr>
                <w:rFonts w:ascii="標楷體" w:eastAsia="標楷體" w:hAnsi="標楷體" w:hint="eastAsia"/>
              </w:rPr>
              <w:t>交易人</w:t>
            </w:r>
            <w:r w:rsidR="00EF5E14">
              <w:rPr>
                <w:rFonts w:ascii="標楷體" w:eastAsia="標楷體" w:hAnsi="標楷體" w:hint="eastAsia"/>
              </w:rPr>
              <w:t>雖</w:t>
            </w:r>
            <w:r w:rsidR="000659B8">
              <w:rPr>
                <w:rFonts w:ascii="標楷體" w:eastAsia="標楷體" w:hAnsi="標楷體" w:hint="eastAsia"/>
              </w:rPr>
              <w:t>非該交易所之</w:t>
            </w:r>
            <w:r w:rsidR="00EF5E14" w:rsidRPr="001E4DDF">
              <w:rPr>
                <w:rFonts w:ascii="標楷體" w:eastAsia="標楷體" w:hAnsi="標楷體" w:hint="eastAsia"/>
              </w:rPr>
              <w:t>會員</w:t>
            </w:r>
            <w:r w:rsidRPr="001E4DDF">
              <w:rPr>
                <w:rFonts w:ascii="標楷體" w:eastAsia="標楷體" w:hAnsi="標楷體" w:hint="eastAsia"/>
              </w:rPr>
              <w:t>，仍可依該交易所之規定，</w:t>
            </w:r>
            <w:r w:rsidR="00EF5E14">
              <w:rPr>
                <w:rFonts w:ascii="標楷體" w:eastAsia="標楷體" w:hAnsi="標楷體" w:hint="eastAsia"/>
              </w:rPr>
              <w:t>向交易所</w:t>
            </w:r>
            <w:r w:rsidRPr="001E4DDF">
              <w:rPr>
                <w:rFonts w:ascii="標楷體" w:eastAsia="標楷體" w:hAnsi="標楷體" w:hint="eastAsia"/>
              </w:rPr>
              <w:t>申請直接連線。</w:t>
            </w:r>
          </w:p>
          <w:p w:rsidR="0084084E" w:rsidRPr="001E4DDF" w:rsidRDefault="0084084E" w:rsidP="00F25AA3">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hint="eastAsia"/>
              </w:rPr>
              <w:t>前揭交易所除SGX規定經結算會員保證之自營客戶(交易人)</w:t>
            </w:r>
            <w:r w:rsidR="006E4BFD">
              <w:rPr>
                <w:rFonts w:ascii="標楷體" w:eastAsia="標楷體" w:hAnsi="標楷體" w:hint="eastAsia"/>
              </w:rPr>
              <w:t>且</w:t>
            </w:r>
            <w:r w:rsidRPr="001E4DDF">
              <w:rPr>
                <w:rFonts w:ascii="標楷體" w:eastAsia="標楷體" w:hAnsi="標楷體" w:hint="eastAsia"/>
              </w:rPr>
              <w:t>簽定Bypass承諾書者，</w:t>
            </w:r>
            <w:r w:rsidR="006E4BFD">
              <w:rPr>
                <w:rFonts w:ascii="標楷體" w:eastAsia="標楷體" w:hAnsi="標楷體" w:hint="eastAsia"/>
              </w:rPr>
              <w:t>得</w:t>
            </w:r>
            <w:r w:rsidRPr="001E4DDF">
              <w:rPr>
                <w:rFonts w:ascii="標楷體" w:eastAsia="標楷體" w:hAnsi="標楷體" w:hint="eastAsia"/>
              </w:rPr>
              <w:t>豁免執行交易前之檢核機制，其他交易所CME、HKEX、TOCOM及Eurex等</w:t>
            </w:r>
            <w:r w:rsidR="002B4AA8" w:rsidRPr="001E4DDF">
              <w:rPr>
                <w:rFonts w:ascii="標楷體" w:eastAsia="標楷體" w:hAnsi="標楷體" w:hint="eastAsia"/>
              </w:rPr>
              <w:t>則</w:t>
            </w:r>
            <w:r w:rsidRPr="001E4DDF">
              <w:rPr>
                <w:rFonts w:ascii="標楷體" w:eastAsia="標楷體" w:hAnsi="標楷體" w:hint="eastAsia"/>
              </w:rPr>
              <w:t>規定每筆委託單傳送至交易所之交易系統前，皆須執行交易前之風險控管機制 。</w:t>
            </w:r>
          </w:p>
          <w:p w:rsidR="002B4AA8" w:rsidRPr="001E4DDF" w:rsidRDefault="00C20547" w:rsidP="002B4AA8">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cs="Helvetica" w:hint="eastAsia"/>
                <w:kern w:val="0"/>
              </w:rPr>
              <w:t>前揭</w:t>
            </w:r>
            <w:r w:rsidR="0007113D" w:rsidRPr="001E4DDF">
              <w:rPr>
                <w:rFonts w:ascii="標楷體" w:eastAsia="標楷體" w:hAnsi="標楷體" w:cs="Helvetica" w:hint="eastAsia"/>
                <w:kern w:val="0"/>
              </w:rPr>
              <w:t>交易所皆已設置某種程度之風險管理措施，但主要為委託單數量上限之規定，且無太大之差異。其他控管措施如取</w:t>
            </w:r>
            <w:r w:rsidR="0007113D" w:rsidRPr="001E4DDF">
              <w:rPr>
                <w:rFonts w:ascii="標楷體" w:eastAsia="標楷體" w:hAnsi="標楷體" w:cs="GoudyStd" w:hint="eastAsia"/>
                <w:kern w:val="0"/>
              </w:rPr>
              <w:t>消委託按</w:t>
            </w:r>
            <w:r w:rsidR="0007113D" w:rsidRPr="001E4DDF">
              <w:rPr>
                <w:rFonts w:ascii="標楷體" w:eastAsia="標楷體" w:hAnsi="標楷體" w:cs="Helvetica" w:hint="eastAsia"/>
                <w:kern w:val="0"/>
              </w:rPr>
              <w:t>鍵功能</w:t>
            </w:r>
            <w:r w:rsidR="002836B7" w:rsidRPr="001E4DDF">
              <w:rPr>
                <w:rFonts w:ascii="標楷體" w:eastAsia="標楷體" w:hAnsi="標楷體" w:cs="Helvetica" w:hint="eastAsia"/>
                <w:kern w:val="0"/>
              </w:rPr>
              <w:t>(</w:t>
            </w:r>
            <w:r w:rsidR="0007113D" w:rsidRPr="001E4DDF">
              <w:rPr>
                <w:rFonts w:ascii="標楷體" w:eastAsia="標楷體" w:hAnsi="標楷體" w:cs="Helvetica" w:hint="eastAsia"/>
                <w:kern w:val="0"/>
              </w:rPr>
              <w:t>Kill Button</w:t>
            </w:r>
            <w:r w:rsidR="002836B7" w:rsidRPr="001E4DDF">
              <w:rPr>
                <w:rFonts w:ascii="標楷體" w:eastAsia="標楷體" w:hAnsi="標楷體" w:cs="Helvetica" w:hint="eastAsia"/>
                <w:kern w:val="0"/>
              </w:rPr>
              <w:t>)</w:t>
            </w:r>
            <w:r w:rsidR="0007113D" w:rsidRPr="001E4DDF">
              <w:rPr>
                <w:rFonts w:ascii="標楷體" w:eastAsia="標楷體" w:hAnsi="標楷體" w:cs="Helvetica" w:hint="eastAsia"/>
                <w:kern w:val="0"/>
              </w:rPr>
              <w:t>等，仍</w:t>
            </w:r>
            <w:r w:rsidR="002B4AA8" w:rsidRPr="001E4DDF">
              <w:rPr>
                <w:rFonts w:ascii="標楷體" w:eastAsia="標楷體" w:hAnsi="標楷體" w:cs="Helvetica" w:hint="eastAsia"/>
                <w:kern w:val="0"/>
              </w:rPr>
              <w:t>尚待</w:t>
            </w:r>
            <w:r w:rsidR="0007113D" w:rsidRPr="001E4DDF">
              <w:rPr>
                <w:rFonts w:ascii="標楷體" w:eastAsia="標楷體" w:hAnsi="標楷體" w:cs="Helvetica" w:hint="eastAsia"/>
                <w:kern w:val="0"/>
              </w:rPr>
              <w:t>持續改善及發展。</w:t>
            </w:r>
            <w:r w:rsidR="00A35ED5" w:rsidRPr="001E4DDF">
              <w:rPr>
                <w:rFonts w:ascii="標楷體" w:eastAsia="標楷體" w:hAnsi="標楷體" w:cs="Helvetica" w:hint="eastAsia"/>
                <w:kern w:val="0"/>
              </w:rPr>
              <w:t>另</w:t>
            </w:r>
            <w:r w:rsidR="002B4AA8" w:rsidRPr="001E4DDF">
              <w:rPr>
                <w:rFonts w:ascii="標楷體" w:eastAsia="標楷體" w:hAnsi="標楷體" w:cs="Helvetica" w:hint="eastAsia"/>
                <w:kern w:val="0"/>
              </w:rPr>
              <w:t>配套措施</w:t>
            </w:r>
            <w:r w:rsidR="00A35ED5" w:rsidRPr="001E4DDF">
              <w:rPr>
                <w:rFonts w:ascii="標楷體" w:eastAsia="標楷體" w:hAnsi="標楷體" w:cs="Helvetica" w:hint="eastAsia"/>
                <w:kern w:val="0"/>
              </w:rPr>
              <w:t>部分，</w:t>
            </w:r>
            <w:r w:rsidR="00EF5E14">
              <w:rPr>
                <w:rFonts w:ascii="標楷體" w:eastAsia="標楷體" w:hAnsi="標楷體" w:cs="Helvetica" w:hint="eastAsia"/>
                <w:kern w:val="0"/>
              </w:rPr>
              <w:t>前揭</w:t>
            </w:r>
            <w:r w:rsidR="00A35ED5" w:rsidRPr="001E4DDF">
              <w:rPr>
                <w:rFonts w:ascii="標楷體" w:eastAsia="標楷體" w:hAnsi="標楷體" w:cs="Helvetica" w:hint="eastAsia"/>
                <w:kern w:val="0"/>
              </w:rPr>
              <w:t>交易所</w:t>
            </w:r>
            <w:r w:rsidR="00EF5E14">
              <w:rPr>
                <w:rFonts w:ascii="標楷體" w:eastAsia="標楷體" w:hAnsi="標楷體" w:cs="Helvetica" w:hint="eastAsia"/>
                <w:kern w:val="0"/>
              </w:rPr>
              <w:t>皆</w:t>
            </w:r>
            <w:r w:rsidR="00A35ED5" w:rsidRPr="001E4DDF">
              <w:rPr>
                <w:rFonts w:ascii="標楷體" w:eastAsia="標楷體" w:hAnsi="標楷體" w:cs="Helvetica" w:hint="eastAsia"/>
                <w:kern w:val="0"/>
              </w:rPr>
              <w:t>已制定</w:t>
            </w:r>
            <w:r w:rsidR="002B4AA8" w:rsidRPr="001E4DDF">
              <w:rPr>
                <w:rFonts w:ascii="標楷體" w:eastAsia="標楷體" w:hAnsi="標楷體" w:hint="eastAsia"/>
              </w:rPr>
              <w:t xml:space="preserve">價格區間之規定 </w:t>
            </w:r>
            <w:r w:rsidR="007D0AA2" w:rsidRPr="001E4DDF">
              <w:rPr>
                <w:rFonts w:ascii="標楷體" w:eastAsia="標楷體" w:hAnsi="標楷體" w:hint="eastAsia"/>
              </w:rPr>
              <w:t>(</w:t>
            </w:r>
            <w:r w:rsidR="002B4AA8" w:rsidRPr="001E4DDF">
              <w:rPr>
                <w:rFonts w:ascii="標楷體" w:eastAsia="標楷體" w:hAnsi="標楷體" w:hint="eastAsia"/>
              </w:rPr>
              <w:t>Price Banding Limits</w:t>
            </w:r>
            <w:r w:rsidR="007D0AA2" w:rsidRPr="001E4DDF">
              <w:rPr>
                <w:rFonts w:ascii="標楷體" w:eastAsia="標楷體" w:hAnsi="標楷體" w:hint="eastAsia"/>
              </w:rPr>
              <w:t>)</w:t>
            </w:r>
            <w:r w:rsidR="006A0AF4" w:rsidRPr="001E4DDF">
              <w:rPr>
                <w:rFonts w:ascii="標楷體" w:eastAsia="標楷體" w:hAnsi="標楷體" w:hint="eastAsia"/>
              </w:rPr>
              <w:t>；或</w:t>
            </w:r>
            <w:r w:rsidR="002B4AA8" w:rsidRPr="001E4DDF">
              <w:rPr>
                <w:rFonts w:ascii="標楷體" w:eastAsia="標楷體" w:hAnsi="標楷體" w:hint="eastAsia"/>
              </w:rPr>
              <w:t>已設置或已計畫設置明確之錯價政策</w:t>
            </w:r>
            <w:r w:rsidR="007D0AA2" w:rsidRPr="001E4DDF">
              <w:rPr>
                <w:rFonts w:ascii="標楷體" w:eastAsia="標楷體" w:hAnsi="標楷體" w:hint="eastAsia"/>
              </w:rPr>
              <w:t>(</w:t>
            </w:r>
            <w:r w:rsidR="002B4AA8" w:rsidRPr="001E4DDF">
              <w:rPr>
                <w:rFonts w:ascii="標楷體" w:eastAsia="標楷體" w:hAnsi="標楷體" w:hint="eastAsia"/>
              </w:rPr>
              <w:t>Clear Error Policies</w:t>
            </w:r>
            <w:r w:rsidR="007D0AA2" w:rsidRPr="001E4DDF">
              <w:rPr>
                <w:rFonts w:ascii="標楷體" w:eastAsia="標楷體" w:hAnsi="標楷體" w:hint="eastAsia"/>
              </w:rPr>
              <w:t>)</w:t>
            </w:r>
            <w:r w:rsidR="002B4AA8" w:rsidRPr="001E4DDF">
              <w:rPr>
                <w:rFonts w:ascii="標楷體" w:eastAsia="標楷體" w:hAnsi="標楷體" w:hint="eastAsia"/>
              </w:rPr>
              <w:t>。</w:t>
            </w:r>
          </w:p>
          <w:p w:rsidR="0084084E" w:rsidRPr="001E4DDF" w:rsidRDefault="00C20547" w:rsidP="00F25AA3">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hint="eastAsia"/>
              </w:rPr>
              <w:t>前揭</w:t>
            </w:r>
            <w:r w:rsidR="0084084E" w:rsidRPr="001E4DDF">
              <w:rPr>
                <w:rFonts w:ascii="標楷體" w:eastAsia="標楷體" w:hAnsi="標楷體" w:hint="eastAsia"/>
              </w:rPr>
              <w:t>交易所皆已建置並提供近乎即時性交易後之交易風險資訊。</w:t>
            </w:r>
          </w:p>
          <w:p w:rsidR="0084084E" w:rsidRPr="001E4DDF" w:rsidRDefault="00C20547" w:rsidP="00F25AA3">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hint="eastAsia"/>
              </w:rPr>
              <w:t>前揭</w:t>
            </w:r>
            <w:r w:rsidR="00024E3C" w:rsidRPr="001E4DDF">
              <w:rPr>
                <w:rFonts w:ascii="標楷體" w:eastAsia="標楷體" w:hAnsi="標楷體" w:hint="eastAsia"/>
              </w:rPr>
              <w:t>交易所皆已建置並提供符合性測試。</w:t>
            </w:r>
          </w:p>
          <w:p w:rsidR="00024E3C" w:rsidRDefault="00C20547" w:rsidP="00F25AA3">
            <w:pPr>
              <w:pStyle w:val="a9"/>
              <w:numPr>
                <w:ilvl w:val="0"/>
                <w:numId w:val="28"/>
              </w:numPr>
              <w:spacing w:line="480" w:lineRule="exact"/>
              <w:ind w:leftChars="0" w:left="993" w:rightChars="47" w:right="113" w:hanging="851"/>
              <w:jc w:val="both"/>
              <w:rPr>
                <w:rFonts w:ascii="標楷體" w:eastAsia="標楷體" w:hAnsi="標楷體"/>
              </w:rPr>
            </w:pPr>
            <w:r w:rsidRPr="001E4DDF">
              <w:rPr>
                <w:rFonts w:ascii="標楷體" w:eastAsia="標楷體" w:hAnsi="標楷體" w:hint="eastAsia"/>
              </w:rPr>
              <w:t>前揭</w:t>
            </w:r>
            <w:r w:rsidR="00024E3C" w:rsidRPr="001E4DDF">
              <w:rPr>
                <w:rFonts w:ascii="標楷體" w:eastAsia="標楷體" w:hAnsi="標楷體" w:hint="eastAsia"/>
              </w:rPr>
              <w:t>交易所</w:t>
            </w:r>
            <w:r w:rsidR="00EF5E14">
              <w:rPr>
                <w:rFonts w:ascii="標楷體" w:eastAsia="標楷體" w:hAnsi="標楷體" w:hint="eastAsia"/>
              </w:rPr>
              <w:t>提供之</w:t>
            </w:r>
            <w:r w:rsidR="00F172A9" w:rsidRPr="001E4DDF">
              <w:rPr>
                <w:rFonts w:ascii="標楷體" w:eastAsia="標楷體" w:hAnsi="標楷體" w:hint="eastAsia"/>
              </w:rPr>
              <w:t>直接連線服務，</w:t>
            </w:r>
            <w:r w:rsidR="00024E3C" w:rsidRPr="001E4DDF">
              <w:rPr>
                <w:rFonts w:ascii="標楷體" w:eastAsia="標楷體" w:hAnsi="標楷體" w:hint="eastAsia"/>
              </w:rPr>
              <w:t>得與已建置或</w:t>
            </w:r>
            <w:r w:rsidR="00D5178B" w:rsidRPr="001E4DDF">
              <w:rPr>
                <w:rFonts w:ascii="標楷體" w:eastAsia="標楷體" w:hAnsi="標楷體" w:hint="eastAsia"/>
              </w:rPr>
              <w:t>規劃</w:t>
            </w:r>
            <w:r w:rsidR="00024E3C" w:rsidRPr="001E4DDF">
              <w:rPr>
                <w:rFonts w:ascii="標楷體" w:eastAsia="標楷體" w:hAnsi="標楷體" w:hint="eastAsia"/>
              </w:rPr>
              <w:t>建置之主機共置</w:t>
            </w:r>
            <w:r w:rsidR="007D0AA2" w:rsidRPr="001E4DDF">
              <w:rPr>
                <w:rFonts w:ascii="標楷體" w:eastAsia="標楷體" w:hAnsi="標楷體" w:hint="eastAsia"/>
              </w:rPr>
              <w:t>(</w:t>
            </w:r>
            <w:r w:rsidR="00024E3C" w:rsidRPr="001E4DDF">
              <w:rPr>
                <w:rFonts w:ascii="標楷體" w:eastAsia="標楷體" w:hAnsi="標楷體" w:hint="eastAsia"/>
              </w:rPr>
              <w:t>Co-Location</w:t>
            </w:r>
            <w:r w:rsidR="007D0AA2" w:rsidRPr="001E4DDF">
              <w:rPr>
                <w:rFonts w:ascii="標楷體" w:eastAsia="標楷體" w:hAnsi="標楷體" w:hint="eastAsia"/>
              </w:rPr>
              <w:t>)</w:t>
            </w:r>
            <w:r w:rsidR="00024E3C" w:rsidRPr="001E4DDF">
              <w:rPr>
                <w:rFonts w:ascii="標楷體" w:eastAsia="標楷體" w:hAnsi="標楷體" w:hint="eastAsia"/>
              </w:rPr>
              <w:t>連結。</w:t>
            </w:r>
          </w:p>
          <w:p w:rsidR="001721CC" w:rsidRPr="001E4DDF" w:rsidRDefault="001721CC" w:rsidP="00E20F56">
            <w:pPr>
              <w:numPr>
                <w:ilvl w:val="0"/>
                <w:numId w:val="7"/>
              </w:numPr>
              <w:spacing w:line="480" w:lineRule="exact"/>
              <w:ind w:left="709" w:rightChars="47" w:right="113" w:hanging="567"/>
              <w:jc w:val="both"/>
              <w:rPr>
                <w:rFonts w:ascii="標楷體" w:eastAsia="標楷體" w:hAnsi="標楷體"/>
                <w:b/>
              </w:rPr>
            </w:pPr>
            <w:r w:rsidRPr="001E4DDF">
              <w:rPr>
                <w:rFonts w:ascii="標楷體" w:eastAsia="標楷體" w:hAnsi="標楷體" w:hint="eastAsia"/>
                <w:b/>
              </w:rPr>
              <w:t>直接連線方式對市場之影響</w:t>
            </w:r>
          </w:p>
          <w:p w:rsidR="00AF2D4D" w:rsidRPr="002167D1" w:rsidRDefault="00AF2D4D" w:rsidP="00AF2D4D">
            <w:pPr>
              <w:spacing w:line="480" w:lineRule="exact"/>
              <w:ind w:left="709" w:rightChars="47" w:right="113"/>
              <w:jc w:val="both"/>
              <w:rPr>
                <w:rFonts w:ascii="標楷體" w:eastAsia="標楷體" w:hAnsi="標楷體"/>
              </w:rPr>
            </w:pPr>
            <w:r w:rsidRPr="002167D1">
              <w:rPr>
                <w:rFonts w:ascii="標楷體" w:eastAsia="標楷體" w:hAnsi="標楷體" w:hint="eastAsia"/>
              </w:rPr>
              <w:t>依據IOSCO、SEC及FIA之相關研究報告，直接連線方式對</w:t>
            </w:r>
            <w:r w:rsidR="00DC3672" w:rsidRPr="002167D1">
              <w:rPr>
                <w:rFonts w:ascii="標楷體" w:eastAsia="標楷體" w:hAnsi="標楷體" w:hint="eastAsia"/>
              </w:rPr>
              <w:t>各</w:t>
            </w:r>
            <w:r w:rsidR="00B74750" w:rsidRPr="002167D1">
              <w:rPr>
                <w:rFonts w:ascii="標楷體" w:eastAsia="標楷體" w:hAnsi="標楷體" w:hint="eastAsia"/>
              </w:rPr>
              <w:t>國之</w:t>
            </w:r>
            <w:r w:rsidRPr="002167D1">
              <w:rPr>
                <w:rFonts w:ascii="標楷體" w:eastAsia="標楷體" w:hAnsi="標楷體" w:hint="eastAsia"/>
              </w:rPr>
              <w:t>證券</w:t>
            </w:r>
            <w:r w:rsidR="00DC3672" w:rsidRPr="002167D1">
              <w:rPr>
                <w:rFonts w:ascii="標楷體" w:eastAsia="標楷體" w:hAnsi="標楷體" w:hint="eastAsia"/>
              </w:rPr>
              <w:t>暨</w:t>
            </w:r>
            <w:r w:rsidRPr="002167D1">
              <w:rPr>
                <w:rFonts w:ascii="標楷體" w:eastAsia="標楷體" w:hAnsi="標楷體" w:hint="eastAsia"/>
              </w:rPr>
              <w:t>期貨市場</w:t>
            </w:r>
            <w:r w:rsidR="00B74750" w:rsidRPr="002167D1">
              <w:rPr>
                <w:rFonts w:ascii="標楷體" w:eastAsia="標楷體" w:hAnsi="標楷體" w:hint="eastAsia"/>
              </w:rPr>
              <w:t>，所帶來</w:t>
            </w:r>
            <w:r w:rsidRPr="002167D1">
              <w:rPr>
                <w:rFonts w:ascii="標楷體" w:eastAsia="標楷體" w:hAnsi="標楷體" w:hint="eastAsia"/>
              </w:rPr>
              <w:t>之效益及可能</w:t>
            </w:r>
            <w:r w:rsidR="00B74750" w:rsidRPr="002167D1">
              <w:rPr>
                <w:rFonts w:ascii="標楷體" w:eastAsia="標楷體" w:hAnsi="標楷體" w:hint="eastAsia"/>
              </w:rPr>
              <w:t>潛在</w:t>
            </w:r>
            <w:r w:rsidRPr="002167D1">
              <w:rPr>
                <w:rFonts w:ascii="標楷體" w:eastAsia="標楷體" w:hAnsi="標楷體" w:hint="eastAsia"/>
              </w:rPr>
              <w:t>之風險</w:t>
            </w:r>
            <w:r w:rsidR="00B74750" w:rsidRPr="002167D1">
              <w:rPr>
                <w:rFonts w:ascii="標楷體" w:eastAsia="標楷體" w:hAnsi="標楷體" w:hint="eastAsia"/>
              </w:rPr>
              <w:t>歸納</w:t>
            </w:r>
            <w:r w:rsidRPr="002167D1">
              <w:rPr>
                <w:rFonts w:ascii="標楷體" w:eastAsia="標楷體" w:hAnsi="標楷體" w:hint="eastAsia"/>
              </w:rPr>
              <w:t>如下:</w:t>
            </w:r>
          </w:p>
          <w:p w:rsidR="003F77B0" w:rsidRPr="001E4DDF" w:rsidRDefault="00222A02" w:rsidP="008223F7">
            <w:pPr>
              <w:pStyle w:val="a9"/>
              <w:numPr>
                <w:ilvl w:val="0"/>
                <w:numId w:val="33"/>
              </w:numPr>
              <w:spacing w:line="480" w:lineRule="atLeast"/>
              <w:ind w:leftChars="0" w:rightChars="47" w:right="113"/>
              <w:jc w:val="both"/>
              <w:rPr>
                <w:rFonts w:ascii="標楷體" w:eastAsia="標楷體" w:hAnsi="標楷體"/>
                <w:b/>
              </w:rPr>
            </w:pPr>
            <w:r w:rsidRPr="002167D1">
              <w:rPr>
                <w:rFonts w:ascii="標楷體" w:eastAsia="標楷體" w:hAnsi="標楷體" w:hint="eastAsia"/>
                <w:b/>
              </w:rPr>
              <w:t>直接連線方式</w:t>
            </w:r>
            <w:r w:rsidR="00187570" w:rsidRPr="002167D1">
              <w:rPr>
                <w:rFonts w:ascii="標楷體" w:eastAsia="標楷體" w:hAnsi="標楷體" w:hint="eastAsia"/>
                <w:b/>
              </w:rPr>
              <w:t>對市</w:t>
            </w:r>
            <w:r w:rsidR="00187570" w:rsidRPr="001E4DDF">
              <w:rPr>
                <w:rFonts w:ascii="標楷體" w:eastAsia="標楷體" w:hAnsi="標楷體" w:hint="eastAsia"/>
                <w:b/>
              </w:rPr>
              <w:t>場之效益</w:t>
            </w:r>
          </w:p>
          <w:p w:rsidR="00187570" w:rsidRPr="001E4DDF" w:rsidRDefault="00187570" w:rsidP="0048130D">
            <w:pPr>
              <w:pStyle w:val="a9"/>
              <w:numPr>
                <w:ilvl w:val="0"/>
                <w:numId w:val="32"/>
              </w:numPr>
              <w:autoSpaceDE w:val="0"/>
              <w:autoSpaceDN w:val="0"/>
              <w:adjustRightInd w:val="0"/>
              <w:spacing w:line="480" w:lineRule="atLeast"/>
              <w:ind w:leftChars="0" w:left="993" w:rightChars="47" w:right="113"/>
              <w:rPr>
                <w:rFonts w:ascii="標楷體" w:eastAsia="標楷體" w:hAnsi="標楷體" w:cs="DFMing-Md-Identity-H"/>
                <w:kern w:val="0"/>
              </w:rPr>
            </w:pPr>
            <w:r w:rsidRPr="001E4DDF">
              <w:rPr>
                <w:rFonts w:ascii="標楷體" w:eastAsia="標楷體" w:hAnsi="標楷體" w:cs="DFMing-Md-Identity-H" w:hint="eastAsia"/>
                <w:kern w:val="0"/>
              </w:rPr>
              <w:t>世界各交易所陸續推出直接連線方式，</w:t>
            </w:r>
            <w:r w:rsidR="00222A02" w:rsidRPr="001E4DDF">
              <w:rPr>
                <w:rFonts w:ascii="標楷體" w:eastAsia="標楷體" w:hAnsi="標楷體" w:cs="DFMing-Md-Identity-H" w:hint="eastAsia"/>
                <w:kern w:val="0"/>
              </w:rPr>
              <w:t>以</w:t>
            </w:r>
            <w:r w:rsidRPr="001E4DDF">
              <w:rPr>
                <w:rFonts w:ascii="標楷體" w:eastAsia="標楷體" w:hAnsi="標楷體" w:cs="DFMing-Md-Identity-H" w:hint="eastAsia"/>
                <w:kern w:val="0"/>
              </w:rPr>
              <w:t>提升交易效率並促進市場參與者之便利性。</w:t>
            </w:r>
          </w:p>
          <w:p w:rsidR="00187570" w:rsidRPr="001E4DDF" w:rsidRDefault="00187570" w:rsidP="0048130D">
            <w:pPr>
              <w:pStyle w:val="a9"/>
              <w:numPr>
                <w:ilvl w:val="0"/>
                <w:numId w:val="32"/>
              </w:numPr>
              <w:autoSpaceDE w:val="0"/>
              <w:autoSpaceDN w:val="0"/>
              <w:adjustRightInd w:val="0"/>
              <w:spacing w:line="480" w:lineRule="atLeast"/>
              <w:ind w:leftChars="0" w:left="993" w:rightChars="47" w:right="113"/>
              <w:rPr>
                <w:rFonts w:ascii="標楷體" w:eastAsia="標楷體" w:hAnsi="標楷體" w:cs="DFMing-Md-Identity-H"/>
                <w:kern w:val="0"/>
              </w:rPr>
            </w:pPr>
            <w:r w:rsidRPr="001E4DDF">
              <w:rPr>
                <w:rFonts w:ascii="標楷體" w:eastAsia="標楷體" w:hAnsi="標楷體" w:cs="DFMing-Md-Identity-H" w:hint="eastAsia"/>
                <w:kern w:val="0"/>
              </w:rPr>
              <w:t>對經紀商之法人客戶而言，經由此交易連線方式上安排，除可降低交易遲延</w:t>
            </w:r>
            <w:r w:rsidRPr="001E4DDF">
              <w:rPr>
                <w:rFonts w:ascii="標楷體" w:eastAsia="標楷體" w:hAnsi="標楷體" w:cs="DFMing-Md-Identity-H" w:hint="eastAsia"/>
                <w:kern w:val="0"/>
              </w:rPr>
              <w:lastRenderedPageBreak/>
              <w:t>性，加快交易速度</w:t>
            </w:r>
            <w:r w:rsidR="00877B5D" w:rsidRPr="001E4DDF">
              <w:rPr>
                <w:rFonts w:ascii="標楷體" w:eastAsia="標楷體" w:hAnsi="標楷體" w:cs="DFMing-Md-Identity-H" w:hint="eastAsia"/>
                <w:kern w:val="0"/>
              </w:rPr>
              <w:t>外</w:t>
            </w:r>
            <w:r w:rsidR="00626880" w:rsidRPr="001E4DDF">
              <w:rPr>
                <w:rFonts w:ascii="標楷體" w:eastAsia="標楷體" w:hAnsi="標楷體" w:cs="DFMing-Md-Identity-H" w:hint="eastAsia"/>
                <w:kern w:val="0"/>
              </w:rPr>
              <w:t>，</w:t>
            </w:r>
            <w:r w:rsidRPr="001E4DDF">
              <w:rPr>
                <w:rFonts w:ascii="標楷體" w:eastAsia="標楷體" w:hAnsi="標楷體" w:cs="DFMing-Md-Identity-H" w:hint="eastAsia"/>
                <w:kern w:val="0"/>
              </w:rPr>
              <w:t>更有助於保護交易策略之機密性，並藉以降低高頻交易商須成為交易所之會員始得與交易所直接連線之作業成本。</w:t>
            </w:r>
          </w:p>
          <w:p w:rsidR="00CF1E59" w:rsidRPr="001E4DDF" w:rsidRDefault="00187570" w:rsidP="0048130D">
            <w:pPr>
              <w:pStyle w:val="a9"/>
              <w:numPr>
                <w:ilvl w:val="0"/>
                <w:numId w:val="32"/>
              </w:numPr>
              <w:autoSpaceDE w:val="0"/>
              <w:autoSpaceDN w:val="0"/>
              <w:adjustRightInd w:val="0"/>
              <w:spacing w:line="480" w:lineRule="atLeast"/>
              <w:ind w:leftChars="0" w:left="993" w:rightChars="47" w:right="113"/>
              <w:rPr>
                <w:rFonts w:ascii="標楷體" w:eastAsia="標楷體" w:hAnsi="標楷體" w:cs="DFMing-Md-Identity-H"/>
                <w:kern w:val="0"/>
              </w:rPr>
            </w:pPr>
            <w:r w:rsidRPr="001E4DDF">
              <w:rPr>
                <w:rFonts w:ascii="標楷體" w:eastAsia="標楷體" w:hAnsi="標楷體" w:cs="DFMing-Md-Identity-H" w:hint="eastAsia"/>
                <w:kern w:val="0"/>
              </w:rPr>
              <w:t>對交易所會員而言，以同一個市場參與者</w:t>
            </w:r>
            <w:r w:rsidR="00A57829">
              <w:rPr>
                <w:rFonts w:ascii="標楷體" w:eastAsia="標楷體" w:hAnsi="標楷體" w:cs="DFMing-Md-Identity-H" w:hint="eastAsia"/>
                <w:kern w:val="0"/>
              </w:rPr>
              <w:t>交易</w:t>
            </w:r>
            <w:r w:rsidRPr="001E4DDF">
              <w:rPr>
                <w:rFonts w:ascii="標楷體" w:eastAsia="標楷體" w:hAnsi="標楷體" w:cs="DFMing-Md-Identity-H" w:hint="eastAsia"/>
                <w:kern w:val="0"/>
              </w:rPr>
              <w:t>識別</w:t>
            </w:r>
            <w:r w:rsidR="00A57829">
              <w:rPr>
                <w:rFonts w:ascii="標楷體" w:eastAsia="標楷體" w:hAnsi="標楷體" w:cs="DFMing-Md-Identity-H" w:hint="eastAsia"/>
                <w:kern w:val="0"/>
              </w:rPr>
              <w:t>碼</w:t>
            </w:r>
            <w:r w:rsidRPr="001E4DDF">
              <w:rPr>
                <w:rFonts w:ascii="標楷體" w:eastAsia="標楷體" w:hAnsi="標楷體" w:cs="DFMing-Md-Identity-H" w:hint="eastAsia"/>
                <w:kern w:val="0"/>
              </w:rPr>
              <w:t>之連線方式安排，</w:t>
            </w:r>
            <w:r w:rsidR="00CF1E59" w:rsidRPr="001E4DDF">
              <w:rPr>
                <w:rFonts w:ascii="標楷體" w:eastAsia="標楷體" w:hAnsi="標楷體" w:cs="DFMing-Md-Identity-H" w:hint="eastAsia"/>
                <w:kern w:val="0"/>
              </w:rPr>
              <w:t>可吸引更多之交易商或法人客戶，</w:t>
            </w:r>
            <w:r w:rsidRPr="001E4DDF">
              <w:rPr>
                <w:rFonts w:ascii="標楷體" w:eastAsia="標楷體" w:hAnsi="標楷體" w:cs="DFMing-Md-Identity-H" w:hint="eastAsia"/>
                <w:kern w:val="0"/>
              </w:rPr>
              <w:t>集結來</w:t>
            </w:r>
            <w:r w:rsidR="002872A2" w:rsidRPr="001E4DDF">
              <w:rPr>
                <w:rFonts w:ascii="標楷體" w:eastAsia="標楷體" w:hAnsi="標楷體" w:cs="DFMing-Md-Identity-H" w:hint="eastAsia"/>
                <w:kern w:val="0"/>
              </w:rPr>
              <w:t>自</w:t>
            </w:r>
            <w:r w:rsidRPr="001E4DDF">
              <w:rPr>
                <w:rFonts w:ascii="標楷體" w:eastAsia="標楷體" w:hAnsi="標楷體" w:cs="DFMing-Md-Identity-H" w:hint="eastAsia"/>
                <w:kern w:val="0"/>
              </w:rPr>
              <w:t>其他市場參與者之委託單，</w:t>
            </w:r>
            <w:r w:rsidR="00CF1E59" w:rsidRPr="001E4DDF">
              <w:rPr>
                <w:rFonts w:ascii="標楷體" w:eastAsia="標楷體" w:hAnsi="標楷體" w:cs="DFMing-Md-Identity-H" w:hint="eastAsia"/>
                <w:kern w:val="0"/>
              </w:rPr>
              <w:t>獲得更高之交易量，俾符合部分交易所提供較優惠之手續費用規定，以折減交易所會員對交易所手續費用之支出。</w:t>
            </w:r>
          </w:p>
          <w:p w:rsidR="00187570" w:rsidRPr="001E4DDF" w:rsidRDefault="00187570" w:rsidP="0048130D">
            <w:pPr>
              <w:pStyle w:val="a9"/>
              <w:numPr>
                <w:ilvl w:val="0"/>
                <w:numId w:val="32"/>
              </w:numPr>
              <w:autoSpaceDE w:val="0"/>
              <w:autoSpaceDN w:val="0"/>
              <w:adjustRightInd w:val="0"/>
              <w:spacing w:line="480" w:lineRule="atLeast"/>
              <w:ind w:leftChars="0" w:left="993" w:rightChars="47" w:right="113"/>
              <w:rPr>
                <w:rFonts w:ascii="標楷體" w:eastAsia="標楷體" w:hAnsi="標楷體" w:cs="DFMing-Md-Identity-H"/>
                <w:kern w:val="0"/>
              </w:rPr>
            </w:pPr>
            <w:r w:rsidRPr="001E4DDF">
              <w:rPr>
                <w:rFonts w:ascii="標楷體" w:eastAsia="標楷體" w:hAnsi="標楷體" w:cs="DFMing-Md-Identity-H" w:hint="eastAsia"/>
                <w:kern w:val="0"/>
              </w:rPr>
              <w:t>所有之市場參與者，皆可藉由</w:t>
            </w:r>
            <w:r w:rsidR="00222A02" w:rsidRPr="002167D1">
              <w:rPr>
                <w:rFonts w:ascii="標楷體" w:eastAsia="標楷體" w:hAnsi="標楷體" w:cs="DFMing-Md-Identity-H" w:hint="eastAsia"/>
                <w:kern w:val="0"/>
              </w:rPr>
              <w:t>直接連線方式</w:t>
            </w:r>
            <w:r w:rsidRPr="001E4DDF">
              <w:rPr>
                <w:rFonts w:ascii="標楷體" w:eastAsia="標楷體" w:hAnsi="標楷體" w:cs="DFMing-Md-Identity-H" w:hint="eastAsia"/>
                <w:kern w:val="0"/>
              </w:rPr>
              <w:t>獲得較佳的網路連線品質，且更能控制其委託單之執行速度。</w:t>
            </w:r>
          </w:p>
          <w:p w:rsidR="00187570" w:rsidRPr="001E4DDF" w:rsidRDefault="00222A02" w:rsidP="002D6813">
            <w:pPr>
              <w:pStyle w:val="a9"/>
              <w:numPr>
                <w:ilvl w:val="0"/>
                <w:numId w:val="33"/>
              </w:numPr>
              <w:spacing w:line="480" w:lineRule="atLeast"/>
              <w:ind w:leftChars="0" w:rightChars="47" w:right="113"/>
              <w:jc w:val="both"/>
              <w:rPr>
                <w:rFonts w:ascii="標楷體" w:eastAsia="標楷體" w:hAnsi="標楷體"/>
                <w:b/>
              </w:rPr>
            </w:pPr>
            <w:r w:rsidRPr="002167D1">
              <w:rPr>
                <w:rFonts w:ascii="標楷體" w:eastAsia="標楷體" w:hAnsi="標楷體" w:hint="eastAsia"/>
                <w:b/>
              </w:rPr>
              <w:t>直接連線方式</w:t>
            </w:r>
            <w:r w:rsidR="00187570" w:rsidRPr="001E4DDF">
              <w:rPr>
                <w:rFonts w:ascii="標楷體" w:eastAsia="標楷體" w:hAnsi="標楷體" w:hint="eastAsia"/>
                <w:b/>
              </w:rPr>
              <w:t>對市場潛在之風險</w:t>
            </w:r>
          </w:p>
          <w:p w:rsidR="00A016F1" w:rsidRPr="00652BC7" w:rsidRDefault="00A016F1" w:rsidP="0048130D">
            <w:pPr>
              <w:pStyle w:val="Web"/>
              <w:numPr>
                <w:ilvl w:val="0"/>
                <w:numId w:val="26"/>
              </w:numPr>
              <w:spacing w:before="0" w:beforeAutospacing="0" w:after="0" w:afterAutospacing="0" w:line="480" w:lineRule="atLeast"/>
              <w:ind w:leftChars="295" w:left="992" w:rightChars="47" w:right="113" w:hanging="284"/>
              <w:rPr>
                <w:rFonts w:ascii="標楷體" w:eastAsia="標楷體" w:hAnsi="標楷體" w:cs="Times New Roman"/>
              </w:rPr>
            </w:pPr>
            <w:r w:rsidRPr="00652BC7">
              <w:rPr>
                <w:rFonts w:ascii="標楷體" w:eastAsia="標楷體" w:hAnsi="標楷體" w:cs="Times New Roman" w:hint="eastAsia"/>
              </w:rPr>
              <w:t>交易中斷之風險-在未執行適當之風險控管下，客戶(交易人)有意或無意之交易行為，可能會導致市場交易中斷之情形。</w:t>
            </w:r>
            <w:r w:rsidRPr="00652BC7">
              <w:rPr>
                <w:rFonts w:ascii="標楷體" w:eastAsia="標楷體" w:hAnsi="標楷體" w:cs="Times New Roman"/>
              </w:rPr>
              <w:t xml:space="preserve"> </w:t>
            </w:r>
          </w:p>
          <w:p w:rsidR="00A016F1" w:rsidRPr="00652BC7" w:rsidRDefault="00A016F1" w:rsidP="0048130D">
            <w:pPr>
              <w:pStyle w:val="Web"/>
              <w:numPr>
                <w:ilvl w:val="0"/>
                <w:numId w:val="26"/>
              </w:numPr>
              <w:spacing w:before="0" w:beforeAutospacing="0" w:after="0" w:afterAutospacing="0" w:line="480" w:lineRule="atLeast"/>
              <w:ind w:leftChars="295" w:left="992" w:rightChars="47" w:right="113" w:hanging="284"/>
              <w:rPr>
                <w:rFonts w:ascii="標楷體" w:eastAsia="標楷體" w:hAnsi="標楷體" w:cs="Times New Roman"/>
              </w:rPr>
            </w:pPr>
            <w:r w:rsidRPr="00652BC7">
              <w:rPr>
                <w:rFonts w:ascii="標楷體" w:eastAsia="標楷體" w:hAnsi="標楷體" w:cs="Times New Roman" w:hint="eastAsia"/>
              </w:rPr>
              <w:t>法規遵循之風險-直接連線之客戶(交易人)因不熟悉法規而發生</w:t>
            </w:r>
            <w:r w:rsidR="00753D9D" w:rsidRPr="00652BC7">
              <w:rPr>
                <w:rFonts w:ascii="標楷體" w:eastAsia="標楷體" w:hAnsi="標楷體" w:cs="Times New Roman" w:hint="eastAsia"/>
              </w:rPr>
              <w:t>交易行為</w:t>
            </w:r>
            <w:r w:rsidRPr="00652BC7">
              <w:rPr>
                <w:rFonts w:ascii="標楷體" w:eastAsia="標楷體" w:hAnsi="標楷體" w:cs="Times New Roman" w:hint="eastAsia"/>
              </w:rPr>
              <w:t>違反市場規則</w:t>
            </w:r>
            <w:r w:rsidR="00ED4E01" w:rsidRPr="00652BC7">
              <w:rPr>
                <w:rFonts w:ascii="標楷體" w:eastAsia="標楷體" w:hAnsi="標楷體" w:cs="Times New Roman" w:hint="eastAsia"/>
              </w:rPr>
              <w:t>（</w:t>
            </w:r>
            <w:r w:rsidR="00753D9D" w:rsidRPr="00652BC7">
              <w:rPr>
                <w:rFonts w:ascii="標楷體" w:eastAsia="標楷體" w:hAnsi="標楷體" w:cs="Times New Roman" w:hint="eastAsia"/>
              </w:rPr>
              <w:t>如:</w:t>
            </w:r>
            <w:r w:rsidR="00ED4E01" w:rsidRPr="00652BC7">
              <w:rPr>
                <w:rFonts w:ascii="標楷體" w:eastAsia="標楷體" w:hAnsi="標楷體" w:cs="Times New Roman" w:hint="eastAsia"/>
              </w:rPr>
              <w:t>市場操縱、</w:t>
            </w:r>
            <w:r w:rsidR="00753D9D" w:rsidRPr="00652BC7">
              <w:rPr>
                <w:rFonts w:ascii="標楷體" w:eastAsia="標楷體" w:hAnsi="標楷體" w:cs="Times New Roman" w:hint="eastAsia"/>
              </w:rPr>
              <w:t>沖洗交易、訊息限制</w:t>
            </w:r>
            <w:r w:rsidR="00ED4E01" w:rsidRPr="00652BC7">
              <w:rPr>
                <w:rFonts w:ascii="標楷體" w:eastAsia="標楷體" w:hAnsi="標楷體" w:cs="Times New Roman" w:hint="eastAsia"/>
              </w:rPr>
              <w:t>）</w:t>
            </w:r>
            <w:r w:rsidRPr="00652BC7">
              <w:rPr>
                <w:rFonts w:ascii="標楷體" w:eastAsia="標楷體" w:hAnsi="標楷體" w:cs="Times New Roman" w:hint="eastAsia"/>
              </w:rPr>
              <w:t>之情形，造成在法規遵循上之風險。對市場管理者而言，其對交易會員之</w:t>
            </w:r>
            <w:r w:rsidR="00222A02" w:rsidRPr="00652BC7">
              <w:rPr>
                <w:rFonts w:ascii="標楷體" w:eastAsia="標楷體" w:hAnsi="標楷體" w:cs="Times New Roman" w:hint="eastAsia"/>
              </w:rPr>
              <w:t>直接連線</w:t>
            </w:r>
            <w:r w:rsidRPr="00652BC7">
              <w:rPr>
                <w:rFonts w:ascii="標楷體" w:eastAsia="標楷體" w:hAnsi="標楷體" w:cs="Times New Roman" w:hint="eastAsia"/>
              </w:rPr>
              <w:t>客戶並無管轄權，故無法對</w:t>
            </w:r>
            <w:r w:rsidR="00A57829" w:rsidRPr="00652BC7">
              <w:rPr>
                <w:rFonts w:ascii="標楷體" w:eastAsia="標楷體" w:hAnsi="標楷體" w:cs="Times New Roman" w:hint="eastAsia"/>
              </w:rPr>
              <w:t>使用直接連線之</w:t>
            </w:r>
            <w:r w:rsidRPr="00652BC7">
              <w:rPr>
                <w:rFonts w:ascii="標楷體" w:eastAsia="標楷體" w:hAnsi="標楷體" w:cs="Times New Roman" w:hint="eastAsia"/>
              </w:rPr>
              <w:t>客戶</w:t>
            </w:r>
            <w:r w:rsidR="00A57829" w:rsidRPr="00652BC7">
              <w:rPr>
                <w:rFonts w:ascii="標楷體" w:eastAsia="標楷體" w:hAnsi="標楷體" w:cs="Times New Roman" w:hint="eastAsia"/>
              </w:rPr>
              <w:t>(交易人)</w:t>
            </w:r>
            <w:r w:rsidRPr="00652BC7">
              <w:rPr>
                <w:rFonts w:ascii="標楷體" w:eastAsia="標楷體" w:hAnsi="標楷體" w:cs="Times New Roman" w:hint="eastAsia"/>
              </w:rPr>
              <w:t>採取相關處置措施</w:t>
            </w:r>
            <w:r w:rsidR="00F17B33" w:rsidRPr="00652BC7">
              <w:rPr>
                <w:rFonts w:ascii="標楷體" w:eastAsia="標楷體" w:hAnsi="標楷體" w:cs="Times New Roman" w:hint="eastAsia"/>
              </w:rPr>
              <w:t>，故控訴交易會員之</w:t>
            </w:r>
            <w:r w:rsidR="00222A02" w:rsidRPr="00652BC7">
              <w:rPr>
                <w:rFonts w:ascii="標楷體" w:eastAsia="標楷體" w:hAnsi="標楷體" w:cs="Times New Roman" w:hint="eastAsia"/>
              </w:rPr>
              <w:t>直接連線</w:t>
            </w:r>
            <w:r w:rsidR="00F17B33" w:rsidRPr="00652BC7">
              <w:rPr>
                <w:rFonts w:ascii="標楷體" w:eastAsia="標楷體" w:hAnsi="標楷體" w:cs="Times New Roman" w:hint="eastAsia"/>
              </w:rPr>
              <w:t>客戶交易行為涉及違法時，</w:t>
            </w:r>
            <w:r w:rsidR="00A57829" w:rsidRPr="00652BC7">
              <w:rPr>
                <w:rFonts w:ascii="標楷體" w:eastAsia="標楷體" w:hAnsi="標楷體" w:cs="Times New Roman" w:hint="eastAsia"/>
              </w:rPr>
              <w:t>恐</w:t>
            </w:r>
            <w:r w:rsidR="00F17B33" w:rsidRPr="00652BC7">
              <w:rPr>
                <w:rFonts w:ascii="標楷體" w:eastAsia="標楷體" w:hAnsi="標楷體" w:cs="Times New Roman" w:hint="eastAsia"/>
              </w:rPr>
              <w:t>有執行上之困難。</w:t>
            </w:r>
          </w:p>
          <w:p w:rsidR="00A016F1" w:rsidRPr="00652BC7" w:rsidRDefault="00A016F1" w:rsidP="0048130D">
            <w:pPr>
              <w:pStyle w:val="Web"/>
              <w:numPr>
                <w:ilvl w:val="0"/>
                <w:numId w:val="26"/>
              </w:numPr>
              <w:spacing w:before="0" w:beforeAutospacing="0" w:after="0" w:afterAutospacing="0" w:line="480" w:lineRule="atLeast"/>
              <w:ind w:leftChars="295" w:left="992" w:rightChars="47" w:right="113" w:hanging="284"/>
              <w:rPr>
                <w:rFonts w:ascii="標楷體" w:eastAsia="標楷體" w:hAnsi="標楷體" w:cs="Times New Roman"/>
              </w:rPr>
            </w:pPr>
            <w:r w:rsidRPr="00652BC7">
              <w:rPr>
                <w:rFonts w:ascii="標楷體" w:eastAsia="標楷體" w:hAnsi="標楷體" w:cs="Times New Roman" w:hint="eastAsia"/>
              </w:rPr>
              <w:t>信用及財務上之風險-如未執行交易前檢核制，超過市場仲介者（經紀商）可能得到財務上之資金來源，則將發生信用及財務上之風險。</w:t>
            </w:r>
          </w:p>
          <w:p w:rsidR="00A016F1" w:rsidRPr="001E4DDF" w:rsidRDefault="00A016F1" w:rsidP="0048130D">
            <w:pPr>
              <w:pStyle w:val="Web"/>
              <w:numPr>
                <w:ilvl w:val="0"/>
                <w:numId w:val="26"/>
              </w:numPr>
              <w:spacing w:before="0" w:beforeAutospacing="0" w:after="0" w:afterAutospacing="0" w:line="480" w:lineRule="atLeast"/>
              <w:ind w:leftChars="295" w:left="992" w:rightChars="47" w:right="113" w:hanging="284"/>
              <w:rPr>
                <w:rFonts w:ascii="標楷體" w:eastAsia="標楷體" w:hAnsi="標楷體" w:cs="Times New Roman"/>
              </w:rPr>
            </w:pPr>
            <w:r w:rsidRPr="00652BC7">
              <w:rPr>
                <w:rFonts w:ascii="標楷體" w:eastAsia="標楷體" w:hAnsi="標楷體" w:cs="Times New Roman" w:hint="eastAsia"/>
              </w:rPr>
              <w:t>未能即時取得客戶交易資訊之風險-由於使用贊</w:t>
            </w:r>
            <w:r w:rsidRPr="001E4DDF">
              <w:rPr>
                <w:rFonts w:ascii="標楷體" w:eastAsia="標楷體" w:hAnsi="標楷體" w:cs="Times New Roman" w:hint="eastAsia"/>
              </w:rPr>
              <w:t>助管道連線方式之客戶(交易人)在執行交易前，並未經由提供連線服務者(通常指經紀商)之電腦系統終端機設備，故仲介者(經紀商)無法看到其客戶(交易人)之委託單。當仲介者(經紀商)收到即時交易資訊之同時，實已無法停止該筆交易委託。</w:t>
            </w:r>
          </w:p>
          <w:p w:rsidR="00900C67" w:rsidRPr="001E4DDF" w:rsidRDefault="00900C67" w:rsidP="00E20F56">
            <w:pPr>
              <w:numPr>
                <w:ilvl w:val="0"/>
                <w:numId w:val="7"/>
              </w:numPr>
              <w:spacing w:line="480" w:lineRule="exact"/>
              <w:ind w:left="709" w:rightChars="47" w:right="113" w:hanging="567"/>
              <w:jc w:val="both"/>
              <w:rPr>
                <w:rFonts w:ascii="標楷體" w:eastAsia="標楷體" w:hAnsi="標楷體"/>
                <w:b/>
              </w:rPr>
            </w:pPr>
            <w:r w:rsidRPr="001E4DDF">
              <w:rPr>
                <w:rFonts w:ascii="標楷體" w:eastAsia="標楷體" w:hAnsi="標楷體" w:hint="eastAsia"/>
                <w:b/>
              </w:rPr>
              <w:t>開放</w:t>
            </w:r>
            <w:r w:rsidR="0048130D">
              <w:rPr>
                <w:rFonts w:ascii="標楷體" w:eastAsia="標楷體" w:hAnsi="標楷體" w:hint="eastAsia"/>
                <w:b/>
              </w:rPr>
              <w:t>交易人</w:t>
            </w:r>
            <w:r w:rsidR="00222A02" w:rsidRPr="002167D1">
              <w:rPr>
                <w:rFonts w:ascii="標楷體" w:eastAsia="標楷體" w:hAnsi="標楷體" w:hint="eastAsia"/>
                <w:b/>
              </w:rPr>
              <w:t>直接連線方式</w:t>
            </w:r>
            <w:r w:rsidR="00F06D6E" w:rsidRPr="001E4DDF">
              <w:rPr>
                <w:rFonts w:ascii="標楷體" w:eastAsia="標楷體" w:hAnsi="標楷體" w:hint="eastAsia"/>
                <w:b/>
              </w:rPr>
              <w:t>對我國期貨市場</w:t>
            </w:r>
            <w:r w:rsidRPr="001E4DDF">
              <w:rPr>
                <w:rFonts w:ascii="標楷體" w:eastAsia="標楷體" w:hAnsi="標楷體" w:hint="eastAsia"/>
                <w:b/>
              </w:rPr>
              <w:t>之</w:t>
            </w:r>
            <w:r w:rsidR="006566DF" w:rsidRPr="001E4DDF">
              <w:rPr>
                <w:rFonts w:ascii="標楷體" w:eastAsia="標楷體" w:hAnsi="標楷體" w:hint="eastAsia"/>
                <w:b/>
              </w:rPr>
              <w:t>影響</w:t>
            </w:r>
          </w:p>
          <w:p w:rsidR="001833FC" w:rsidRPr="002167D1" w:rsidRDefault="001833FC" w:rsidP="0048130D">
            <w:pPr>
              <w:pStyle w:val="a9"/>
              <w:spacing w:line="480" w:lineRule="atLeast"/>
              <w:ind w:leftChars="0" w:left="709" w:rightChars="47" w:right="113"/>
              <w:rPr>
                <w:rFonts w:ascii="標楷體" w:eastAsia="標楷體" w:hAnsi="標楷體"/>
              </w:rPr>
            </w:pPr>
            <w:r w:rsidRPr="002167D1">
              <w:rPr>
                <w:rFonts w:ascii="標楷體" w:eastAsia="標楷體" w:hAnsi="標楷體" w:hint="eastAsia"/>
              </w:rPr>
              <w:t>開放</w:t>
            </w:r>
            <w:r w:rsidR="0048130D">
              <w:rPr>
                <w:rFonts w:ascii="標楷體" w:eastAsia="標楷體" w:hAnsi="標楷體" w:hint="eastAsia"/>
              </w:rPr>
              <w:t>交易人</w:t>
            </w:r>
            <w:r w:rsidR="00222A02" w:rsidRPr="002167D1">
              <w:rPr>
                <w:rFonts w:ascii="標楷體" w:eastAsia="標楷體" w:hAnsi="標楷體" w:hint="eastAsia"/>
              </w:rPr>
              <w:t>直接連線方式</w:t>
            </w:r>
            <w:r w:rsidRPr="002167D1">
              <w:rPr>
                <w:rFonts w:ascii="標楷體" w:eastAsia="標楷體" w:hAnsi="標楷體" w:hint="eastAsia"/>
              </w:rPr>
              <w:t>對我國期貨市場之影響包括可能帶來之優點、可能帶來之缺點以及對我國期貨業</w:t>
            </w:r>
            <w:r w:rsidR="0048130D">
              <w:rPr>
                <w:rFonts w:ascii="標楷體" w:eastAsia="標楷體" w:hAnsi="標楷體" w:hint="eastAsia"/>
              </w:rPr>
              <w:t>產業</w:t>
            </w:r>
            <w:r w:rsidRPr="002167D1">
              <w:rPr>
                <w:rFonts w:ascii="標楷體" w:eastAsia="標楷體" w:hAnsi="標楷體" w:hint="eastAsia"/>
              </w:rPr>
              <w:t>生態</w:t>
            </w:r>
            <w:r w:rsidR="00295D0F" w:rsidRPr="002167D1">
              <w:rPr>
                <w:rFonts w:ascii="標楷體" w:eastAsia="標楷體" w:hAnsi="標楷體" w:hint="eastAsia"/>
              </w:rPr>
              <w:t>可能</w:t>
            </w:r>
            <w:r w:rsidRPr="002167D1">
              <w:rPr>
                <w:rFonts w:ascii="標楷體" w:eastAsia="標楷體" w:hAnsi="標楷體" w:hint="eastAsia"/>
              </w:rPr>
              <w:t>之影響，分析如下:</w:t>
            </w:r>
          </w:p>
          <w:p w:rsidR="00166455" w:rsidRPr="001E4DDF" w:rsidRDefault="00823B8A" w:rsidP="007B0178">
            <w:pPr>
              <w:pStyle w:val="a9"/>
              <w:numPr>
                <w:ilvl w:val="0"/>
                <w:numId w:val="39"/>
              </w:numPr>
              <w:spacing w:line="480" w:lineRule="atLeast"/>
              <w:ind w:leftChars="0" w:rightChars="47" w:right="113"/>
              <w:jc w:val="both"/>
              <w:rPr>
                <w:rFonts w:ascii="標楷體" w:eastAsia="標楷體" w:hAnsi="標楷體"/>
                <w:b/>
              </w:rPr>
            </w:pPr>
            <w:r w:rsidRPr="001E4DDF">
              <w:rPr>
                <w:rFonts w:ascii="標楷體" w:eastAsia="標楷體" w:hAnsi="標楷體" w:hint="eastAsia"/>
                <w:b/>
              </w:rPr>
              <w:t>可能帶來之</w:t>
            </w:r>
            <w:r w:rsidR="0029259C" w:rsidRPr="001E4DDF">
              <w:rPr>
                <w:rFonts w:ascii="標楷體" w:eastAsia="標楷體" w:hAnsi="標楷體" w:hint="eastAsia"/>
                <w:b/>
              </w:rPr>
              <w:t>優點</w:t>
            </w:r>
          </w:p>
          <w:p w:rsidR="00900C67" w:rsidRPr="001E4DDF" w:rsidRDefault="00900C67" w:rsidP="002E1956">
            <w:pPr>
              <w:pStyle w:val="a9"/>
              <w:spacing w:line="480" w:lineRule="exact"/>
              <w:ind w:leftChars="0" w:left="993" w:rightChars="47" w:right="113"/>
              <w:jc w:val="both"/>
              <w:rPr>
                <w:rFonts w:ascii="標楷體" w:eastAsia="標楷體" w:hAnsi="標楷體"/>
              </w:rPr>
            </w:pPr>
            <w:r w:rsidRPr="001E4DDF">
              <w:rPr>
                <w:rFonts w:ascii="標楷體" w:eastAsia="標楷體" w:hAnsi="標楷體" w:hint="eastAsia"/>
              </w:rPr>
              <w:t>未經由期貨商之交易系統下單至交易所，實加速了委託單之執行速度，降低了傳統經紀商執行交易之無效率性，提供高頻交易商</w:t>
            </w:r>
            <w:r w:rsidR="00823B8A" w:rsidRPr="001E4DDF">
              <w:rPr>
                <w:rFonts w:ascii="標楷體" w:eastAsia="標楷體" w:hAnsi="標楷體" w:hint="eastAsia"/>
              </w:rPr>
              <w:t>更便捷進入交易市場之管道，或</w:t>
            </w:r>
            <w:r w:rsidRPr="001E4DDF">
              <w:rPr>
                <w:rFonts w:ascii="標楷體" w:eastAsia="標楷體" w:hAnsi="標楷體" w:hint="eastAsia"/>
              </w:rPr>
              <w:t>可提升本公司交易量。</w:t>
            </w:r>
            <w:r w:rsidR="0048130D">
              <w:rPr>
                <w:rFonts w:ascii="標楷體" w:eastAsia="標楷體" w:hAnsi="標楷體" w:hint="eastAsia"/>
              </w:rPr>
              <w:t>並</w:t>
            </w:r>
            <w:r w:rsidR="007A4A31" w:rsidRPr="001E4DDF">
              <w:rPr>
                <w:rFonts w:ascii="標楷體" w:eastAsia="標楷體" w:hAnsi="標楷體" w:hint="eastAsia"/>
              </w:rPr>
              <w:t>可提升我國期貨市場便利性、流動性及交易效</w:t>
            </w:r>
            <w:r w:rsidR="007A4A31" w:rsidRPr="001E4DDF">
              <w:rPr>
                <w:rFonts w:ascii="標楷體" w:eastAsia="標楷體" w:hAnsi="標楷體" w:hint="eastAsia"/>
              </w:rPr>
              <w:lastRenderedPageBreak/>
              <w:t>率，使我國期貨市場符合成長的要求及國際交易慣例。</w:t>
            </w:r>
          </w:p>
          <w:p w:rsidR="00166455" w:rsidRPr="001E4DDF" w:rsidRDefault="00823B8A" w:rsidP="007B0178">
            <w:pPr>
              <w:pStyle w:val="a9"/>
              <w:numPr>
                <w:ilvl w:val="0"/>
                <w:numId w:val="39"/>
              </w:numPr>
              <w:spacing w:line="480" w:lineRule="atLeast"/>
              <w:ind w:leftChars="0" w:rightChars="47" w:right="113"/>
              <w:jc w:val="both"/>
              <w:rPr>
                <w:rFonts w:ascii="標楷體" w:eastAsia="標楷體" w:hAnsi="標楷體"/>
                <w:b/>
              </w:rPr>
            </w:pPr>
            <w:r w:rsidRPr="001E4DDF">
              <w:rPr>
                <w:rFonts w:ascii="標楷體" w:eastAsia="標楷體" w:hAnsi="標楷體" w:hint="eastAsia"/>
                <w:b/>
              </w:rPr>
              <w:t>可能帶來之</w:t>
            </w:r>
            <w:r w:rsidR="0029259C" w:rsidRPr="001E4DDF">
              <w:rPr>
                <w:rFonts w:ascii="標楷體" w:eastAsia="標楷體" w:hAnsi="標楷體" w:hint="eastAsia"/>
                <w:b/>
              </w:rPr>
              <w:t>缺點</w:t>
            </w:r>
          </w:p>
          <w:p w:rsidR="00A966C3" w:rsidRPr="00652BC7" w:rsidRDefault="00A23AB9" w:rsidP="002E1956">
            <w:pPr>
              <w:pStyle w:val="a9"/>
              <w:numPr>
                <w:ilvl w:val="0"/>
                <w:numId w:val="36"/>
              </w:numPr>
              <w:spacing w:line="480" w:lineRule="exact"/>
              <w:ind w:leftChars="0" w:left="993" w:rightChars="47" w:right="113"/>
              <w:jc w:val="both"/>
              <w:rPr>
                <w:rFonts w:ascii="標楷體" w:eastAsia="標楷體" w:hAnsi="標楷體"/>
              </w:rPr>
            </w:pPr>
            <w:r w:rsidRPr="00652BC7">
              <w:rPr>
                <w:rFonts w:ascii="標楷體" w:eastAsia="標楷體" w:hAnsi="標楷體" w:hint="eastAsia"/>
              </w:rPr>
              <w:t>就</w:t>
            </w:r>
            <w:r w:rsidR="00C72EF4" w:rsidRPr="00652BC7">
              <w:rPr>
                <w:rFonts w:ascii="標楷體" w:eastAsia="標楷體" w:hAnsi="標楷體" w:hint="eastAsia"/>
              </w:rPr>
              <w:t>交易之</w:t>
            </w:r>
            <w:r w:rsidRPr="00652BC7">
              <w:rPr>
                <w:rFonts w:ascii="標楷體" w:eastAsia="標楷體" w:hAnsi="標楷體" w:hint="eastAsia"/>
              </w:rPr>
              <w:t>公平性而言</w:t>
            </w:r>
          </w:p>
          <w:p w:rsidR="00216A94" w:rsidRPr="00652BC7" w:rsidRDefault="00997944" w:rsidP="002E1956">
            <w:pPr>
              <w:pStyle w:val="a9"/>
              <w:spacing w:line="480" w:lineRule="exact"/>
              <w:ind w:leftChars="0" w:left="993" w:rightChars="47" w:right="113"/>
              <w:jc w:val="both"/>
              <w:rPr>
                <w:rFonts w:ascii="標楷體" w:eastAsia="標楷體" w:hAnsi="標楷體"/>
              </w:rPr>
            </w:pPr>
            <w:r w:rsidRPr="00652BC7">
              <w:rPr>
                <w:rFonts w:ascii="標楷體" w:eastAsia="標楷體" w:hAnsi="標楷體" w:hint="eastAsia"/>
              </w:rPr>
              <w:t>由於</w:t>
            </w:r>
            <w:r w:rsidR="00A23AB9" w:rsidRPr="00652BC7">
              <w:rPr>
                <w:rFonts w:ascii="標楷體" w:eastAsia="標楷體" w:hAnsi="標楷體" w:hint="eastAsia"/>
              </w:rPr>
              <w:t>一般自然人市場連線之設備</w:t>
            </w:r>
            <w:r w:rsidR="00066B3B" w:rsidRPr="00652BC7">
              <w:rPr>
                <w:rFonts w:ascii="標楷體" w:eastAsia="標楷體" w:hAnsi="標楷體" w:hint="eastAsia"/>
              </w:rPr>
              <w:t>，</w:t>
            </w:r>
            <w:r w:rsidRPr="00652BC7">
              <w:rPr>
                <w:rFonts w:ascii="標楷體" w:eastAsia="標楷體" w:hAnsi="標楷體" w:hint="eastAsia"/>
              </w:rPr>
              <w:t>較</w:t>
            </w:r>
            <w:r w:rsidR="00A23AB9" w:rsidRPr="00652BC7">
              <w:rPr>
                <w:rFonts w:ascii="標楷體" w:eastAsia="標楷體" w:hAnsi="標楷體" w:hint="eastAsia"/>
              </w:rPr>
              <w:t>不如一般專業法人</w:t>
            </w:r>
            <w:r w:rsidRPr="00652BC7">
              <w:rPr>
                <w:rFonts w:ascii="標楷體" w:eastAsia="標楷體" w:hAnsi="標楷體" w:hint="eastAsia"/>
              </w:rPr>
              <w:t>之連線設備</w:t>
            </w:r>
            <w:r w:rsidR="00066B3B" w:rsidRPr="00652BC7">
              <w:rPr>
                <w:rFonts w:ascii="標楷體" w:eastAsia="標楷體" w:hAnsi="標楷體" w:hint="eastAsia"/>
              </w:rPr>
              <w:t>，且因</w:t>
            </w:r>
            <w:r w:rsidR="00E05A8C" w:rsidRPr="00652BC7">
              <w:rPr>
                <w:rFonts w:ascii="標楷體" w:eastAsia="標楷體" w:hAnsi="標楷體" w:hint="eastAsia"/>
              </w:rPr>
              <w:t>我國期貨市場自然人與法人比重各約占50%，如開放交易人直接連線方式，可能使法人相較於自然人擁有更明顯的優勢，恐</w:t>
            </w:r>
            <w:r w:rsidR="00E2795B" w:rsidRPr="00652BC7">
              <w:rPr>
                <w:rFonts w:ascii="標楷體" w:eastAsia="標楷體" w:hAnsi="標楷體" w:hint="eastAsia"/>
              </w:rPr>
              <w:t>會發生</w:t>
            </w:r>
            <w:r w:rsidR="00E05A8C" w:rsidRPr="00652BC7">
              <w:rPr>
                <w:rFonts w:ascii="標楷體" w:eastAsia="標楷體" w:hAnsi="標楷體" w:hint="eastAsia"/>
              </w:rPr>
              <w:t>一般散戶</w:t>
            </w:r>
            <w:r w:rsidR="00E2795B" w:rsidRPr="00652BC7">
              <w:rPr>
                <w:rFonts w:ascii="標楷體" w:eastAsia="標楷體" w:hAnsi="標楷體" w:hint="eastAsia"/>
              </w:rPr>
              <w:t>之</w:t>
            </w:r>
            <w:r w:rsidR="00E05A8C" w:rsidRPr="00652BC7">
              <w:rPr>
                <w:rFonts w:ascii="標楷體" w:eastAsia="標楷體" w:hAnsi="標楷體" w:hint="eastAsia"/>
              </w:rPr>
              <w:t>下單交易速度</w:t>
            </w:r>
            <w:r w:rsidR="00066B3B" w:rsidRPr="00652BC7">
              <w:rPr>
                <w:rFonts w:ascii="標楷體" w:eastAsia="標楷體" w:hAnsi="標楷體" w:hint="eastAsia"/>
              </w:rPr>
              <w:t>，</w:t>
            </w:r>
            <w:r w:rsidR="00E05A8C" w:rsidRPr="00652BC7">
              <w:rPr>
                <w:rFonts w:ascii="標楷體" w:eastAsia="標楷體" w:hAnsi="標楷體" w:hint="eastAsia"/>
              </w:rPr>
              <w:t>較落後於使用</w:t>
            </w:r>
            <w:r w:rsidR="00BA1A62" w:rsidRPr="00652BC7">
              <w:rPr>
                <w:rFonts w:ascii="標楷體" w:eastAsia="標楷體" w:hAnsi="標楷體" w:hint="eastAsia"/>
              </w:rPr>
              <w:t>直接連線</w:t>
            </w:r>
            <w:r w:rsidR="00E05A8C" w:rsidRPr="00652BC7">
              <w:rPr>
                <w:rFonts w:ascii="標楷體" w:eastAsia="標楷體" w:hAnsi="標楷體" w:hint="eastAsia"/>
              </w:rPr>
              <w:t>之法人客戶之情形，而造成不公平之現象。</w:t>
            </w:r>
          </w:p>
          <w:p w:rsidR="00A966C3" w:rsidRPr="00652BC7" w:rsidRDefault="00A966C3" w:rsidP="002E1956">
            <w:pPr>
              <w:pStyle w:val="a9"/>
              <w:numPr>
                <w:ilvl w:val="0"/>
                <w:numId w:val="36"/>
              </w:numPr>
              <w:spacing w:line="480" w:lineRule="exact"/>
              <w:ind w:leftChars="0" w:left="993" w:rightChars="47" w:right="113"/>
              <w:jc w:val="both"/>
              <w:rPr>
                <w:rFonts w:ascii="標楷體" w:eastAsia="標楷體" w:hAnsi="標楷體"/>
              </w:rPr>
            </w:pPr>
            <w:r w:rsidRPr="00652BC7">
              <w:rPr>
                <w:rFonts w:ascii="標楷體" w:eastAsia="標楷體" w:hAnsi="標楷體" w:hint="eastAsia"/>
              </w:rPr>
              <w:t>就</w:t>
            </w:r>
            <w:r w:rsidR="00A23AB9" w:rsidRPr="00652BC7">
              <w:rPr>
                <w:rFonts w:ascii="標楷體" w:eastAsia="標楷體" w:hAnsi="標楷體" w:hint="eastAsia"/>
              </w:rPr>
              <w:t>預收保證金制度</w:t>
            </w:r>
            <w:r w:rsidRPr="00652BC7">
              <w:rPr>
                <w:rFonts w:ascii="標楷體" w:eastAsia="標楷體" w:hAnsi="標楷體" w:hint="eastAsia"/>
              </w:rPr>
              <w:t>而言</w:t>
            </w:r>
          </w:p>
          <w:p w:rsidR="000F0F92" w:rsidRPr="001E4DDF" w:rsidRDefault="00A966C3" w:rsidP="002E1956">
            <w:pPr>
              <w:pStyle w:val="a9"/>
              <w:spacing w:line="480" w:lineRule="exact"/>
              <w:ind w:leftChars="0" w:left="993" w:rightChars="47" w:right="113"/>
              <w:jc w:val="both"/>
              <w:rPr>
                <w:rFonts w:ascii="標楷體" w:eastAsia="標楷體" w:hAnsi="標楷體"/>
              </w:rPr>
            </w:pPr>
            <w:r w:rsidRPr="00652BC7">
              <w:rPr>
                <w:rFonts w:ascii="標楷體" w:eastAsia="標楷體" w:hAnsi="標楷體" w:hint="eastAsia"/>
              </w:rPr>
              <w:t>因我國期貨市場為預收保證金制度，</w:t>
            </w:r>
            <w:r w:rsidR="00823B8A" w:rsidRPr="00652BC7">
              <w:rPr>
                <w:rFonts w:ascii="標楷體" w:eastAsia="標楷體" w:hAnsi="標楷體" w:hint="eastAsia"/>
              </w:rPr>
              <w:t>如</w:t>
            </w:r>
            <w:r w:rsidR="00823B8A" w:rsidRPr="001E4DDF">
              <w:rPr>
                <w:rFonts w:ascii="標楷體" w:eastAsia="標楷體" w:hAnsi="標楷體" w:hint="eastAsia"/>
              </w:rPr>
              <w:t>開放</w:t>
            </w:r>
            <w:r w:rsidR="00BE5676" w:rsidRPr="001E4DDF">
              <w:rPr>
                <w:rFonts w:ascii="標楷體" w:eastAsia="標楷體" w:hAnsi="標楷體" w:hint="eastAsia"/>
              </w:rPr>
              <w:t>交易人</w:t>
            </w:r>
            <w:r w:rsidR="00A23AB9" w:rsidRPr="001E4DDF">
              <w:rPr>
                <w:rFonts w:ascii="標楷體" w:eastAsia="標楷體" w:hAnsi="標楷體" w:hint="eastAsia"/>
              </w:rPr>
              <w:t>直接連線方式，各期貨商、結算會員及交易所端是否可</w:t>
            </w:r>
            <w:r w:rsidR="00823B8A" w:rsidRPr="001E4DDF">
              <w:rPr>
                <w:rFonts w:ascii="標楷體" w:eastAsia="標楷體" w:hAnsi="標楷體" w:hint="eastAsia"/>
              </w:rPr>
              <w:t>確實做</w:t>
            </w:r>
            <w:r w:rsidR="00A23AB9" w:rsidRPr="001E4DDF">
              <w:rPr>
                <w:rFonts w:ascii="標楷體" w:eastAsia="標楷體" w:hAnsi="標楷體" w:hint="eastAsia"/>
              </w:rPr>
              <w:t>到執行交易前之檢核機制，</w:t>
            </w:r>
            <w:r w:rsidR="00B1463F" w:rsidRPr="001E4DDF">
              <w:rPr>
                <w:rFonts w:ascii="標楷體" w:eastAsia="標楷體" w:hAnsi="標楷體" w:hint="eastAsia"/>
              </w:rPr>
              <w:t>包括預收保證金之檢核，</w:t>
            </w:r>
            <w:r w:rsidR="0048130D">
              <w:rPr>
                <w:rFonts w:ascii="標楷體" w:eastAsia="標楷體" w:hAnsi="標楷體" w:hint="eastAsia"/>
              </w:rPr>
              <w:t>期貨商端</w:t>
            </w:r>
            <w:r w:rsidR="00B1463F" w:rsidRPr="001E4DDF">
              <w:rPr>
                <w:rFonts w:ascii="標楷體" w:eastAsia="標楷體" w:hAnsi="標楷體" w:hint="eastAsia"/>
              </w:rPr>
              <w:t>是否可</w:t>
            </w:r>
            <w:r w:rsidR="0048130D">
              <w:rPr>
                <w:rFonts w:ascii="標楷體" w:eastAsia="標楷體" w:hAnsi="標楷體" w:hint="eastAsia"/>
              </w:rPr>
              <w:t>確實做到</w:t>
            </w:r>
            <w:r w:rsidR="00B1463F" w:rsidRPr="001E4DDF">
              <w:rPr>
                <w:rFonts w:ascii="標楷體" w:eastAsia="標楷體" w:hAnsi="標楷體" w:hint="eastAsia"/>
              </w:rPr>
              <w:t>下單前</w:t>
            </w:r>
            <w:r w:rsidR="0048130D">
              <w:rPr>
                <w:rFonts w:ascii="標楷體" w:eastAsia="標楷體" w:hAnsi="標楷體" w:hint="eastAsia"/>
              </w:rPr>
              <w:t>之</w:t>
            </w:r>
            <w:r w:rsidR="00B1463F" w:rsidRPr="001E4DDF">
              <w:rPr>
                <w:rFonts w:ascii="標楷體" w:eastAsia="標楷體" w:hAnsi="標楷體" w:hint="eastAsia"/>
              </w:rPr>
              <w:t>檢核程序，</w:t>
            </w:r>
            <w:r w:rsidR="00A23AB9" w:rsidRPr="001E4DDF">
              <w:rPr>
                <w:rFonts w:ascii="標楷體" w:eastAsia="標楷體" w:hAnsi="標楷體" w:hint="eastAsia"/>
              </w:rPr>
              <w:t>仍</w:t>
            </w:r>
            <w:r w:rsidR="00B12B7E" w:rsidRPr="001E4DDF">
              <w:rPr>
                <w:rFonts w:ascii="標楷體" w:eastAsia="標楷體" w:hAnsi="標楷體" w:hint="eastAsia"/>
              </w:rPr>
              <w:t>尚</w:t>
            </w:r>
            <w:r w:rsidR="00B1463F" w:rsidRPr="001E4DDF">
              <w:rPr>
                <w:rFonts w:ascii="標楷體" w:eastAsia="標楷體" w:hAnsi="標楷體" w:hint="eastAsia"/>
              </w:rPr>
              <w:t>待驗證</w:t>
            </w:r>
            <w:r w:rsidR="00A23AB9" w:rsidRPr="001E4DDF">
              <w:rPr>
                <w:rFonts w:ascii="標楷體" w:eastAsia="標楷體" w:hAnsi="標楷體" w:hint="eastAsia"/>
              </w:rPr>
              <w:t>。</w:t>
            </w:r>
          </w:p>
          <w:p w:rsidR="0056069D" w:rsidRPr="001E4DDF" w:rsidRDefault="0056069D" w:rsidP="007B0178">
            <w:pPr>
              <w:pStyle w:val="a9"/>
              <w:numPr>
                <w:ilvl w:val="0"/>
                <w:numId w:val="39"/>
              </w:numPr>
              <w:spacing w:line="480" w:lineRule="atLeast"/>
              <w:ind w:leftChars="0" w:rightChars="47" w:right="113"/>
              <w:jc w:val="both"/>
              <w:rPr>
                <w:rFonts w:ascii="標楷體" w:eastAsia="標楷體" w:hAnsi="標楷體"/>
                <w:b/>
              </w:rPr>
            </w:pPr>
            <w:r w:rsidRPr="001E4DDF">
              <w:rPr>
                <w:rFonts w:ascii="標楷體" w:eastAsia="標楷體" w:hAnsi="標楷體" w:hint="eastAsia"/>
                <w:b/>
              </w:rPr>
              <w:t>對我國期貨業產業生態可能之影響</w:t>
            </w:r>
          </w:p>
          <w:p w:rsidR="0056069D" w:rsidRPr="00652BC7" w:rsidRDefault="0056069D" w:rsidP="002E1956">
            <w:pPr>
              <w:pStyle w:val="a9"/>
              <w:numPr>
                <w:ilvl w:val="0"/>
                <w:numId w:val="38"/>
              </w:numPr>
              <w:spacing w:line="480" w:lineRule="exact"/>
              <w:ind w:leftChars="0" w:left="993" w:rightChars="47" w:right="113"/>
              <w:jc w:val="both"/>
              <w:rPr>
                <w:rFonts w:ascii="標楷體" w:eastAsia="標楷體" w:hAnsi="標楷體"/>
              </w:rPr>
            </w:pPr>
            <w:r w:rsidRPr="00652BC7">
              <w:rPr>
                <w:rFonts w:ascii="標楷體" w:eastAsia="標楷體" w:hAnsi="標楷體" w:hint="eastAsia"/>
              </w:rPr>
              <w:t>對期貨自營商而言</w:t>
            </w:r>
          </w:p>
          <w:p w:rsidR="0056069D" w:rsidRPr="00652BC7" w:rsidRDefault="0056069D" w:rsidP="002E1956">
            <w:pPr>
              <w:pStyle w:val="a9"/>
              <w:spacing w:line="480" w:lineRule="exact"/>
              <w:ind w:leftChars="0" w:left="993" w:rightChars="47" w:right="113"/>
              <w:jc w:val="both"/>
              <w:rPr>
                <w:rFonts w:ascii="標楷體" w:eastAsia="標楷體" w:hAnsi="標楷體"/>
              </w:rPr>
            </w:pPr>
            <w:r w:rsidRPr="00652BC7">
              <w:rPr>
                <w:rFonts w:ascii="標楷體" w:eastAsia="標楷體" w:hAnsi="標楷體" w:hint="eastAsia"/>
              </w:rPr>
              <w:t>由於我國期貨管理法令對期貨自營業務相關規範（涵蓋資格、業務、財務、場地、人員、設備等）較為嚴格，故如開放未具交易會員資格之交易人(交易商)，得與本公司直接連線，或有可能會衍生期</w:t>
            </w:r>
            <w:r w:rsidR="00542970">
              <w:rPr>
                <w:rFonts w:ascii="標楷體" w:eastAsia="標楷體" w:hAnsi="標楷體" w:hint="eastAsia"/>
              </w:rPr>
              <w:t>貨</w:t>
            </w:r>
            <w:r w:rsidRPr="00652BC7">
              <w:rPr>
                <w:rFonts w:ascii="標楷體" w:eastAsia="標楷體" w:hAnsi="標楷體" w:hint="eastAsia"/>
              </w:rPr>
              <w:t>自營商與交易人(交易商)經營條件不公平之狀況，現有期貨自營商</w:t>
            </w:r>
            <w:r w:rsidR="00DA48A6" w:rsidRPr="00652BC7">
              <w:rPr>
                <w:rFonts w:ascii="標楷體" w:eastAsia="標楷體" w:hAnsi="標楷體" w:hint="eastAsia"/>
              </w:rPr>
              <w:t>可能考慮終止其業務</w:t>
            </w:r>
            <w:r w:rsidR="00452742" w:rsidRPr="00652BC7">
              <w:rPr>
                <w:rFonts w:ascii="標楷體" w:eastAsia="標楷體" w:hAnsi="標楷體" w:hint="eastAsia"/>
              </w:rPr>
              <w:t>（特別是外資背景之期貨商）</w:t>
            </w:r>
            <w:r w:rsidR="00DA48A6" w:rsidRPr="00652BC7">
              <w:rPr>
                <w:rFonts w:ascii="標楷體" w:eastAsia="標楷體" w:hAnsi="標楷體" w:hint="eastAsia"/>
              </w:rPr>
              <w:t>，改以客戶(交易人)身分進入</w:t>
            </w:r>
            <w:r w:rsidRPr="00652BC7">
              <w:rPr>
                <w:rFonts w:ascii="標楷體" w:eastAsia="標楷體" w:hAnsi="標楷體" w:hint="eastAsia"/>
              </w:rPr>
              <w:t>市場。</w:t>
            </w:r>
          </w:p>
          <w:p w:rsidR="0056069D" w:rsidRPr="00652BC7" w:rsidRDefault="0056069D" w:rsidP="002E1956">
            <w:pPr>
              <w:pStyle w:val="a9"/>
              <w:numPr>
                <w:ilvl w:val="0"/>
                <w:numId w:val="38"/>
              </w:numPr>
              <w:spacing w:line="480" w:lineRule="exact"/>
              <w:ind w:leftChars="0" w:left="993" w:rightChars="47" w:right="113"/>
              <w:jc w:val="both"/>
              <w:rPr>
                <w:rFonts w:ascii="標楷體" w:eastAsia="標楷體" w:hAnsi="標楷體"/>
              </w:rPr>
            </w:pPr>
            <w:r w:rsidRPr="00652BC7">
              <w:rPr>
                <w:rFonts w:ascii="標楷體" w:eastAsia="標楷體" w:hAnsi="標楷體" w:hint="eastAsia"/>
              </w:rPr>
              <w:t>對期貨經紀商而言</w:t>
            </w:r>
          </w:p>
          <w:p w:rsidR="0056069D" w:rsidRPr="00652BC7" w:rsidRDefault="009955B9" w:rsidP="002E1956">
            <w:pPr>
              <w:pStyle w:val="a9"/>
              <w:spacing w:line="480" w:lineRule="exact"/>
              <w:ind w:leftChars="0" w:left="993" w:rightChars="47" w:right="113"/>
              <w:jc w:val="both"/>
              <w:rPr>
                <w:rFonts w:ascii="標楷體" w:eastAsia="標楷體" w:hAnsi="標楷體"/>
              </w:rPr>
            </w:pPr>
            <w:r w:rsidRPr="00652BC7">
              <w:rPr>
                <w:rFonts w:ascii="標楷體" w:eastAsia="標楷體" w:hAnsi="標楷體" w:hint="eastAsia"/>
              </w:rPr>
              <w:t>因提供</w:t>
            </w:r>
            <w:r w:rsidR="00F44F75" w:rsidRPr="00652BC7">
              <w:rPr>
                <w:rFonts w:ascii="標楷體" w:eastAsia="標楷體" w:hAnsi="標楷體" w:hint="eastAsia"/>
              </w:rPr>
              <w:t>交易人</w:t>
            </w:r>
            <w:r w:rsidRPr="00652BC7">
              <w:rPr>
                <w:rFonts w:ascii="標楷體" w:eastAsia="標楷體" w:hAnsi="標楷體" w:hint="eastAsia"/>
              </w:rPr>
              <w:t>直接連線</w:t>
            </w:r>
            <w:r w:rsidR="0056069D" w:rsidRPr="00652BC7">
              <w:rPr>
                <w:rFonts w:ascii="標楷體" w:eastAsia="標楷體" w:hAnsi="標楷體" w:hint="eastAsia"/>
              </w:rPr>
              <w:t>服務，有了更為便捷之下單管道後，可能會促進</w:t>
            </w:r>
            <w:r w:rsidR="008715F2" w:rsidRPr="00652BC7">
              <w:rPr>
                <w:rFonts w:ascii="標楷體" w:eastAsia="標楷體" w:hAnsi="標楷體" w:hint="eastAsia"/>
              </w:rPr>
              <w:t>外資</w:t>
            </w:r>
            <w:r w:rsidR="0056069D" w:rsidRPr="00652BC7">
              <w:rPr>
                <w:rFonts w:ascii="標楷體" w:eastAsia="標楷體" w:hAnsi="標楷體" w:hint="eastAsia"/>
              </w:rPr>
              <w:t>法人機構參與我國期貨市場</w:t>
            </w:r>
            <w:r w:rsidR="008715F2" w:rsidRPr="00652BC7">
              <w:rPr>
                <w:rFonts w:ascii="標楷體" w:eastAsia="標楷體" w:hAnsi="標楷體" w:hint="eastAsia"/>
              </w:rPr>
              <w:t>之意願</w:t>
            </w:r>
            <w:r w:rsidR="0056069D" w:rsidRPr="00652BC7">
              <w:rPr>
                <w:rFonts w:ascii="標楷體" w:eastAsia="標楷體" w:hAnsi="標楷體" w:hint="eastAsia"/>
              </w:rPr>
              <w:t>，期貨經紀商也因而增加其法人客戶之業務。</w:t>
            </w:r>
          </w:p>
          <w:p w:rsidR="0056069D" w:rsidRPr="00652BC7" w:rsidRDefault="0056069D" w:rsidP="002E1956">
            <w:pPr>
              <w:pStyle w:val="a9"/>
              <w:numPr>
                <w:ilvl w:val="0"/>
                <w:numId w:val="38"/>
              </w:numPr>
              <w:spacing w:line="480" w:lineRule="exact"/>
              <w:ind w:leftChars="0" w:left="993" w:rightChars="47" w:right="113"/>
              <w:jc w:val="both"/>
              <w:rPr>
                <w:rFonts w:ascii="標楷體" w:eastAsia="標楷體" w:hAnsi="標楷體"/>
              </w:rPr>
            </w:pPr>
            <w:r w:rsidRPr="00652BC7">
              <w:rPr>
                <w:rFonts w:ascii="標楷體" w:eastAsia="標楷體" w:hAnsi="標楷體" w:hint="eastAsia"/>
              </w:rPr>
              <w:t>對</w:t>
            </w:r>
            <w:r w:rsidR="00160CB7" w:rsidRPr="00652BC7">
              <w:rPr>
                <w:rFonts w:ascii="標楷體" w:eastAsia="標楷體" w:hAnsi="標楷體" w:hint="eastAsia"/>
              </w:rPr>
              <w:t>本公司</w:t>
            </w:r>
            <w:r w:rsidRPr="00652BC7">
              <w:rPr>
                <w:rFonts w:ascii="標楷體" w:eastAsia="標楷體" w:hAnsi="標楷體" w:hint="eastAsia"/>
              </w:rPr>
              <w:t>結算會員而言</w:t>
            </w:r>
          </w:p>
          <w:p w:rsidR="0056069D" w:rsidRDefault="0056069D" w:rsidP="002E1956">
            <w:pPr>
              <w:pStyle w:val="a9"/>
              <w:spacing w:line="480" w:lineRule="exact"/>
              <w:ind w:leftChars="0" w:left="993" w:rightChars="47" w:right="113"/>
              <w:jc w:val="both"/>
              <w:rPr>
                <w:rFonts w:ascii="標楷體" w:eastAsia="標楷體" w:hAnsi="標楷體"/>
              </w:rPr>
            </w:pPr>
            <w:r w:rsidRPr="00652BC7">
              <w:rPr>
                <w:rFonts w:ascii="標楷體" w:eastAsia="標楷體" w:hAnsi="標楷體" w:hint="eastAsia"/>
              </w:rPr>
              <w:t>如本公司參考國外主要交易所之作法，規定</w:t>
            </w:r>
            <w:r w:rsidR="009955B9" w:rsidRPr="00652BC7">
              <w:rPr>
                <w:rFonts w:ascii="標楷體" w:eastAsia="標楷體" w:hAnsi="標楷體" w:hint="eastAsia"/>
              </w:rPr>
              <w:t>直接連線之使</w:t>
            </w:r>
            <w:r w:rsidRPr="00652BC7">
              <w:rPr>
                <w:rFonts w:ascii="標楷體" w:eastAsia="標楷體" w:hAnsi="標楷體" w:hint="eastAsia"/>
              </w:rPr>
              <w:t>用者(交易人)須取得結算會員之保證，始得申請與交易所直接連線，基於市場健全性之考量，交易所</w:t>
            </w:r>
            <w:r w:rsidR="006F3217">
              <w:rPr>
                <w:rFonts w:ascii="標楷體" w:eastAsia="標楷體" w:hAnsi="標楷體" w:hint="eastAsia"/>
              </w:rPr>
              <w:t>（本公司）</w:t>
            </w:r>
            <w:r w:rsidRPr="00652BC7">
              <w:rPr>
                <w:rFonts w:ascii="標楷體" w:eastAsia="標楷體" w:hAnsi="標楷體" w:hint="eastAsia"/>
              </w:rPr>
              <w:t>將</w:t>
            </w:r>
            <w:r w:rsidR="00633B66">
              <w:rPr>
                <w:rFonts w:ascii="標楷體" w:eastAsia="標楷體" w:hAnsi="標楷體" w:hint="eastAsia"/>
              </w:rPr>
              <w:t>有可能</w:t>
            </w:r>
            <w:r w:rsidRPr="00652BC7">
              <w:rPr>
                <w:rFonts w:ascii="標楷體" w:eastAsia="標楷體" w:hAnsi="標楷體" w:hint="eastAsia"/>
              </w:rPr>
              <w:t>對提供保證之結算會員</w:t>
            </w:r>
            <w:r w:rsidR="00F44F75" w:rsidRPr="00652BC7">
              <w:rPr>
                <w:rFonts w:ascii="標楷體" w:eastAsia="標楷體" w:hAnsi="標楷體" w:hint="eastAsia"/>
              </w:rPr>
              <w:t>訂</w:t>
            </w:r>
            <w:r w:rsidRPr="00652BC7">
              <w:rPr>
                <w:rFonts w:ascii="標楷體" w:eastAsia="標楷體" w:hAnsi="標楷體" w:hint="eastAsia"/>
              </w:rPr>
              <w:t>定更高之財務基本要求，在此情</w:t>
            </w:r>
            <w:r w:rsidR="004B5DDA" w:rsidRPr="00652BC7">
              <w:rPr>
                <w:rFonts w:ascii="標楷體" w:eastAsia="標楷體" w:hAnsi="標楷體" w:hint="eastAsia"/>
              </w:rPr>
              <w:t>形</w:t>
            </w:r>
            <w:r w:rsidRPr="00652BC7">
              <w:rPr>
                <w:rFonts w:ascii="標楷體" w:eastAsia="標楷體" w:hAnsi="標楷體" w:hint="eastAsia"/>
              </w:rPr>
              <w:t>下，可能會改變目前</w:t>
            </w:r>
            <w:r w:rsidR="00D70378" w:rsidRPr="00652BC7">
              <w:rPr>
                <w:rFonts w:ascii="標楷體" w:eastAsia="標楷體" w:hAnsi="標楷體" w:hint="eastAsia"/>
              </w:rPr>
              <w:t>本公司</w:t>
            </w:r>
            <w:r w:rsidRPr="00652BC7">
              <w:rPr>
                <w:rFonts w:ascii="標楷體" w:eastAsia="標楷體" w:hAnsi="標楷體" w:hint="eastAsia"/>
              </w:rPr>
              <w:t>結算會員生態，部分期貨商為爭取客戶，可能會增加資本額成為更大型之期貨商，俾符合更高條件之結算會員資格，以提供連線保證之服務，並藉以賺取手續費或佣金。</w:t>
            </w:r>
          </w:p>
          <w:p w:rsidR="003C3F80" w:rsidRPr="00652BC7" w:rsidRDefault="003C3F80" w:rsidP="002E1956">
            <w:pPr>
              <w:pStyle w:val="a9"/>
              <w:spacing w:line="480" w:lineRule="exact"/>
              <w:ind w:leftChars="0" w:left="993" w:rightChars="47" w:right="113"/>
              <w:jc w:val="both"/>
              <w:rPr>
                <w:rFonts w:ascii="標楷體" w:eastAsia="標楷體" w:hAnsi="標楷體"/>
              </w:rPr>
            </w:pPr>
          </w:p>
          <w:p w:rsidR="000A1403" w:rsidRPr="001E4DDF" w:rsidRDefault="00C91752" w:rsidP="000F1AB9">
            <w:pPr>
              <w:spacing w:line="480" w:lineRule="exact"/>
              <w:ind w:rightChars="47" w:right="113"/>
              <w:jc w:val="both"/>
              <w:rPr>
                <w:rFonts w:ascii="標楷體" w:eastAsia="標楷體" w:hAnsi="標楷體"/>
                <w:b/>
              </w:rPr>
            </w:pPr>
            <w:r w:rsidRPr="001E4DDF">
              <w:rPr>
                <w:rFonts w:ascii="標楷體" w:eastAsia="標楷體" w:hAnsi="標楷體" w:hint="eastAsia"/>
                <w:b/>
              </w:rPr>
              <w:lastRenderedPageBreak/>
              <w:t>叁、後續研究建議</w:t>
            </w:r>
            <w:r w:rsidR="005D2027" w:rsidRPr="001E4DDF">
              <w:rPr>
                <w:rFonts w:ascii="標楷體" w:eastAsia="標楷體" w:hAnsi="標楷體"/>
                <w:b/>
              </w:rPr>
              <w:t xml:space="preserve"> </w:t>
            </w:r>
          </w:p>
          <w:p w:rsidR="00B25948" w:rsidRPr="002167D1" w:rsidRDefault="00B25948" w:rsidP="00084E90">
            <w:pPr>
              <w:pStyle w:val="a9"/>
              <w:spacing w:line="480" w:lineRule="atLeast"/>
              <w:ind w:leftChars="0" w:left="567" w:rightChars="47" w:right="113"/>
              <w:rPr>
                <w:rFonts w:ascii="標楷體" w:eastAsia="標楷體" w:hAnsi="標楷體"/>
              </w:rPr>
            </w:pPr>
            <w:r w:rsidRPr="00B67646">
              <w:rPr>
                <w:rFonts w:ascii="標楷體" w:eastAsia="標楷體" w:hAnsi="標楷體" w:hint="eastAsia"/>
              </w:rPr>
              <w:t>I</w:t>
            </w:r>
            <w:r w:rsidRPr="002167D1">
              <w:rPr>
                <w:rFonts w:ascii="標楷體" w:eastAsia="標楷體" w:hAnsi="標楷體" w:hint="eastAsia"/>
              </w:rPr>
              <w:t>OSCO有關電子式直接連線方式</w:t>
            </w:r>
            <w:r w:rsidR="001D7043">
              <w:rPr>
                <w:rFonts w:ascii="標楷體" w:eastAsia="標楷體" w:hAnsi="標楷體" w:hint="eastAsia"/>
              </w:rPr>
              <w:t>(</w:t>
            </w:r>
            <w:r w:rsidRPr="002167D1">
              <w:rPr>
                <w:rFonts w:ascii="標楷體" w:eastAsia="標楷體" w:hAnsi="標楷體" w:hint="eastAsia"/>
              </w:rPr>
              <w:t>Direct Electronic Access</w:t>
            </w:r>
            <w:r w:rsidR="001D7043">
              <w:rPr>
                <w:rFonts w:ascii="標楷體" w:eastAsia="標楷體" w:hAnsi="標楷體" w:hint="eastAsia"/>
              </w:rPr>
              <w:t>,</w:t>
            </w:r>
            <w:r w:rsidRPr="002167D1">
              <w:rPr>
                <w:rFonts w:ascii="標楷體" w:eastAsia="標楷體" w:hAnsi="標楷體" w:hint="eastAsia"/>
              </w:rPr>
              <w:t>DEA)之研究報告</w:t>
            </w:r>
            <w:r w:rsidR="00686E13" w:rsidRPr="002167D1">
              <w:rPr>
                <w:rFonts w:ascii="標楷體" w:eastAsia="標楷體" w:hAnsi="標楷體" w:hint="eastAsia"/>
              </w:rPr>
              <w:t>表</w:t>
            </w:r>
            <w:r w:rsidRPr="002167D1">
              <w:rPr>
                <w:rFonts w:ascii="標楷體" w:eastAsia="標楷體" w:hAnsi="標楷體" w:hint="eastAsia"/>
              </w:rPr>
              <w:t>示，並非所有之管理機關皆認為開放DEA是合適的。IOSCO</w:t>
            </w:r>
            <w:r w:rsidR="00D15446">
              <w:rPr>
                <w:rFonts w:ascii="標楷體" w:eastAsia="標楷體" w:hAnsi="標楷體" w:hint="eastAsia"/>
              </w:rPr>
              <w:t>之</w:t>
            </w:r>
            <w:r w:rsidRPr="002167D1">
              <w:rPr>
                <w:rFonts w:ascii="標楷體" w:eastAsia="標楷體" w:hAnsi="標楷體" w:hint="eastAsia"/>
              </w:rPr>
              <w:t>科技委員會認為，不論管理機關是否開放使用DEA</w:t>
            </w:r>
            <w:r w:rsidR="000619EE" w:rsidRPr="002167D1">
              <w:rPr>
                <w:rFonts w:ascii="標楷體" w:eastAsia="標楷體" w:hAnsi="標楷體" w:hint="eastAsia"/>
              </w:rPr>
              <w:t>，</w:t>
            </w:r>
            <w:r w:rsidRPr="002167D1">
              <w:rPr>
                <w:rFonts w:ascii="標楷體" w:eastAsia="標楷體" w:hAnsi="標楷體" w:hint="eastAsia"/>
              </w:rPr>
              <w:t>該報告係為提供已開放或考量是否開放DEA服務之管理機關作為指導原則。</w:t>
            </w:r>
          </w:p>
          <w:p w:rsidR="009C121F" w:rsidRPr="002167D1" w:rsidRDefault="00B25948" w:rsidP="00084E90">
            <w:pPr>
              <w:pStyle w:val="a9"/>
              <w:spacing w:line="480" w:lineRule="atLeast"/>
              <w:ind w:leftChars="0" w:left="567" w:rightChars="47" w:right="113"/>
              <w:rPr>
                <w:rFonts w:ascii="標楷體" w:eastAsia="標楷體" w:hAnsi="標楷體"/>
              </w:rPr>
            </w:pPr>
            <w:r w:rsidRPr="002167D1">
              <w:rPr>
                <w:rFonts w:ascii="標楷體" w:eastAsia="標楷體" w:hAnsi="標楷體" w:hint="eastAsia"/>
              </w:rPr>
              <w:t>而本報告所蒐集彙整國外市場有關</w:t>
            </w:r>
            <w:r w:rsidR="009955B9" w:rsidRPr="002167D1">
              <w:rPr>
                <w:rFonts w:ascii="標楷體" w:eastAsia="標楷體" w:hAnsi="標楷體" w:hint="eastAsia"/>
              </w:rPr>
              <w:t>直接連線</w:t>
            </w:r>
            <w:r w:rsidRPr="002167D1">
              <w:rPr>
                <w:rFonts w:ascii="標楷體" w:eastAsia="標楷體" w:hAnsi="標楷體" w:hint="eastAsia"/>
              </w:rPr>
              <w:t>之制度、規範及建議等，係為日後開放</w:t>
            </w:r>
            <w:r w:rsidR="004D4151" w:rsidRPr="002167D1">
              <w:rPr>
                <w:rFonts w:ascii="標楷體" w:eastAsia="標楷體" w:hAnsi="標楷體" w:hint="eastAsia"/>
              </w:rPr>
              <w:t>直接連線方式</w:t>
            </w:r>
            <w:r w:rsidRPr="002167D1">
              <w:rPr>
                <w:rFonts w:ascii="標楷體" w:eastAsia="標楷體" w:hAnsi="標楷體" w:hint="eastAsia"/>
              </w:rPr>
              <w:t>制定原則性規範及相關控管措施之參考。至於我國期貨市場是否應開放</w:t>
            </w:r>
            <w:r w:rsidR="00D15446">
              <w:rPr>
                <w:rFonts w:ascii="標楷體" w:eastAsia="標楷體" w:hAnsi="標楷體" w:hint="eastAsia"/>
              </w:rPr>
              <w:t>交易人</w:t>
            </w:r>
            <w:r w:rsidR="004D4151" w:rsidRPr="002167D1">
              <w:rPr>
                <w:rFonts w:ascii="標楷體" w:eastAsia="標楷體" w:hAnsi="標楷體" w:hint="eastAsia"/>
              </w:rPr>
              <w:t>直接連線方式</w:t>
            </w:r>
            <w:r w:rsidRPr="002167D1">
              <w:rPr>
                <w:rFonts w:ascii="標楷體" w:eastAsia="標楷體" w:hAnsi="標楷體" w:hint="eastAsia"/>
              </w:rPr>
              <w:t>，似宜</w:t>
            </w:r>
            <w:r w:rsidR="004D4151" w:rsidRPr="002167D1">
              <w:rPr>
                <w:rFonts w:ascii="標楷體" w:eastAsia="標楷體" w:hAnsi="標楷體" w:hint="eastAsia"/>
              </w:rPr>
              <w:t>觀察</w:t>
            </w:r>
            <w:r w:rsidRPr="002167D1">
              <w:rPr>
                <w:rFonts w:ascii="標楷體" w:eastAsia="標楷體" w:hAnsi="標楷體" w:hint="eastAsia"/>
              </w:rPr>
              <w:t>我國期貨市場之特性</w:t>
            </w:r>
            <w:r w:rsidR="004D4151" w:rsidRPr="002167D1">
              <w:rPr>
                <w:rFonts w:ascii="標楷體" w:eastAsia="標楷體" w:hAnsi="標楷體" w:hint="eastAsia"/>
              </w:rPr>
              <w:t>，包括考量</w:t>
            </w:r>
            <w:r w:rsidRPr="002167D1">
              <w:rPr>
                <w:rFonts w:ascii="標楷體" w:eastAsia="標楷體" w:hAnsi="標楷體" w:hint="eastAsia"/>
              </w:rPr>
              <w:t>交易人之</w:t>
            </w:r>
            <w:r w:rsidR="00E95505" w:rsidRPr="002167D1">
              <w:rPr>
                <w:rFonts w:ascii="標楷體" w:eastAsia="標楷體" w:hAnsi="標楷體" w:hint="eastAsia"/>
              </w:rPr>
              <w:t>屬性</w:t>
            </w:r>
            <w:r w:rsidRPr="002167D1">
              <w:rPr>
                <w:rFonts w:ascii="標楷體" w:eastAsia="標楷體" w:hAnsi="標楷體" w:hint="eastAsia"/>
              </w:rPr>
              <w:t>結構(自然人與法人比重各約50％)</w:t>
            </w:r>
            <w:r w:rsidR="004D4151" w:rsidRPr="002167D1">
              <w:rPr>
                <w:rFonts w:ascii="標楷體" w:eastAsia="標楷體" w:hAnsi="標楷體" w:hint="eastAsia"/>
              </w:rPr>
              <w:t>及</w:t>
            </w:r>
            <w:r w:rsidRPr="002167D1">
              <w:rPr>
                <w:rFonts w:ascii="標楷體" w:eastAsia="標楷體" w:hAnsi="標楷體" w:hint="eastAsia"/>
              </w:rPr>
              <w:t>預繳保證金制度可否於執行交易前通過檢核程序等情形後，再檢視增修訂</w:t>
            </w:r>
            <w:r w:rsidR="00D15446">
              <w:rPr>
                <w:rFonts w:ascii="標楷體" w:eastAsia="標楷體" w:hAnsi="標楷體" w:hint="eastAsia"/>
              </w:rPr>
              <w:t>交易人</w:t>
            </w:r>
            <w:r w:rsidR="002836B7" w:rsidRPr="002167D1">
              <w:rPr>
                <w:rFonts w:ascii="標楷體" w:eastAsia="標楷體" w:hAnsi="標楷體" w:hint="eastAsia"/>
              </w:rPr>
              <w:t>直接連線方式</w:t>
            </w:r>
            <w:r w:rsidRPr="002167D1">
              <w:rPr>
                <w:rFonts w:ascii="標楷體" w:eastAsia="標楷體" w:hAnsi="標楷體" w:hint="eastAsia"/>
              </w:rPr>
              <w:t>相關規章作業</w:t>
            </w:r>
            <w:r w:rsidR="00175D14">
              <w:rPr>
                <w:rFonts w:ascii="標楷體" w:eastAsia="標楷體" w:hAnsi="標楷體" w:hint="eastAsia"/>
              </w:rPr>
              <w:t>，</w:t>
            </w:r>
            <w:r w:rsidR="004D4151" w:rsidRPr="002167D1">
              <w:rPr>
                <w:rFonts w:ascii="標楷體" w:eastAsia="標楷體" w:hAnsi="標楷體" w:hint="eastAsia"/>
              </w:rPr>
              <w:t>並設置相關</w:t>
            </w:r>
            <w:r w:rsidRPr="002167D1">
              <w:rPr>
                <w:rFonts w:ascii="標楷體" w:eastAsia="標楷體" w:hAnsi="標楷體" w:hint="eastAsia"/>
              </w:rPr>
              <w:t>風險管理措施，俾適時推動建置世界主要交易所普遍提供之直接連線方式為妥。</w:t>
            </w:r>
            <w:r w:rsidR="009C121F" w:rsidRPr="002167D1">
              <w:rPr>
                <w:rFonts w:ascii="標楷體" w:eastAsia="標楷體" w:hAnsi="標楷體" w:hint="eastAsia"/>
              </w:rPr>
              <w:t>另由於開放</w:t>
            </w:r>
            <w:r w:rsidR="00D15446">
              <w:rPr>
                <w:rFonts w:ascii="標楷體" w:eastAsia="標楷體" w:hAnsi="標楷體" w:hint="eastAsia"/>
              </w:rPr>
              <w:t>交易人</w:t>
            </w:r>
            <w:r w:rsidR="009C121F" w:rsidRPr="002167D1">
              <w:rPr>
                <w:rFonts w:ascii="標楷體" w:eastAsia="標楷體" w:hAnsi="標楷體" w:hint="eastAsia"/>
              </w:rPr>
              <w:t>直接連線方式提供便捷之交易管道後，將吸引更多高頻交易商進入我國期貨市場，對交易系統負荷、頻寬寬度等亦宜提早規劃，並持續改良加強。</w:t>
            </w:r>
          </w:p>
          <w:p w:rsidR="00626880" w:rsidRPr="001E4DDF" w:rsidRDefault="00626880" w:rsidP="009C121F">
            <w:pPr>
              <w:pStyle w:val="a9"/>
              <w:spacing w:line="480" w:lineRule="atLeast"/>
              <w:ind w:leftChars="59" w:left="142" w:rightChars="47" w:right="113" w:firstLine="480"/>
              <w:jc w:val="both"/>
              <w:rPr>
                <w:rFonts w:ascii="標楷體" w:eastAsia="標楷體" w:hAnsi="標楷體"/>
              </w:rPr>
            </w:pPr>
          </w:p>
        </w:tc>
      </w:tr>
    </w:tbl>
    <w:p w:rsidR="007B321D" w:rsidRPr="001E4DDF" w:rsidRDefault="007B321D">
      <w:pPr>
        <w:rPr>
          <w:rFonts w:ascii="標楷體" w:eastAsia="標楷體" w:hAnsi="標楷體"/>
        </w:rPr>
      </w:pPr>
      <w:r w:rsidRPr="001E4DDF">
        <w:rPr>
          <w:rFonts w:ascii="標楷體" w:eastAsia="標楷體" w:hAnsi="標楷體" w:hint="eastAsia"/>
        </w:rPr>
        <w:lastRenderedPageBreak/>
        <w:t>附註：報告內容提要應包括下列</w:t>
      </w:r>
      <w:r w:rsidR="00ED6579" w:rsidRPr="001E4DDF">
        <w:rPr>
          <w:rFonts w:ascii="標楷體" w:eastAsia="標楷體" w:hAnsi="標楷體" w:hint="eastAsia"/>
        </w:rPr>
        <w:t>三</w:t>
      </w:r>
      <w:r w:rsidRPr="001E4DDF">
        <w:rPr>
          <w:rFonts w:ascii="標楷體" w:eastAsia="標楷體" w:hAnsi="標楷體" w:hint="eastAsia"/>
        </w:rPr>
        <w:t>部分：</w:t>
      </w:r>
    </w:p>
    <w:p w:rsidR="00C348D8" w:rsidRPr="001E4DDF" w:rsidRDefault="008D2343">
      <w:pPr>
        <w:ind w:left="720"/>
        <w:rPr>
          <w:rFonts w:ascii="標楷體" w:eastAsia="標楷體" w:hAnsi="標楷體"/>
        </w:rPr>
      </w:pPr>
      <w:r w:rsidRPr="001E4DDF">
        <w:rPr>
          <w:rFonts w:ascii="標楷體" w:eastAsia="標楷體" w:hAnsi="標楷體" w:hint="eastAsia"/>
        </w:rPr>
        <w:t>（一）</w:t>
      </w:r>
      <w:r w:rsidR="007B321D" w:rsidRPr="001E4DDF">
        <w:rPr>
          <w:rFonts w:ascii="標楷體" w:eastAsia="標楷體" w:hAnsi="標楷體" w:hint="eastAsia"/>
        </w:rPr>
        <w:t>研究內容重點</w:t>
      </w:r>
    </w:p>
    <w:p w:rsidR="00ED6579" w:rsidRPr="001E4DDF" w:rsidRDefault="008D2343">
      <w:pPr>
        <w:ind w:firstLineChars="303" w:firstLine="727"/>
        <w:rPr>
          <w:rFonts w:ascii="標楷體" w:eastAsia="標楷體" w:hAnsi="標楷體"/>
        </w:rPr>
      </w:pPr>
      <w:r w:rsidRPr="001E4DDF">
        <w:rPr>
          <w:rFonts w:ascii="標楷體" w:eastAsia="標楷體" w:hAnsi="標楷體" w:hint="eastAsia"/>
        </w:rPr>
        <w:t>（二）</w:t>
      </w:r>
      <w:r w:rsidR="00ED6579" w:rsidRPr="001E4DDF">
        <w:rPr>
          <w:rFonts w:ascii="標楷體" w:eastAsia="標楷體" w:hAnsi="標楷體" w:hint="eastAsia"/>
        </w:rPr>
        <w:t>主要發現或</w:t>
      </w:r>
      <w:r w:rsidRPr="001E4DDF">
        <w:rPr>
          <w:rFonts w:ascii="標楷體" w:eastAsia="標楷體" w:hAnsi="標楷體" w:hint="eastAsia"/>
        </w:rPr>
        <w:t>結論</w:t>
      </w:r>
    </w:p>
    <w:p w:rsidR="00C348D8" w:rsidRPr="001E4DDF" w:rsidRDefault="00ED6579" w:rsidP="000447F9">
      <w:pPr>
        <w:ind w:firstLineChars="303" w:firstLine="727"/>
        <w:rPr>
          <w:rFonts w:ascii="標楷體" w:eastAsia="標楷體" w:hAnsi="標楷體"/>
        </w:rPr>
      </w:pPr>
      <w:r w:rsidRPr="001E4DDF">
        <w:rPr>
          <w:rFonts w:ascii="標楷體" w:eastAsia="標楷體" w:hAnsi="標楷體" w:hint="eastAsia"/>
        </w:rPr>
        <w:t>（三）</w:t>
      </w:r>
      <w:r w:rsidR="008D2343" w:rsidRPr="001E4DDF">
        <w:rPr>
          <w:rFonts w:ascii="標楷體" w:eastAsia="標楷體" w:hAnsi="標楷體" w:hint="eastAsia"/>
        </w:rPr>
        <w:t>建議</w:t>
      </w:r>
      <w:r w:rsidR="007B321D" w:rsidRPr="001E4DDF">
        <w:rPr>
          <w:rFonts w:ascii="標楷體" w:eastAsia="標楷體" w:hAnsi="標楷體" w:hint="eastAsia"/>
        </w:rPr>
        <w:t>事項</w:t>
      </w:r>
    </w:p>
    <w:p w:rsidR="007445B8" w:rsidRPr="001E4DDF" w:rsidRDefault="007445B8" w:rsidP="000447F9">
      <w:pPr>
        <w:ind w:firstLineChars="303" w:firstLine="727"/>
        <w:rPr>
          <w:rFonts w:ascii="標楷體" w:eastAsia="標楷體" w:hAnsi="標楷體"/>
        </w:rPr>
      </w:pPr>
    </w:p>
    <w:p w:rsidR="007445B8" w:rsidRPr="001E4DDF" w:rsidRDefault="007445B8">
      <w:pPr>
        <w:widowControl/>
        <w:rPr>
          <w:rFonts w:ascii="標楷體" w:eastAsia="標楷體" w:hAnsi="標楷體"/>
        </w:rPr>
      </w:pPr>
    </w:p>
    <w:sectPr w:rsidR="007445B8" w:rsidRPr="001E4DDF" w:rsidSect="001614D7">
      <w:footerReference w:type="even" r:id="rId9"/>
      <w:footerReference w:type="default" r:id="rId10"/>
      <w:pgSz w:w="11906" w:h="16838" w:code="9"/>
      <w:pgMar w:top="1440" w:right="1474" w:bottom="1440" w:left="1474"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6C5" w:rsidRDefault="00BC46C5">
      <w:r>
        <w:separator/>
      </w:r>
    </w:p>
  </w:endnote>
  <w:endnote w:type="continuationSeparator" w:id="1">
    <w:p w:rsidR="00BC46C5" w:rsidRDefault="00BC46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oudyStd">
    <w:altName w:val="新細明體"/>
    <w:panose1 w:val="00000000000000000000"/>
    <w:charset w:val="88"/>
    <w:family w:val="roman"/>
    <w:notTrueType/>
    <w:pitch w:val="default"/>
    <w:sig w:usb0="00000003" w:usb1="08080000" w:usb2="00000010" w:usb3="00000000" w:csb0="00100001" w:csb1="00000000"/>
  </w:font>
  <w:font w:name="DFMing-Md-Identity-H">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41" w:rsidRDefault="00A65F3A" w:rsidP="0010287D">
    <w:pPr>
      <w:pStyle w:val="a5"/>
      <w:framePr w:wrap="around" w:vAnchor="text" w:hAnchor="margin" w:xAlign="center" w:y="1"/>
      <w:rPr>
        <w:rStyle w:val="a4"/>
      </w:rPr>
    </w:pPr>
    <w:r>
      <w:rPr>
        <w:rStyle w:val="a4"/>
      </w:rPr>
      <w:fldChar w:fldCharType="begin"/>
    </w:r>
    <w:r w:rsidR="008F2841">
      <w:rPr>
        <w:rStyle w:val="a4"/>
      </w:rPr>
      <w:instrText xml:space="preserve">PAGE  </w:instrText>
    </w:r>
    <w:r>
      <w:rPr>
        <w:rStyle w:val="a4"/>
      </w:rPr>
      <w:fldChar w:fldCharType="end"/>
    </w:r>
  </w:p>
  <w:p w:rsidR="008F2841" w:rsidRDefault="008F284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41" w:rsidRDefault="00A65F3A" w:rsidP="0010287D">
    <w:pPr>
      <w:pStyle w:val="a5"/>
      <w:framePr w:wrap="around" w:vAnchor="text" w:hAnchor="margin" w:xAlign="center" w:y="1"/>
      <w:rPr>
        <w:rStyle w:val="a4"/>
      </w:rPr>
    </w:pPr>
    <w:r>
      <w:rPr>
        <w:rStyle w:val="a4"/>
      </w:rPr>
      <w:fldChar w:fldCharType="begin"/>
    </w:r>
    <w:r w:rsidR="008F2841">
      <w:rPr>
        <w:rStyle w:val="a4"/>
      </w:rPr>
      <w:instrText xml:space="preserve">PAGE  </w:instrText>
    </w:r>
    <w:r>
      <w:rPr>
        <w:rStyle w:val="a4"/>
      </w:rPr>
      <w:fldChar w:fldCharType="separate"/>
    </w:r>
    <w:r w:rsidR="006F3217">
      <w:rPr>
        <w:rStyle w:val="a4"/>
        <w:noProof/>
      </w:rPr>
      <w:t>4</w:t>
    </w:r>
    <w:r>
      <w:rPr>
        <w:rStyle w:val="a4"/>
      </w:rPr>
      <w:fldChar w:fldCharType="end"/>
    </w:r>
  </w:p>
  <w:p w:rsidR="008F2841" w:rsidRDefault="008F28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6C5" w:rsidRDefault="00BC46C5">
      <w:r>
        <w:separator/>
      </w:r>
    </w:p>
  </w:footnote>
  <w:footnote w:type="continuationSeparator" w:id="1">
    <w:p w:rsidR="00BC46C5" w:rsidRDefault="00BC46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DA"/>
    <w:multiLevelType w:val="hybridMultilevel"/>
    <w:tmpl w:val="5C7469BC"/>
    <w:lvl w:ilvl="0" w:tplc="9DAE9242">
      <w:start w:val="1"/>
      <w:numFmt w:val="taiwaneseCountingThousand"/>
      <w:lvlText w:val="(%1)"/>
      <w:lvlJc w:val="left"/>
      <w:pPr>
        <w:tabs>
          <w:tab w:val="num" w:pos="720"/>
        </w:tabs>
        <w:ind w:left="720" w:hanging="720"/>
      </w:pPr>
      <w:rPr>
        <w:rFonts w:asci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C336FE"/>
    <w:multiLevelType w:val="hybridMultilevel"/>
    <w:tmpl w:val="ABBCDBC8"/>
    <w:lvl w:ilvl="0" w:tplc="042A37B6">
      <w:start w:val="1"/>
      <w:numFmt w:val="taiwaneseCountingThousand"/>
      <w:lvlText w:val="%1、"/>
      <w:lvlJc w:val="left"/>
      <w:pPr>
        <w:ind w:left="960" w:hanging="480"/>
      </w:pPr>
      <w:rPr>
        <w:rFonts w:eastAsia="標楷體" w:hint="eastAsia"/>
        <w:b/>
        <w:i w:val="0"/>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85302D8"/>
    <w:multiLevelType w:val="hybridMultilevel"/>
    <w:tmpl w:val="87DC8C8C"/>
    <w:lvl w:ilvl="0" w:tplc="F2985DE6">
      <w:start w:val="1"/>
      <w:numFmt w:val="taiwaneseCountingThousand"/>
      <w:lvlText w:val="（%1）"/>
      <w:lvlJc w:val="left"/>
      <w:pPr>
        <w:ind w:left="769" w:hanging="480"/>
      </w:pPr>
      <w:rPr>
        <w:rFonts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A70113"/>
    <w:multiLevelType w:val="hybridMultilevel"/>
    <w:tmpl w:val="ECA07CC0"/>
    <w:lvl w:ilvl="0" w:tplc="0409000F">
      <w:start w:val="1"/>
      <w:numFmt w:val="decimal"/>
      <w:lvlText w:val="%1."/>
      <w:lvlJc w:val="left"/>
      <w:pPr>
        <w:ind w:left="468" w:hanging="480"/>
      </w:pPr>
      <w:rPr>
        <w:rFonts w:hint="default"/>
      </w:rPr>
    </w:lvl>
    <w:lvl w:ilvl="1" w:tplc="04090003" w:tentative="1">
      <w:start w:val="1"/>
      <w:numFmt w:val="bullet"/>
      <w:lvlText w:val=""/>
      <w:lvlJc w:val="left"/>
      <w:pPr>
        <w:ind w:left="948" w:hanging="480"/>
      </w:pPr>
      <w:rPr>
        <w:rFonts w:ascii="Wingdings" w:hAnsi="Wingdings" w:hint="default"/>
      </w:rPr>
    </w:lvl>
    <w:lvl w:ilvl="2" w:tplc="04090005" w:tentative="1">
      <w:start w:val="1"/>
      <w:numFmt w:val="bullet"/>
      <w:lvlText w:val=""/>
      <w:lvlJc w:val="left"/>
      <w:pPr>
        <w:ind w:left="1428" w:hanging="480"/>
      </w:pPr>
      <w:rPr>
        <w:rFonts w:ascii="Wingdings" w:hAnsi="Wingdings" w:hint="default"/>
      </w:rPr>
    </w:lvl>
    <w:lvl w:ilvl="3" w:tplc="04090001" w:tentative="1">
      <w:start w:val="1"/>
      <w:numFmt w:val="bullet"/>
      <w:lvlText w:val=""/>
      <w:lvlJc w:val="left"/>
      <w:pPr>
        <w:ind w:left="1908" w:hanging="480"/>
      </w:pPr>
      <w:rPr>
        <w:rFonts w:ascii="Wingdings" w:hAnsi="Wingdings" w:hint="default"/>
      </w:rPr>
    </w:lvl>
    <w:lvl w:ilvl="4" w:tplc="04090003" w:tentative="1">
      <w:start w:val="1"/>
      <w:numFmt w:val="bullet"/>
      <w:lvlText w:val=""/>
      <w:lvlJc w:val="left"/>
      <w:pPr>
        <w:ind w:left="2388" w:hanging="480"/>
      </w:pPr>
      <w:rPr>
        <w:rFonts w:ascii="Wingdings" w:hAnsi="Wingdings" w:hint="default"/>
      </w:rPr>
    </w:lvl>
    <w:lvl w:ilvl="5" w:tplc="04090005" w:tentative="1">
      <w:start w:val="1"/>
      <w:numFmt w:val="bullet"/>
      <w:lvlText w:val=""/>
      <w:lvlJc w:val="left"/>
      <w:pPr>
        <w:ind w:left="2868" w:hanging="480"/>
      </w:pPr>
      <w:rPr>
        <w:rFonts w:ascii="Wingdings" w:hAnsi="Wingdings" w:hint="default"/>
      </w:rPr>
    </w:lvl>
    <w:lvl w:ilvl="6" w:tplc="04090001" w:tentative="1">
      <w:start w:val="1"/>
      <w:numFmt w:val="bullet"/>
      <w:lvlText w:val=""/>
      <w:lvlJc w:val="left"/>
      <w:pPr>
        <w:ind w:left="3348" w:hanging="480"/>
      </w:pPr>
      <w:rPr>
        <w:rFonts w:ascii="Wingdings" w:hAnsi="Wingdings" w:hint="default"/>
      </w:rPr>
    </w:lvl>
    <w:lvl w:ilvl="7" w:tplc="04090003" w:tentative="1">
      <w:start w:val="1"/>
      <w:numFmt w:val="bullet"/>
      <w:lvlText w:val=""/>
      <w:lvlJc w:val="left"/>
      <w:pPr>
        <w:ind w:left="3828" w:hanging="480"/>
      </w:pPr>
      <w:rPr>
        <w:rFonts w:ascii="Wingdings" w:hAnsi="Wingdings" w:hint="default"/>
      </w:rPr>
    </w:lvl>
    <w:lvl w:ilvl="8" w:tplc="04090005" w:tentative="1">
      <w:start w:val="1"/>
      <w:numFmt w:val="bullet"/>
      <w:lvlText w:val=""/>
      <w:lvlJc w:val="left"/>
      <w:pPr>
        <w:ind w:left="4308" w:hanging="480"/>
      </w:pPr>
      <w:rPr>
        <w:rFonts w:ascii="Wingdings" w:hAnsi="Wingdings" w:hint="default"/>
      </w:rPr>
    </w:lvl>
  </w:abstractNum>
  <w:abstractNum w:abstractNumId="4">
    <w:nsid w:val="0FA30D30"/>
    <w:multiLevelType w:val="hybridMultilevel"/>
    <w:tmpl w:val="CCF464BE"/>
    <w:lvl w:ilvl="0" w:tplc="A094B6D6">
      <w:start w:val="1"/>
      <w:numFmt w:val="taiwaneseCountingThousand"/>
      <w:lvlText w:val="%1、"/>
      <w:lvlJc w:val="left"/>
      <w:pPr>
        <w:ind w:left="996" w:hanging="720"/>
      </w:pPr>
      <w:rPr>
        <w:rFonts w:hint="default"/>
      </w:rPr>
    </w:lvl>
    <w:lvl w:ilvl="1" w:tplc="04090019">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5">
    <w:nsid w:val="14610288"/>
    <w:multiLevelType w:val="hybridMultilevel"/>
    <w:tmpl w:val="FBBADC86"/>
    <w:lvl w:ilvl="0" w:tplc="F14EBF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67F392E"/>
    <w:multiLevelType w:val="hybridMultilevel"/>
    <w:tmpl w:val="B0A428E6"/>
    <w:lvl w:ilvl="0" w:tplc="A094B6D6">
      <w:start w:val="1"/>
      <w:numFmt w:val="taiwaneseCountingThousand"/>
      <w:lvlText w:val="%1、"/>
      <w:lvlJc w:val="left"/>
      <w:pPr>
        <w:ind w:left="996" w:hanging="720"/>
      </w:pPr>
      <w:rPr>
        <w:rFonts w:hint="default"/>
      </w:rPr>
    </w:lvl>
    <w:lvl w:ilvl="1" w:tplc="1780FE3A">
      <w:start w:val="1"/>
      <w:numFmt w:val="taiwaneseCountingThousand"/>
      <w:lvlText w:val="（%2）"/>
      <w:lvlJc w:val="left"/>
      <w:pPr>
        <w:ind w:left="1236" w:hanging="480"/>
      </w:pPr>
      <w:rPr>
        <w:rFonts w:hint="eastAsia"/>
        <w:color w:val="auto"/>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7">
    <w:nsid w:val="16894B61"/>
    <w:multiLevelType w:val="hybridMultilevel"/>
    <w:tmpl w:val="10BAF6FE"/>
    <w:lvl w:ilvl="0" w:tplc="920A2628">
      <w:start w:val="1"/>
      <w:numFmt w:val="taiwaneseCountingThousand"/>
      <w:lvlText w:val="（%1）"/>
      <w:lvlJc w:val="left"/>
      <w:pPr>
        <w:ind w:left="48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D26C1C"/>
    <w:multiLevelType w:val="hybridMultilevel"/>
    <w:tmpl w:val="65725282"/>
    <w:lvl w:ilvl="0" w:tplc="0409000F">
      <w:start w:val="1"/>
      <w:numFmt w:val="decimal"/>
      <w:lvlText w:val="%1."/>
      <w:lvlJc w:val="left"/>
      <w:pPr>
        <w:ind w:left="756" w:hanging="480"/>
      </w:p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9">
    <w:nsid w:val="197E3C85"/>
    <w:multiLevelType w:val="hybridMultilevel"/>
    <w:tmpl w:val="12C09A7E"/>
    <w:lvl w:ilvl="0" w:tplc="F6662D6E">
      <w:start w:val="1"/>
      <w:numFmt w:val="decimal"/>
      <w:lvlText w:val="%1."/>
      <w:lvlJc w:val="left"/>
      <w:pPr>
        <w:ind w:left="121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F37423F"/>
    <w:multiLevelType w:val="hybridMultilevel"/>
    <w:tmpl w:val="7E0C2FCE"/>
    <w:lvl w:ilvl="0" w:tplc="856C041E">
      <w:start w:val="1"/>
      <w:numFmt w:val="decimal"/>
      <w:lvlText w:val="%1."/>
      <w:lvlJc w:val="left"/>
      <w:pPr>
        <w:ind w:left="121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1C43A1"/>
    <w:multiLevelType w:val="hybridMultilevel"/>
    <w:tmpl w:val="7B68EC0E"/>
    <w:lvl w:ilvl="0" w:tplc="A094B6D6">
      <w:start w:val="1"/>
      <w:numFmt w:val="taiwaneseCountingThousand"/>
      <w:lvlText w:val="%1、"/>
      <w:lvlJc w:val="left"/>
      <w:pPr>
        <w:ind w:left="996" w:hanging="720"/>
      </w:pPr>
      <w:rPr>
        <w:rFonts w:hint="default"/>
      </w:rPr>
    </w:lvl>
    <w:lvl w:ilvl="1" w:tplc="23A4C22E">
      <w:start w:val="1"/>
      <w:numFmt w:val="decimal"/>
      <w:lvlText w:val="%2."/>
      <w:lvlJc w:val="left"/>
      <w:pPr>
        <w:ind w:left="1236" w:hanging="480"/>
      </w:pPr>
      <w:rPr>
        <w:rFonts w:hint="eastAsia"/>
        <w:color w:val="auto"/>
        <w:sz w:val="24"/>
      </w:rPr>
    </w:lvl>
    <w:lvl w:ilvl="2" w:tplc="0409001B">
      <w:start w:val="1"/>
      <w:numFmt w:val="lowerRoman"/>
      <w:lvlText w:val="%3."/>
      <w:lvlJc w:val="right"/>
      <w:pPr>
        <w:ind w:left="1716" w:hanging="480"/>
      </w:pPr>
    </w:lvl>
    <w:lvl w:ilvl="3" w:tplc="0409000F">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2">
    <w:nsid w:val="2B7B53ED"/>
    <w:multiLevelType w:val="hybridMultilevel"/>
    <w:tmpl w:val="ECC03D2A"/>
    <w:lvl w:ilvl="0" w:tplc="B27E38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973B4E"/>
    <w:multiLevelType w:val="hybridMultilevel"/>
    <w:tmpl w:val="259E9234"/>
    <w:lvl w:ilvl="0" w:tplc="2938CF66">
      <w:start w:val="1"/>
      <w:numFmt w:val="ideographLegalTraditional"/>
      <w:lvlText w:val="%1、"/>
      <w:lvlJc w:val="left"/>
      <w:pPr>
        <w:ind w:left="480" w:hanging="480"/>
      </w:pPr>
      <w:rPr>
        <w:rFonts w:eastAsia="標楷體" w:hint="eastAsia"/>
        <w:b/>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4974917"/>
    <w:multiLevelType w:val="hybridMultilevel"/>
    <w:tmpl w:val="C5A4B3B6"/>
    <w:lvl w:ilvl="0" w:tplc="2AA672BA">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5">
    <w:nsid w:val="3524521E"/>
    <w:multiLevelType w:val="hybridMultilevel"/>
    <w:tmpl w:val="117619FA"/>
    <w:lvl w:ilvl="0" w:tplc="7B04E6C4">
      <w:start w:val="1"/>
      <w:numFmt w:val="taiwaneseCountingThousand"/>
      <w:lvlText w:val="（%1）"/>
      <w:lvlJc w:val="left"/>
      <w:pPr>
        <w:ind w:left="480" w:hanging="480"/>
      </w:pPr>
      <w:rPr>
        <w:rFonts w:eastAsia="標楷體" w:hint="eastAsia"/>
        <w:b w:val="0"/>
        <w:i w:val="0"/>
        <w:sz w:val="24"/>
      </w:rPr>
    </w:lvl>
    <w:lvl w:ilvl="1" w:tplc="E384BDE4">
      <w:numFmt w:val="bullet"/>
      <w:lvlText w:val="•"/>
      <w:lvlJc w:val="left"/>
      <w:pPr>
        <w:ind w:left="840" w:hanging="360"/>
      </w:pPr>
      <w:rPr>
        <w:rFonts w:ascii="標楷體" w:eastAsia="標楷體" w:hAnsi="標楷體" w:cs="Helvetica" w:hint="eastAsia"/>
      </w:rPr>
    </w:lvl>
    <w:lvl w:ilvl="2" w:tplc="F2B4ACB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FCF2904"/>
    <w:multiLevelType w:val="hybridMultilevel"/>
    <w:tmpl w:val="2474E658"/>
    <w:lvl w:ilvl="0" w:tplc="ACC8F9D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A4D2F6C"/>
    <w:multiLevelType w:val="hybridMultilevel"/>
    <w:tmpl w:val="461C355C"/>
    <w:lvl w:ilvl="0" w:tplc="0409000F">
      <w:start w:val="1"/>
      <w:numFmt w:val="decimal"/>
      <w:lvlText w:val="%1."/>
      <w:lvlJc w:val="left"/>
      <w:pPr>
        <w:ind w:left="480" w:hanging="480"/>
      </w:pPr>
      <w:rPr>
        <w:rFonts w:hint="default"/>
      </w:rPr>
    </w:lvl>
    <w:lvl w:ilvl="1" w:tplc="7FC0735A">
      <w:start w:val="1"/>
      <w:numFmt w:val="taiwaneseCountingThousand"/>
      <w:lvlText w:val="%2、"/>
      <w:lvlJc w:val="left"/>
      <w:pPr>
        <w:ind w:left="1200" w:hanging="72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A8937E2"/>
    <w:multiLevelType w:val="hybridMultilevel"/>
    <w:tmpl w:val="0A4699A4"/>
    <w:lvl w:ilvl="0" w:tplc="A5B6C9C8">
      <w:start w:val="1"/>
      <w:numFmt w:val="taiwaneseCountingThousand"/>
      <w:lvlText w:val="%1、"/>
      <w:lvlJc w:val="left"/>
      <w:pPr>
        <w:ind w:left="960" w:hanging="48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C3972CC"/>
    <w:multiLevelType w:val="hybridMultilevel"/>
    <w:tmpl w:val="A64662E6"/>
    <w:lvl w:ilvl="0" w:tplc="BC0C9120">
      <w:start w:val="1"/>
      <w:numFmt w:val="decimal"/>
      <w:lvlText w:val="(%1)"/>
      <w:lvlJc w:val="left"/>
      <w:pPr>
        <w:ind w:left="1471" w:hanging="480"/>
      </w:pPr>
      <w:rPr>
        <w:rFonts w:hint="default"/>
        <w:color w:val="auto"/>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nsid w:val="4D050A7F"/>
    <w:multiLevelType w:val="hybridMultilevel"/>
    <w:tmpl w:val="979CAD12"/>
    <w:lvl w:ilvl="0" w:tplc="66426F2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EB127C0"/>
    <w:multiLevelType w:val="hybridMultilevel"/>
    <w:tmpl w:val="182EFDCC"/>
    <w:lvl w:ilvl="0" w:tplc="6BC8609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2">
    <w:nsid w:val="52AA78ED"/>
    <w:multiLevelType w:val="hybridMultilevel"/>
    <w:tmpl w:val="E496D6D6"/>
    <w:lvl w:ilvl="0" w:tplc="5008B506">
      <w:start w:val="1"/>
      <w:numFmt w:val="taiwaneseCountingThousand"/>
      <w:lvlText w:val="（%1）"/>
      <w:lvlJc w:val="left"/>
      <w:pPr>
        <w:ind w:left="1248" w:hanging="480"/>
      </w:pPr>
      <w:rPr>
        <w:rFonts w:hint="eastAsia"/>
        <w:color w:val="auto"/>
        <w:sz w:val="24"/>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23">
    <w:nsid w:val="53EA052D"/>
    <w:multiLevelType w:val="hybridMultilevel"/>
    <w:tmpl w:val="76BA3CE8"/>
    <w:lvl w:ilvl="0" w:tplc="D5269DA0">
      <w:start w:val="1"/>
      <w:numFmt w:val="taiwaneseCountingThousand"/>
      <w:lvlText w:val="（%1）"/>
      <w:lvlJc w:val="left"/>
      <w:pPr>
        <w:ind w:left="454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4783FC5"/>
    <w:multiLevelType w:val="hybridMultilevel"/>
    <w:tmpl w:val="59D264DC"/>
    <w:lvl w:ilvl="0" w:tplc="CACC76DE">
      <w:start w:val="1"/>
      <w:numFmt w:val="taiwaneseCountingThousand"/>
      <w:lvlText w:val="（%1）"/>
      <w:lvlJc w:val="left"/>
      <w:pPr>
        <w:ind w:left="48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EB4D19"/>
    <w:multiLevelType w:val="hybridMultilevel"/>
    <w:tmpl w:val="157A6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D804E6B"/>
    <w:multiLevelType w:val="hybridMultilevel"/>
    <w:tmpl w:val="44C49146"/>
    <w:lvl w:ilvl="0" w:tplc="92AEAD0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7">
    <w:nsid w:val="5F1B4A54"/>
    <w:multiLevelType w:val="hybridMultilevel"/>
    <w:tmpl w:val="87DC8C8C"/>
    <w:lvl w:ilvl="0" w:tplc="F2985DE6">
      <w:start w:val="1"/>
      <w:numFmt w:val="taiwaneseCountingThousand"/>
      <w:lvlText w:val="（%1）"/>
      <w:lvlJc w:val="left"/>
      <w:pPr>
        <w:ind w:left="769" w:hanging="480"/>
      </w:pPr>
      <w:rPr>
        <w:rFonts w:hint="eastAsia"/>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1EF50BE"/>
    <w:multiLevelType w:val="hybridMultilevel"/>
    <w:tmpl w:val="A4D403B4"/>
    <w:lvl w:ilvl="0" w:tplc="5008B506">
      <w:start w:val="1"/>
      <w:numFmt w:val="taiwaneseCountingThousand"/>
      <w:lvlText w:val="（%1）"/>
      <w:lvlJc w:val="left"/>
      <w:pPr>
        <w:ind w:left="769" w:hanging="480"/>
      </w:pPr>
      <w:rPr>
        <w:rFonts w:hint="eastAsia"/>
        <w:color w:val="auto"/>
        <w:sz w:val="24"/>
      </w:rPr>
    </w:lvl>
    <w:lvl w:ilvl="1" w:tplc="04090019" w:tentative="1">
      <w:start w:val="1"/>
      <w:numFmt w:val="ideographTraditional"/>
      <w:lvlText w:val="%2、"/>
      <w:lvlJc w:val="left"/>
      <w:pPr>
        <w:ind w:left="1249" w:hanging="480"/>
      </w:pPr>
    </w:lvl>
    <w:lvl w:ilvl="2" w:tplc="0409001B" w:tentative="1">
      <w:start w:val="1"/>
      <w:numFmt w:val="lowerRoman"/>
      <w:lvlText w:val="%3."/>
      <w:lvlJc w:val="right"/>
      <w:pPr>
        <w:ind w:left="1729" w:hanging="480"/>
      </w:pPr>
    </w:lvl>
    <w:lvl w:ilvl="3" w:tplc="0409000F" w:tentative="1">
      <w:start w:val="1"/>
      <w:numFmt w:val="decimal"/>
      <w:lvlText w:val="%4."/>
      <w:lvlJc w:val="left"/>
      <w:pPr>
        <w:ind w:left="2209" w:hanging="480"/>
      </w:pPr>
    </w:lvl>
    <w:lvl w:ilvl="4" w:tplc="04090019" w:tentative="1">
      <w:start w:val="1"/>
      <w:numFmt w:val="ideographTraditional"/>
      <w:lvlText w:val="%5、"/>
      <w:lvlJc w:val="left"/>
      <w:pPr>
        <w:ind w:left="2689" w:hanging="480"/>
      </w:pPr>
    </w:lvl>
    <w:lvl w:ilvl="5" w:tplc="0409001B" w:tentative="1">
      <w:start w:val="1"/>
      <w:numFmt w:val="lowerRoman"/>
      <w:lvlText w:val="%6."/>
      <w:lvlJc w:val="right"/>
      <w:pPr>
        <w:ind w:left="3169" w:hanging="480"/>
      </w:pPr>
    </w:lvl>
    <w:lvl w:ilvl="6" w:tplc="0409000F" w:tentative="1">
      <w:start w:val="1"/>
      <w:numFmt w:val="decimal"/>
      <w:lvlText w:val="%7."/>
      <w:lvlJc w:val="left"/>
      <w:pPr>
        <w:ind w:left="3649" w:hanging="480"/>
      </w:pPr>
    </w:lvl>
    <w:lvl w:ilvl="7" w:tplc="04090019" w:tentative="1">
      <w:start w:val="1"/>
      <w:numFmt w:val="ideographTraditional"/>
      <w:lvlText w:val="%8、"/>
      <w:lvlJc w:val="left"/>
      <w:pPr>
        <w:ind w:left="4129" w:hanging="480"/>
      </w:pPr>
    </w:lvl>
    <w:lvl w:ilvl="8" w:tplc="0409001B" w:tentative="1">
      <w:start w:val="1"/>
      <w:numFmt w:val="lowerRoman"/>
      <w:lvlText w:val="%9."/>
      <w:lvlJc w:val="right"/>
      <w:pPr>
        <w:ind w:left="4609" w:hanging="480"/>
      </w:pPr>
    </w:lvl>
  </w:abstractNum>
  <w:abstractNum w:abstractNumId="29">
    <w:nsid w:val="660B6F08"/>
    <w:multiLevelType w:val="hybridMultilevel"/>
    <w:tmpl w:val="A650C690"/>
    <w:lvl w:ilvl="0" w:tplc="58A08EB2">
      <w:start w:val="2"/>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30">
    <w:nsid w:val="670E4DF0"/>
    <w:multiLevelType w:val="hybridMultilevel"/>
    <w:tmpl w:val="CCF464BE"/>
    <w:lvl w:ilvl="0" w:tplc="A094B6D6">
      <w:start w:val="1"/>
      <w:numFmt w:val="taiwaneseCountingThousand"/>
      <w:lvlText w:val="%1、"/>
      <w:lvlJc w:val="left"/>
      <w:pPr>
        <w:ind w:left="996" w:hanging="720"/>
      </w:pPr>
      <w:rPr>
        <w:rFonts w:hint="default"/>
      </w:rPr>
    </w:lvl>
    <w:lvl w:ilvl="1" w:tplc="04090019">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31">
    <w:nsid w:val="673A6FD5"/>
    <w:multiLevelType w:val="hybridMultilevel"/>
    <w:tmpl w:val="666235D6"/>
    <w:lvl w:ilvl="0" w:tplc="DDBACB88">
      <w:start w:val="1"/>
      <w:numFmt w:val="decimal"/>
      <w:lvlText w:val="%1."/>
      <w:lvlJc w:val="left"/>
      <w:pPr>
        <w:tabs>
          <w:tab w:val="num" w:pos="-88"/>
        </w:tabs>
        <w:ind w:left="960" w:hanging="480"/>
      </w:pPr>
      <w:rPr>
        <w:rFonts w:hint="eastAsia"/>
        <w:sz w:val="28"/>
      </w:rPr>
    </w:lvl>
    <w:lvl w:ilvl="1" w:tplc="04090019" w:tentative="1">
      <w:start w:val="1"/>
      <w:numFmt w:val="ideographTraditional"/>
      <w:lvlText w:val="%2、"/>
      <w:lvlJc w:val="left"/>
      <w:pPr>
        <w:tabs>
          <w:tab w:val="num" w:pos="874"/>
        </w:tabs>
        <w:ind w:left="874" w:hanging="480"/>
      </w:pPr>
      <w:rPr>
        <w:rFonts w:cs="Times New Roman"/>
      </w:rPr>
    </w:lvl>
    <w:lvl w:ilvl="2" w:tplc="0409001B" w:tentative="1">
      <w:start w:val="1"/>
      <w:numFmt w:val="lowerRoman"/>
      <w:lvlText w:val="%3."/>
      <w:lvlJc w:val="right"/>
      <w:pPr>
        <w:tabs>
          <w:tab w:val="num" w:pos="1354"/>
        </w:tabs>
        <w:ind w:left="1354" w:hanging="480"/>
      </w:pPr>
      <w:rPr>
        <w:rFonts w:cs="Times New Roman"/>
      </w:rPr>
    </w:lvl>
    <w:lvl w:ilvl="3" w:tplc="0409000F" w:tentative="1">
      <w:start w:val="1"/>
      <w:numFmt w:val="decimal"/>
      <w:lvlText w:val="%4."/>
      <w:lvlJc w:val="left"/>
      <w:pPr>
        <w:tabs>
          <w:tab w:val="num" w:pos="1834"/>
        </w:tabs>
        <w:ind w:left="1834" w:hanging="480"/>
      </w:pPr>
      <w:rPr>
        <w:rFonts w:cs="Times New Roman"/>
      </w:rPr>
    </w:lvl>
    <w:lvl w:ilvl="4" w:tplc="04090019" w:tentative="1">
      <w:start w:val="1"/>
      <w:numFmt w:val="ideographTraditional"/>
      <w:lvlText w:val="%5、"/>
      <w:lvlJc w:val="left"/>
      <w:pPr>
        <w:tabs>
          <w:tab w:val="num" w:pos="2314"/>
        </w:tabs>
        <w:ind w:left="2314" w:hanging="480"/>
      </w:pPr>
      <w:rPr>
        <w:rFonts w:cs="Times New Roman"/>
      </w:rPr>
    </w:lvl>
    <w:lvl w:ilvl="5" w:tplc="0409001B" w:tentative="1">
      <w:start w:val="1"/>
      <w:numFmt w:val="lowerRoman"/>
      <w:lvlText w:val="%6."/>
      <w:lvlJc w:val="right"/>
      <w:pPr>
        <w:tabs>
          <w:tab w:val="num" w:pos="2794"/>
        </w:tabs>
        <w:ind w:left="2794" w:hanging="480"/>
      </w:pPr>
      <w:rPr>
        <w:rFonts w:cs="Times New Roman"/>
      </w:rPr>
    </w:lvl>
    <w:lvl w:ilvl="6" w:tplc="0409000F" w:tentative="1">
      <w:start w:val="1"/>
      <w:numFmt w:val="decimal"/>
      <w:lvlText w:val="%7."/>
      <w:lvlJc w:val="left"/>
      <w:pPr>
        <w:tabs>
          <w:tab w:val="num" w:pos="3274"/>
        </w:tabs>
        <w:ind w:left="3274" w:hanging="480"/>
      </w:pPr>
      <w:rPr>
        <w:rFonts w:cs="Times New Roman"/>
      </w:rPr>
    </w:lvl>
    <w:lvl w:ilvl="7" w:tplc="04090019" w:tentative="1">
      <w:start w:val="1"/>
      <w:numFmt w:val="ideographTraditional"/>
      <w:lvlText w:val="%8、"/>
      <w:lvlJc w:val="left"/>
      <w:pPr>
        <w:tabs>
          <w:tab w:val="num" w:pos="3754"/>
        </w:tabs>
        <w:ind w:left="3754" w:hanging="480"/>
      </w:pPr>
      <w:rPr>
        <w:rFonts w:cs="Times New Roman"/>
      </w:rPr>
    </w:lvl>
    <w:lvl w:ilvl="8" w:tplc="0409001B" w:tentative="1">
      <w:start w:val="1"/>
      <w:numFmt w:val="lowerRoman"/>
      <w:lvlText w:val="%9."/>
      <w:lvlJc w:val="right"/>
      <w:pPr>
        <w:tabs>
          <w:tab w:val="num" w:pos="4234"/>
        </w:tabs>
        <w:ind w:left="4234" w:hanging="480"/>
      </w:pPr>
      <w:rPr>
        <w:rFonts w:cs="Times New Roman"/>
      </w:rPr>
    </w:lvl>
  </w:abstractNum>
  <w:abstractNum w:abstractNumId="32">
    <w:nsid w:val="68D45999"/>
    <w:multiLevelType w:val="hybridMultilevel"/>
    <w:tmpl w:val="2686320E"/>
    <w:lvl w:ilvl="0" w:tplc="1780FE3A">
      <w:start w:val="1"/>
      <w:numFmt w:val="taiwaneseCountingThousand"/>
      <w:lvlText w:val="（%1）"/>
      <w:lvlJc w:val="left"/>
      <w:pPr>
        <w:ind w:left="1300" w:hanging="720"/>
      </w:pPr>
      <w:rPr>
        <w:rFonts w:hint="eastAsia"/>
        <w:color w:val="auto"/>
      </w:rPr>
    </w:lvl>
    <w:lvl w:ilvl="1" w:tplc="04090019">
      <w:start w:val="1"/>
      <w:numFmt w:val="ideographTraditional"/>
      <w:lvlText w:val="%2、"/>
      <w:lvlJc w:val="left"/>
      <w:pPr>
        <w:ind w:left="1540" w:hanging="480"/>
      </w:pPr>
    </w:lvl>
    <w:lvl w:ilvl="2" w:tplc="0409001B" w:tentative="1">
      <w:start w:val="1"/>
      <w:numFmt w:val="lowerRoman"/>
      <w:lvlText w:val="%3."/>
      <w:lvlJc w:val="right"/>
      <w:pPr>
        <w:ind w:left="2020" w:hanging="480"/>
      </w:pPr>
    </w:lvl>
    <w:lvl w:ilvl="3" w:tplc="0409000F" w:tentative="1">
      <w:start w:val="1"/>
      <w:numFmt w:val="decimal"/>
      <w:lvlText w:val="%4."/>
      <w:lvlJc w:val="left"/>
      <w:pPr>
        <w:ind w:left="2500" w:hanging="480"/>
      </w:pPr>
    </w:lvl>
    <w:lvl w:ilvl="4" w:tplc="04090019" w:tentative="1">
      <w:start w:val="1"/>
      <w:numFmt w:val="ideographTraditional"/>
      <w:lvlText w:val="%5、"/>
      <w:lvlJc w:val="left"/>
      <w:pPr>
        <w:ind w:left="2980" w:hanging="480"/>
      </w:pPr>
    </w:lvl>
    <w:lvl w:ilvl="5" w:tplc="0409001B" w:tentative="1">
      <w:start w:val="1"/>
      <w:numFmt w:val="lowerRoman"/>
      <w:lvlText w:val="%6."/>
      <w:lvlJc w:val="right"/>
      <w:pPr>
        <w:ind w:left="3460" w:hanging="480"/>
      </w:pPr>
    </w:lvl>
    <w:lvl w:ilvl="6" w:tplc="0409000F" w:tentative="1">
      <w:start w:val="1"/>
      <w:numFmt w:val="decimal"/>
      <w:lvlText w:val="%7."/>
      <w:lvlJc w:val="left"/>
      <w:pPr>
        <w:ind w:left="3940" w:hanging="480"/>
      </w:pPr>
    </w:lvl>
    <w:lvl w:ilvl="7" w:tplc="04090019" w:tentative="1">
      <w:start w:val="1"/>
      <w:numFmt w:val="ideographTraditional"/>
      <w:lvlText w:val="%8、"/>
      <w:lvlJc w:val="left"/>
      <w:pPr>
        <w:ind w:left="4420" w:hanging="480"/>
      </w:pPr>
    </w:lvl>
    <w:lvl w:ilvl="8" w:tplc="0409001B" w:tentative="1">
      <w:start w:val="1"/>
      <w:numFmt w:val="lowerRoman"/>
      <w:lvlText w:val="%9."/>
      <w:lvlJc w:val="right"/>
      <w:pPr>
        <w:ind w:left="4900" w:hanging="480"/>
      </w:pPr>
    </w:lvl>
  </w:abstractNum>
  <w:abstractNum w:abstractNumId="33">
    <w:nsid w:val="695357EC"/>
    <w:multiLevelType w:val="hybridMultilevel"/>
    <w:tmpl w:val="63705D06"/>
    <w:lvl w:ilvl="0" w:tplc="737CCB46">
      <w:start w:val="3"/>
      <w:numFmt w:val="taiwaneseCountingThousand"/>
      <w:lvlText w:val="%1、"/>
      <w:lvlJc w:val="left"/>
      <w:pPr>
        <w:ind w:left="99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742A0B"/>
    <w:multiLevelType w:val="hybridMultilevel"/>
    <w:tmpl w:val="D5A49A38"/>
    <w:lvl w:ilvl="0" w:tplc="EA7EA6CC">
      <w:start w:val="1"/>
      <w:numFmt w:val="decimal"/>
      <w:lvlText w:val="%1."/>
      <w:lvlJc w:val="left"/>
      <w:pPr>
        <w:ind w:left="1407" w:hanging="480"/>
      </w:pPr>
      <w:rPr>
        <w:rFonts w:eastAsia="標楷體" w:hint="eastAsia"/>
        <w:sz w:val="24"/>
        <w:szCs w:val="24"/>
      </w:rPr>
    </w:lvl>
    <w:lvl w:ilvl="1" w:tplc="04090003" w:tentative="1">
      <w:start w:val="1"/>
      <w:numFmt w:val="bullet"/>
      <w:lvlText w:val=""/>
      <w:lvlJc w:val="left"/>
      <w:pPr>
        <w:ind w:left="1887" w:hanging="480"/>
      </w:pPr>
      <w:rPr>
        <w:rFonts w:ascii="Wingdings" w:hAnsi="Wingdings" w:hint="default"/>
      </w:rPr>
    </w:lvl>
    <w:lvl w:ilvl="2" w:tplc="04090005" w:tentative="1">
      <w:start w:val="1"/>
      <w:numFmt w:val="bullet"/>
      <w:lvlText w:val=""/>
      <w:lvlJc w:val="left"/>
      <w:pPr>
        <w:ind w:left="2367" w:hanging="480"/>
      </w:pPr>
      <w:rPr>
        <w:rFonts w:ascii="Wingdings" w:hAnsi="Wingdings" w:hint="default"/>
      </w:rPr>
    </w:lvl>
    <w:lvl w:ilvl="3" w:tplc="04090001" w:tentative="1">
      <w:start w:val="1"/>
      <w:numFmt w:val="bullet"/>
      <w:lvlText w:val=""/>
      <w:lvlJc w:val="left"/>
      <w:pPr>
        <w:ind w:left="2847" w:hanging="480"/>
      </w:pPr>
      <w:rPr>
        <w:rFonts w:ascii="Wingdings" w:hAnsi="Wingdings" w:hint="default"/>
      </w:rPr>
    </w:lvl>
    <w:lvl w:ilvl="4" w:tplc="04090003" w:tentative="1">
      <w:start w:val="1"/>
      <w:numFmt w:val="bullet"/>
      <w:lvlText w:val=""/>
      <w:lvlJc w:val="left"/>
      <w:pPr>
        <w:ind w:left="3327" w:hanging="480"/>
      </w:pPr>
      <w:rPr>
        <w:rFonts w:ascii="Wingdings" w:hAnsi="Wingdings" w:hint="default"/>
      </w:rPr>
    </w:lvl>
    <w:lvl w:ilvl="5" w:tplc="04090005" w:tentative="1">
      <w:start w:val="1"/>
      <w:numFmt w:val="bullet"/>
      <w:lvlText w:val=""/>
      <w:lvlJc w:val="left"/>
      <w:pPr>
        <w:ind w:left="3807" w:hanging="480"/>
      </w:pPr>
      <w:rPr>
        <w:rFonts w:ascii="Wingdings" w:hAnsi="Wingdings" w:hint="default"/>
      </w:rPr>
    </w:lvl>
    <w:lvl w:ilvl="6" w:tplc="04090001" w:tentative="1">
      <w:start w:val="1"/>
      <w:numFmt w:val="bullet"/>
      <w:lvlText w:val=""/>
      <w:lvlJc w:val="left"/>
      <w:pPr>
        <w:ind w:left="4287" w:hanging="480"/>
      </w:pPr>
      <w:rPr>
        <w:rFonts w:ascii="Wingdings" w:hAnsi="Wingdings" w:hint="default"/>
      </w:rPr>
    </w:lvl>
    <w:lvl w:ilvl="7" w:tplc="04090003" w:tentative="1">
      <w:start w:val="1"/>
      <w:numFmt w:val="bullet"/>
      <w:lvlText w:val=""/>
      <w:lvlJc w:val="left"/>
      <w:pPr>
        <w:ind w:left="4767" w:hanging="480"/>
      </w:pPr>
      <w:rPr>
        <w:rFonts w:ascii="Wingdings" w:hAnsi="Wingdings" w:hint="default"/>
      </w:rPr>
    </w:lvl>
    <w:lvl w:ilvl="8" w:tplc="04090005" w:tentative="1">
      <w:start w:val="1"/>
      <w:numFmt w:val="bullet"/>
      <w:lvlText w:val=""/>
      <w:lvlJc w:val="left"/>
      <w:pPr>
        <w:ind w:left="5247" w:hanging="480"/>
      </w:pPr>
      <w:rPr>
        <w:rFonts w:ascii="Wingdings" w:hAnsi="Wingdings" w:hint="default"/>
      </w:rPr>
    </w:lvl>
  </w:abstractNum>
  <w:abstractNum w:abstractNumId="35">
    <w:nsid w:val="754C35CF"/>
    <w:multiLevelType w:val="hybridMultilevel"/>
    <w:tmpl w:val="01D210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623701F"/>
    <w:multiLevelType w:val="hybridMultilevel"/>
    <w:tmpl w:val="4CF01566"/>
    <w:lvl w:ilvl="0" w:tplc="A094B6D6">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7">
    <w:nsid w:val="79063F31"/>
    <w:multiLevelType w:val="hybridMultilevel"/>
    <w:tmpl w:val="11DA2562"/>
    <w:lvl w:ilvl="0" w:tplc="2E34F5DE">
      <w:start w:val="1"/>
      <w:numFmt w:val="taiwaneseCountingThousand"/>
      <w:lvlText w:val="%1、"/>
      <w:lvlJc w:val="left"/>
      <w:pPr>
        <w:ind w:left="1047" w:hanging="480"/>
      </w:pPr>
      <w:rPr>
        <w:rFonts w:eastAsia="標楷體" w:hint="eastAsia"/>
        <w:b/>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nsid w:val="79145708"/>
    <w:multiLevelType w:val="hybridMultilevel"/>
    <w:tmpl w:val="30F2146A"/>
    <w:lvl w:ilvl="0" w:tplc="A094B6D6">
      <w:start w:val="1"/>
      <w:numFmt w:val="taiwaneseCountingThousand"/>
      <w:lvlText w:val="%1、"/>
      <w:lvlJc w:val="left"/>
      <w:pPr>
        <w:ind w:left="996" w:hanging="720"/>
      </w:pPr>
      <w:rPr>
        <w:rFonts w:hint="default"/>
      </w:rPr>
    </w:lvl>
    <w:lvl w:ilvl="1" w:tplc="1780FE3A">
      <w:start w:val="1"/>
      <w:numFmt w:val="taiwaneseCountingThousand"/>
      <w:lvlText w:val="（%2）"/>
      <w:lvlJc w:val="left"/>
      <w:pPr>
        <w:ind w:left="1236" w:hanging="480"/>
      </w:pPr>
      <w:rPr>
        <w:rFonts w:hint="eastAsia"/>
        <w:color w:val="auto"/>
      </w:r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39">
    <w:nsid w:val="7A2B0942"/>
    <w:multiLevelType w:val="hybridMultilevel"/>
    <w:tmpl w:val="44480EEC"/>
    <w:lvl w:ilvl="0" w:tplc="074C6D1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0">
    <w:nsid w:val="7BFB1BB9"/>
    <w:multiLevelType w:val="hybridMultilevel"/>
    <w:tmpl w:val="97DE8C2A"/>
    <w:lvl w:ilvl="0" w:tplc="A094B6D6">
      <w:start w:val="1"/>
      <w:numFmt w:val="taiwaneseCountingThousand"/>
      <w:lvlText w:val="%1、"/>
      <w:lvlJc w:val="left"/>
      <w:pPr>
        <w:ind w:left="996" w:hanging="720"/>
      </w:pPr>
      <w:rPr>
        <w:rFonts w:hint="default"/>
      </w:rPr>
    </w:lvl>
    <w:lvl w:ilvl="1" w:tplc="B2DAF4E6">
      <w:start w:val="1"/>
      <w:numFmt w:val="taiwaneseCountingThousand"/>
      <w:lvlText w:val="（%2）"/>
      <w:lvlJc w:val="left"/>
      <w:pPr>
        <w:ind w:left="1236" w:hanging="480"/>
      </w:pPr>
      <w:rPr>
        <w:rFonts w:hint="eastAsia"/>
        <w:color w:val="auto"/>
        <w:sz w:val="24"/>
      </w:rPr>
    </w:lvl>
    <w:lvl w:ilvl="2" w:tplc="0409001B">
      <w:start w:val="1"/>
      <w:numFmt w:val="lowerRoman"/>
      <w:lvlText w:val="%3."/>
      <w:lvlJc w:val="right"/>
      <w:pPr>
        <w:ind w:left="1716" w:hanging="480"/>
      </w:pPr>
    </w:lvl>
    <w:lvl w:ilvl="3" w:tplc="0409000F">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41">
    <w:nsid w:val="7F511576"/>
    <w:multiLevelType w:val="hybridMultilevel"/>
    <w:tmpl w:val="69F2EA2C"/>
    <w:lvl w:ilvl="0" w:tplc="7BC6D31C">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20"/>
  </w:num>
  <w:num w:numId="2">
    <w:abstractNumId w:val="0"/>
  </w:num>
  <w:num w:numId="3">
    <w:abstractNumId w:val="8"/>
  </w:num>
  <w:num w:numId="4">
    <w:abstractNumId w:val="30"/>
  </w:num>
  <w:num w:numId="5">
    <w:abstractNumId w:val="31"/>
  </w:num>
  <w:num w:numId="6">
    <w:abstractNumId w:val="36"/>
  </w:num>
  <w:num w:numId="7">
    <w:abstractNumId w:val="14"/>
  </w:num>
  <w:num w:numId="8">
    <w:abstractNumId w:val="13"/>
  </w:num>
  <w:num w:numId="9">
    <w:abstractNumId w:val="1"/>
  </w:num>
  <w:num w:numId="10">
    <w:abstractNumId w:val="37"/>
  </w:num>
  <w:num w:numId="11">
    <w:abstractNumId w:val="15"/>
  </w:num>
  <w:num w:numId="12">
    <w:abstractNumId w:val="29"/>
  </w:num>
  <w:num w:numId="13">
    <w:abstractNumId w:val="35"/>
  </w:num>
  <w:num w:numId="14">
    <w:abstractNumId w:val="25"/>
  </w:num>
  <w:num w:numId="15">
    <w:abstractNumId w:val="7"/>
  </w:num>
  <w:num w:numId="16">
    <w:abstractNumId w:val="6"/>
  </w:num>
  <w:num w:numId="17">
    <w:abstractNumId w:val="24"/>
  </w:num>
  <w:num w:numId="18">
    <w:abstractNumId w:val="18"/>
  </w:num>
  <w:num w:numId="19">
    <w:abstractNumId w:val="33"/>
  </w:num>
  <w:num w:numId="20">
    <w:abstractNumId w:val="6"/>
    <w:lvlOverride w:ilvl="0">
      <w:lvl w:ilvl="0" w:tplc="A094B6D6">
        <w:start w:val="1"/>
        <w:numFmt w:val="taiwaneseCountingThousand"/>
        <w:lvlText w:val="（%1）"/>
        <w:lvlJc w:val="left"/>
        <w:pPr>
          <w:ind w:left="1236" w:hanging="480"/>
        </w:pPr>
        <w:rPr>
          <w:rFonts w:hint="eastAsia"/>
          <w:color w:val="auto"/>
        </w:rPr>
      </w:lvl>
    </w:lvlOverride>
    <w:lvlOverride w:ilvl="1">
      <w:lvl w:ilvl="1" w:tplc="1780FE3A">
        <w:start w:val="1"/>
        <w:numFmt w:val="ideographTraditional"/>
        <w:lvlText w:val="%2、"/>
        <w:lvlJc w:val="left"/>
        <w:pPr>
          <w:ind w:left="960" w:hanging="480"/>
        </w:pPr>
      </w:lvl>
    </w:lvlOverride>
    <w:lvlOverride w:ilvl="2">
      <w:lvl w:ilvl="2" w:tplc="0409001B"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04090019"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21">
    <w:abstractNumId w:val="38"/>
  </w:num>
  <w:num w:numId="22">
    <w:abstractNumId w:val="39"/>
  </w:num>
  <w:num w:numId="23">
    <w:abstractNumId w:val="19"/>
  </w:num>
  <w:num w:numId="24">
    <w:abstractNumId w:val="34"/>
  </w:num>
  <w:num w:numId="25">
    <w:abstractNumId w:val="3"/>
  </w:num>
  <w:num w:numId="26">
    <w:abstractNumId w:val="17"/>
  </w:num>
  <w:num w:numId="27">
    <w:abstractNumId w:val="4"/>
  </w:num>
  <w:num w:numId="28">
    <w:abstractNumId w:val="28"/>
  </w:num>
  <w:num w:numId="29">
    <w:abstractNumId w:val="22"/>
  </w:num>
  <w:num w:numId="30">
    <w:abstractNumId w:val="27"/>
  </w:num>
  <w:num w:numId="31">
    <w:abstractNumId w:val="2"/>
  </w:num>
  <w:num w:numId="32">
    <w:abstractNumId w:val="5"/>
  </w:num>
  <w:num w:numId="33">
    <w:abstractNumId w:val="21"/>
  </w:num>
  <w:num w:numId="34">
    <w:abstractNumId w:val="23"/>
  </w:num>
  <w:num w:numId="35">
    <w:abstractNumId w:val="12"/>
  </w:num>
  <w:num w:numId="36">
    <w:abstractNumId w:val="41"/>
  </w:num>
  <w:num w:numId="37">
    <w:abstractNumId w:val="10"/>
  </w:num>
  <w:num w:numId="38">
    <w:abstractNumId w:val="9"/>
  </w:num>
  <w:num w:numId="39">
    <w:abstractNumId w:val="26"/>
  </w:num>
  <w:num w:numId="40">
    <w:abstractNumId w:val="16"/>
  </w:num>
  <w:num w:numId="41">
    <w:abstractNumId w:val="32"/>
  </w:num>
  <w:num w:numId="42">
    <w:abstractNumId w:val="11"/>
  </w:num>
  <w:num w:numId="43">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CTIVE" w:val="台灣期貨交易所九十年度研究報告提要表.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0732AD"/>
    <w:rsid w:val="00020D9E"/>
    <w:rsid w:val="00024E3C"/>
    <w:rsid w:val="000251A6"/>
    <w:rsid w:val="000403F0"/>
    <w:rsid w:val="000447F9"/>
    <w:rsid w:val="00052A1B"/>
    <w:rsid w:val="00054C21"/>
    <w:rsid w:val="000619EE"/>
    <w:rsid w:val="00064C64"/>
    <w:rsid w:val="000659B8"/>
    <w:rsid w:val="00066B3B"/>
    <w:rsid w:val="0007113D"/>
    <w:rsid w:val="000720F3"/>
    <w:rsid w:val="000732AD"/>
    <w:rsid w:val="00073A18"/>
    <w:rsid w:val="00074885"/>
    <w:rsid w:val="00084E90"/>
    <w:rsid w:val="0008585A"/>
    <w:rsid w:val="00086797"/>
    <w:rsid w:val="00091910"/>
    <w:rsid w:val="000964B1"/>
    <w:rsid w:val="000A0258"/>
    <w:rsid w:val="000A0331"/>
    <w:rsid w:val="000A0F9B"/>
    <w:rsid w:val="000A1403"/>
    <w:rsid w:val="000A14BC"/>
    <w:rsid w:val="000A4B7F"/>
    <w:rsid w:val="000A670F"/>
    <w:rsid w:val="000B24E6"/>
    <w:rsid w:val="000C494E"/>
    <w:rsid w:val="000C73AE"/>
    <w:rsid w:val="000D0FE5"/>
    <w:rsid w:val="000D1707"/>
    <w:rsid w:val="000D599B"/>
    <w:rsid w:val="000D64E7"/>
    <w:rsid w:val="000D6C00"/>
    <w:rsid w:val="000E2834"/>
    <w:rsid w:val="000E7C16"/>
    <w:rsid w:val="000F0F92"/>
    <w:rsid w:val="000F1AB9"/>
    <w:rsid w:val="0010287D"/>
    <w:rsid w:val="0011611C"/>
    <w:rsid w:val="001173C6"/>
    <w:rsid w:val="001217B7"/>
    <w:rsid w:val="00142A65"/>
    <w:rsid w:val="00145292"/>
    <w:rsid w:val="00146E35"/>
    <w:rsid w:val="00151CB5"/>
    <w:rsid w:val="00153881"/>
    <w:rsid w:val="00160CB7"/>
    <w:rsid w:val="001614D7"/>
    <w:rsid w:val="00166455"/>
    <w:rsid w:val="00166FD7"/>
    <w:rsid w:val="001705FD"/>
    <w:rsid w:val="001720A4"/>
    <w:rsid w:val="001721CC"/>
    <w:rsid w:val="00175D14"/>
    <w:rsid w:val="001833FC"/>
    <w:rsid w:val="00183FD4"/>
    <w:rsid w:val="00187570"/>
    <w:rsid w:val="00195F49"/>
    <w:rsid w:val="001A568C"/>
    <w:rsid w:val="001A615B"/>
    <w:rsid w:val="001A7056"/>
    <w:rsid w:val="001A73EB"/>
    <w:rsid w:val="001A7738"/>
    <w:rsid w:val="001B0A5B"/>
    <w:rsid w:val="001C012C"/>
    <w:rsid w:val="001D0816"/>
    <w:rsid w:val="001D428E"/>
    <w:rsid w:val="001D664F"/>
    <w:rsid w:val="001D7043"/>
    <w:rsid w:val="001E21E3"/>
    <w:rsid w:val="001E4DDF"/>
    <w:rsid w:val="001F4E0A"/>
    <w:rsid w:val="001F56DF"/>
    <w:rsid w:val="002167D1"/>
    <w:rsid w:val="00216A94"/>
    <w:rsid w:val="00222A02"/>
    <w:rsid w:val="00230DAE"/>
    <w:rsid w:val="00256DA3"/>
    <w:rsid w:val="0026019B"/>
    <w:rsid w:val="002601C3"/>
    <w:rsid w:val="00261FED"/>
    <w:rsid w:val="0026261C"/>
    <w:rsid w:val="0027116E"/>
    <w:rsid w:val="00271C15"/>
    <w:rsid w:val="00272604"/>
    <w:rsid w:val="00282F42"/>
    <w:rsid w:val="002836B7"/>
    <w:rsid w:val="002872A2"/>
    <w:rsid w:val="00287C66"/>
    <w:rsid w:val="0029259C"/>
    <w:rsid w:val="00295D0F"/>
    <w:rsid w:val="002967B9"/>
    <w:rsid w:val="002B4AA8"/>
    <w:rsid w:val="002B6E88"/>
    <w:rsid w:val="002D6813"/>
    <w:rsid w:val="002E1956"/>
    <w:rsid w:val="002E3DDD"/>
    <w:rsid w:val="002F3239"/>
    <w:rsid w:val="00307C90"/>
    <w:rsid w:val="00312927"/>
    <w:rsid w:val="003178D4"/>
    <w:rsid w:val="00330947"/>
    <w:rsid w:val="00335DAC"/>
    <w:rsid w:val="00341216"/>
    <w:rsid w:val="00342901"/>
    <w:rsid w:val="00350C4D"/>
    <w:rsid w:val="00366331"/>
    <w:rsid w:val="00372430"/>
    <w:rsid w:val="00376E04"/>
    <w:rsid w:val="003823B7"/>
    <w:rsid w:val="0039029F"/>
    <w:rsid w:val="0039116C"/>
    <w:rsid w:val="003915E0"/>
    <w:rsid w:val="00395BC7"/>
    <w:rsid w:val="003A1668"/>
    <w:rsid w:val="003B39C1"/>
    <w:rsid w:val="003B42C6"/>
    <w:rsid w:val="003B56D3"/>
    <w:rsid w:val="003C3432"/>
    <w:rsid w:val="003C38EC"/>
    <w:rsid w:val="003C3F80"/>
    <w:rsid w:val="003C5B26"/>
    <w:rsid w:val="003E6D95"/>
    <w:rsid w:val="003F2B07"/>
    <w:rsid w:val="003F35AE"/>
    <w:rsid w:val="003F77B0"/>
    <w:rsid w:val="00403879"/>
    <w:rsid w:val="004159BC"/>
    <w:rsid w:val="00416B04"/>
    <w:rsid w:val="00416E74"/>
    <w:rsid w:val="00417132"/>
    <w:rsid w:val="00420D21"/>
    <w:rsid w:val="00421017"/>
    <w:rsid w:val="00444F4F"/>
    <w:rsid w:val="00452742"/>
    <w:rsid w:val="00460C9F"/>
    <w:rsid w:val="00462976"/>
    <w:rsid w:val="00463D22"/>
    <w:rsid w:val="0047198C"/>
    <w:rsid w:val="004772B8"/>
    <w:rsid w:val="0048130D"/>
    <w:rsid w:val="004817A5"/>
    <w:rsid w:val="0048692C"/>
    <w:rsid w:val="00493683"/>
    <w:rsid w:val="004A0E9E"/>
    <w:rsid w:val="004B0696"/>
    <w:rsid w:val="004B5DDA"/>
    <w:rsid w:val="004B6AB6"/>
    <w:rsid w:val="004B7552"/>
    <w:rsid w:val="004B7670"/>
    <w:rsid w:val="004C3E77"/>
    <w:rsid w:val="004C586F"/>
    <w:rsid w:val="004C6BDD"/>
    <w:rsid w:val="004D3152"/>
    <w:rsid w:val="004D4151"/>
    <w:rsid w:val="004E5D8C"/>
    <w:rsid w:val="0050371C"/>
    <w:rsid w:val="00515794"/>
    <w:rsid w:val="00516759"/>
    <w:rsid w:val="005264A7"/>
    <w:rsid w:val="00526752"/>
    <w:rsid w:val="005302D6"/>
    <w:rsid w:val="005337E1"/>
    <w:rsid w:val="00533B47"/>
    <w:rsid w:val="00541F0B"/>
    <w:rsid w:val="00542970"/>
    <w:rsid w:val="00553C77"/>
    <w:rsid w:val="00553D90"/>
    <w:rsid w:val="00557230"/>
    <w:rsid w:val="0056069D"/>
    <w:rsid w:val="005621CB"/>
    <w:rsid w:val="0056778C"/>
    <w:rsid w:val="00577846"/>
    <w:rsid w:val="00583045"/>
    <w:rsid w:val="005A68C1"/>
    <w:rsid w:val="005B10D6"/>
    <w:rsid w:val="005B1492"/>
    <w:rsid w:val="005B14A6"/>
    <w:rsid w:val="005D1CC6"/>
    <w:rsid w:val="005D2027"/>
    <w:rsid w:val="005E6A23"/>
    <w:rsid w:val="00605358"/>
    <w:rsid w:val="00607EED"/>
    <w:rsid w:val="00624ADC"/>
    <w:rsid w:val="00626880"/>
    <w:rsid w:val="00632616"/>
    <w:rsid w:val="006338D7"/>
    <w:rsid w:val="00633B66"/>
    <w:rsid w:val="00640846"/>
    <w:rsid w:val="00640ECD"/>
    <w:rsid w:val="006436F0"/>
    <w:rsid w:val="0064598D"/>
    <w:rsid w:val="0064600C"/>
    <w:rsid w:val="006511AF"/>
    <w:rsid w:val="00652BC7"/>
    <w:rsid w:val="006566DF"/>
    <w:rsid w:val="00656C57"/>
    <w:rsid w:val="00657A89"/>
    <w:rsid w:val="00657A92"/>
    <w:rsid w:val="00657BD8"/>
    <w:rsid w:val="006610DA"/>
    <w:rsid w:val="00665D2F"/>
    <w:rsid w:val="0067047F"/>
    <w:rsid w:val="00670A7C"/>
    <w:rsid w:val="00675470"/>
    <w:rsid w:val="00686E13"/>
    <w:rsid w:val="00697BAB"/>
    <w:rsid w:val="006A0AF4"/>
    <w:rsid w:val="006A73AF"/>
    <w:rsid w:val="006B1F7F"/>
    <w:rsid w:val="006C0E46"/>
    <w:rsid w:val="006C11AD"/>
    <w:rsid w:val="006C72E7"/>
    <w:rsid w:val="006D2961"/>
    <w:rsid w:val="006D47C0"/>
    <w:rsid w:val="006E0793"/>
    <w:rsid w:val="006E21CB"/>
    <w:rsid w:val="006E2B5B"/>
    <w:rsid w:val="006E4BFD"/>
    <w:rsid w:val="006F1897"/>
    <w:rsid w:val="006F3217"/>
    <w:rsid w:val="00706798"/>
    <w:rsid w:val="00716AD0"/>
    <w:rsid w:val="0072244E"/>
    <w:rsid w:val="00723A6C"/>
    <w:rsid w:val="00726D2A"/>
    <w:rsid w:val="00731E27"/>
    <w:rsid w:val="007322AA"/>
    <w:rsid w:val="0073576C"/>
    <w:rsid w:val="00735E3A"/>
    <w:rsid w:val="00742A41"/>
    <w:rsid w:val="00743346"/>
    <w:rsid w:val="007445B8"/>
    <w:rsid w:val="007457E1"/>
    <w:rsid w:val="007465BE"/>
    <w:rsid w:val="00753D9D"/>
    <w:rsid w:val="007601D9"/>
    <w:rsid w:val="00765305"/>
    <w:rsid w:val="007673CE"/>
    <w:rsid w:val="0077312D"/>
    <w:rsid w:val="0077431E"/>
    <w:rsid w:val="00774484"/>
    <w:rsid w:val="00780397"/>
    <w:rsid w:val="00782001"/>
    <w:rsid w:val="007837BB"/>
    <w:rsid w:val="00792DE8"/>
    <w:rsid w:val="007A16C7"/>
    <w:rsid w:val="007A4A31"/>
    <w:rsid w:val="007A6B22"/>
    <w:rsid w:val="007B0178"/>
    <w:rsid w:val="007B21FE"/>
    <w:rsid w:val="007B321D"/>
    <w:rsid w:val="007B6362"/>
    <w:rsid w:val="007C0350"/>
    <w:rsid w:val="007C3347"/>
    <w:rsid w:val="007C5824"/>
    <w:rsid w:val="007C77A9"/>
    <w:rsid w:val="007D0837"/>
    <w:rsid w:val="007D0AA2"/>
    <w:rsid w:val="007D3314"/>
    <w:rsid w:val="007D510D"/>
    <w:rsid w:val="007E1D09"/>
    <w:rsid w:val="008041CB"/>
    <w:rsid w:val="00811B4F"/>
    <w:rsid w:val="008143D5"/>
    <w:rsid w:val="008223F7"/>
    <w:rsid w:val="00823B8A"/>
    <w:rsid w:val="00830575"/>
    <w:rsid w:val="0084084E"/>
    <w:rsid w:val="00846333"/>
    <w:rsid w:val="0085017F"/>
    <w:rsid w:val="00854CB2"/>
    <w:rsid w:val="00855F11"/>
    <w:rsid w:val="0086460F"/>
    <w:rsid w:val="008715F2"/>
    <w:rsid w:val="00872A73"/>
    <w:rsid w:val="0087468F"/>
    <w:rsid w:val="00877633"/>
    <w:rsid w:val="00877B5D"/>
    <w:rsid w:val="00884310"/>
    <w:rsid w:val="00896A37"/>
    <w:rsid w:val="008A1504"/>
    <w:rsid w:val="008A5289"/>
    <w:rsid w:val="008C1F6D"/>
    <w:rsid w:val="008C5FE2"/>
    <w:rsid w:val="008C6CC4"/>
    <w:rsid w:val="008D2343"/>
    <w:rsid w:val="008E210C"/>
    <w:rsid w:val="008E453B"/>
    <w:rsid w:val="008F033B"/>
    <w:rsid w:val="008F1824"/>
    <w:rsid w:val="008F2841"/>
    <w:rsid w:val="008F45B5"/>
    <w:rsid w:val="008F7AB2"/>
    <w:rsid w:val="00900C67"/>
    <w:rsid w:val="00915FAE"/>
    <w:rsid w:val="00923B81"/>
    <w:rsid w:val="009275C8"/>
    <w:rsid w:val="009303EA"/>
    <w:rsid w:val="00930E47"/>
    <w:rsid w:val="00934D68"/>
    <w:rsid w:val="009352A8"/>
    <w:rsid w:val="00937DC0"/>
    <w:rsid w:val="009410EE"/>
    <w:rsid w:val="00941136"/>
    <w:rsid w:val="00943B1A"/>
    <w:rsid w:val="00951DC7"/>
    <w:rsid w:val="00955154"/>
    <w:rsid w:val="00962F34"/>
    <w:rsid w:val="00965047"/>
    <w:rsid w:val="00974F3D"/>
    <w:rsid w:val="00977F7A"/>
    <w:rsid w:val="00981AD4"/>
    <w:rsid w:val="009913E2"/>
    <w:rsid w:val="009940C1"/>
    <w:rsid w:val="009955B9"/>
    <w:rsid w:val="0099623D"/>
    <w:rsid w:val="00997944"/>
    <w:rsid w:val="009A4128"/>
    <w:rsid w:val="009A75E1"/>
    <w:rsid w:val="009B0344"/>
    <w:rsid w:val="009B6125"/>
    <w:rsid w:val="009B790B"/>
    <w:rsid w:val="009B7DEA"/>
    <w:rsid w:val="009C121F"/>
    <w:rsid w:val="009C4934"/>
    <w:rsid w:val="009C760D"/>
    <w:rsid w:val="009D1AF1"/>
    <w:rsid w:val="009D45E0"/>
    <w:rsid w:val="009E7F9A"/>
    <w:rsid w:val="009F11DF"/>
    <w:rsid w:val="00A016F1"/>
    <w:rsid w:val="00A11A35"/>
    <w:rsid w:val="00A1280D"/>
    <w:rsid w:val="00A201E5"/>
    <w:rsid w:val="00A23AB9"/>
    <w:rsid w:val="00A35ED5"/>
    <w:rsid w:val="00A424CD"/>
    <w:rsid w:val="00A425DD"/>
    <w:rsid w:val="00A56049"/>
    <w:rsid w:val="00A57829"/>
    <w:rsid w:val="00A65F3A"/>
    <w:rsid w:val="00A804FA"/>
    <w:rsid w:val="00A8588A"/>
    <w:rsid w:val="00A921BA"/>
    <w:rsid w:val="00A966C3"/>
    <w:rsid w:val="00AA05BE"/>
    <w:rsid w:val="00AA5A17"/>
    <w:rsid w:val="00AA6EB9"/>
    <w:rsid w:val="00AA71D5"/>
    <w:rsid w:val="00AB0153"/>
    <w:rsid w:val="00AB17EF"/>
    <w:rsid w:val="00AB5201"/>
    <w:rsid w:val="00AB717E"/>
    <w:rsid w:val="00AC11C0"/>
    <w:rsid w:val="00AD0C9C"/>
    <w:rsid w:val="00AE2489"/>
    <w:rsid w:val="00AE6E48"/>
    <w:rsid w:val="00AF0E68"/>
    <w:rsid w:val="00AF2D4D"/>
    <w:rsid w:val="00B00A34"/>
    <w:rsid w:val="00B00FCD"/>
    <w:rsid w:val="00B03BD2"/>
    <w:rsid w:val="00B03CC9"/>
    <w:rsid w:val="00B125EF"/>
    <w:rsid w:val="00B12B7E"/>
    <w:rsid w:val="00B1463F"/>
    <w:rsid w:val="00B15F87"/>
    <w:rsid w:val="00B25527"/>
    <w:rsid w:val="00B25948"/>
    <w:rsid w:val="00B27801"/>
    <w:rsid w:val="00B30E6A"/>
    <w:rsid w:val="00B32536"/>
    <w:rsid w:val="00B32EF1"/>
    <w:rsid w:val="00B41289"/>
    <w:rsid w:val="00B44164"/>
    <w:rsid w:val="00B45EF0"/>
    <w:rsid w:val="00B54AF0"/>
    <w:rsid w:val="00B60BDE"/>
    <w:rsid w:val="00B67646"/>
    <w:rsid w:val="00B73291"/>
    <w:rsid w:val="00B74750"/>
    <w:rsid w:val="00B77E51"/>
    <w:rsid w:val="00B80179"/>
    <w:rsid w:val="00B82D88"/>
    <w:rsid w:val="00B91BA8"/>
    <w:rsid w:val="00BA1A62"/>
    <w:rsid w:val="00BA2AB4"/>
    <w:rsid w:val="00BB11E7"/>
    <w:rsid w:val="00BB2CC0"/>
    <w:rsid w:val="00BB55D0"/>
    <w:rsid w:val="00BC0EF4"/>
    <w:rsid w:val="00BC46C5"/>
    <w:rsid w:val="00BC6FB9"/>
    <w:rsid w:val="00BD5416"/>
    <w:rsid w:val="00BE5676"/>
    <w:rsid w:val="00BE5755"/>
    <w:rsid w:val="00BE66D3"/>
    <w:rsid w:val="00BE7D77"/>
    <w:rsid w:val="00BF399B"/>
    <w:rsid w:val="00BF48E1"/>
    <w:rsid w:val="00BF6089"/>
    <w:rsid w:val="00C00855"/>
    <w:rsid w:val="00C06BDB"/>
    <w:rsid w:val="00C20547"/>
    <w:rsid w:val="00C22EA5"/>
    <w:rsid w:val="00C348D8"/>
    <w:rsid w:val="00C44933"/>
    <w:rsid w:val="00C45714"/>
    <w:rsid w:val="00C54E9F"/>
    <w:rsid w:val="00C616BD"/>
    <w:rsid w:val="00C724D3"/>
    <w:rsid w:val="00C72EF4"/>
    <w:rsid w:val="00C81018"/>
    <w:rsid w:val="00C81816"/>
    <w:rsid w:val="00C825D5"/>
    <w:rsid w:val="00C85683"/>
    <w:rsid w:val="00C87AE4"/>
    <w:rsid w:val="00C91752"/>
    <w:rsid w:val="00CA745D"/>
    <w:rsid w:val="00CB1532"/>
    <w:rsid w:val="00CB7B6D"/>
    <w:rsid w:val="00CC296A"/>
    <w:rsid w:val="00CD1355"/>
    <w:rsid w:val="00CD4972"/>
    <w:rsid w:val="00CD6CCC"/>
    <w:rsid w:val="00CE06CB"/>
    <w:rsid w:val="00CE0F6E"/>
    <w:rsid w:val="00CF1E59"/>
    <w:rsid w:val="00CF6AB0"/>
    <w:rsid w:val="00D10B3D"/>
    <w:rsid w:val="00D11B81"/>
    <w:rsid w:val="00D15446"/>
    <w:rsid w:val="00D21ED0"/>
    <w:rsid w:val="00D5178B"/>
    <w:rsid w:val="00D64C8B"/>
    <w:rsid w:val="00D67D90"/>
    <w:rsid w:val="00D70378"/>
    <w:rsid w:val="00D75CF3"/>
    <w:rsid w:val="00DA3EC8"/>
    <w:rsid w:val="00DA48A6"/>
    <w:rsid w:val="00DB3550"/>
    <w:rsid w:val="00DB5BE8"/>
    <w:rsid w:val="00DB7DA0"/>
    <w:rsid w:val="00DC1517"/>
    <w:rsid w:val="00DC3672"/>
    <w:rsid w:val="00DE1048"/>
    <w:rsid w:val="00DF1627"/>
    <w:rsid w:val="00DF5171"/>
    <w:rsid w:val="00DF6635"/>
    <w:rsid w:val="00DF7815"/>
    <w:rsid w:val="00E04398"/>
    <w:rsid w:val="00E05A8C"/>
    <w:rsid w:val="00E12FF5"/>
    <w:rsid w:val="00E13284"/>
    <w:rsid w:val="00E13D33"/>
    <w:rsid w:val="00E14E54"/>
    <w:rsid w:val="00E15F5B"/>
    <w:rsid w:val="00E20F56"/>
    <w:rsid w:val="00E2795B"/>
    <w:rsid w:val="00E32986"/>
    <w:rsid w:val="00E35063"/>
    <w:rsid w:val="00E36864"/>
    <w:rsid w:val="00E50B49"/>
    <w:rsid w:val="00E51DCC"/>
    <w:rsid w:val="00E55131"/>
    <w:rsid w:val="00E618B5"/>
    <w:rsid w:val="00E61DF2"/>
    <w:rsid w:val="00E62122"/>
    <w:rsid w:val="00E64553"/>
    <w:rsid w:val="00E646ED"/>
    <w:rsid w:val="00E712B9"/>
    <w:rsid w:val="00E72DC2"/>
    <w:rsid w:val="00E73591"/>
    <w:rsid w:val="00E73A27"/>
    <w:rsid w:val="00E740A2"/>
    <w:rsid w:val="00E74572"/>
    <w:rsid w:val="00E746A8"/>
    <w:rsid w:val="00E7569B"/>
    <w:rsid w:val="00E7717E"/>
    <w:rsid w:val="00E80F8B"/>
    <w:rsid w:val="00E83159"/>
    <w:rsid w:val="00E929B4"/>
    <w:rsid w:val="00E95505"/>
    <w:rsid w:val="00EA18A0"/>
    <w:rsid w:val="00EA49C6"/>
    <w:rsid w:val="00EA4A00"/>
    <w:rsid w:val="00EB034D"/>
    <w:rsid w:val="00EB19D7"/>
    <w:rsid w:val="00EB4416"/>
    <w:rsid w:val="00EC7B78"/>
    <w:rsid w:val="00ED1AC9"/>
    <w:rsid w:val="00ED4E01"/>
    <w:rsid w:val="00ED6579"/>
    <w:rsid w:val="00EF1FB6"/>
    <w:rsid w:val="00EF3FA7"/>
    <w:rsid w:val="00EF5E14"/>
    <w:rsid w:val="00F008CE"/>
    <w:rsid w:val="00F0357B"/>
    <w:rsid w:val="00F06D6E"/>
    <w:rsid w:val="00F07625"/>
    <w:rsid w:val="00F11D10"/>
    <w:rsid w:val="00F172A9"/>
    <w:rsid w:val="00F17B33"/>
    <w:rsid w:val="00F21C7E"/>
    <w:rsid w:val="00F25AA3"/>
    <w:rsid w:val="00F3628A"/>
    <w:rsid w:val="00F36939"/>
    <w:rsid w:val="00F3777E"/>
    <w:rsid w:val="00F40E98"/>
    <w:rsid w:val="00F444FF"/>
    <w:rsid w:val="00F44F75"/>
    <w:rsid w:val="00F46D22"/>
    <w:rsid w:val="00F6279E"/>
    <w:rsid w:val="00F6348D"/>
    <w:rsid w:val="00F639E1"/>
    <w:rsid w:val="00F641B8"/>
    <w:rsid w:val="00F73E23"/>
    <w:rsid w:val="00F80C9F"/>
    <w:rsid w:val="00F8322A"/>
    <w:rsid w:val="00F90610"/>
    <w:rsid w:val="00F96E58"/>
    <w:rsid w:val="00FA0137"/>
    <w:rsid w:val="00FA31EC"/>
    <w:rsid w:val="00FA4796"/>
    <w:rsid w:val="00FA7E78"/>
    <w:rsid w:val="00FB3851"/>
    <w:rsid w:val="00FB54EA"/>
    <w:rsid w:val="00FB55C4"/>
    <w:rsid w:val="00FC1393"/>
    <w:rsid w:val="00FC2E9B"/>
    <w:rsid w:val="00FC4CEA"/>
    <w:rsid w:val="00FD0050"/>
    <w:rsid w:val="00FF7B8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3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F36939"/>
    <w:pPr>
      <w:tabs>
        <w:tab w:val="center" w:pos="4153"/>
        <w:tab w:val="right" w:pos="8306"/>
      </w:tabs>
      <w:snapToGrid w:val="0"/>
    </w:pPr>
    <w:rPr>
      <w:sz w:val="20"/>
      <w:szCs w:val="20"/>
    </w:rPr>
  </w:style>
  <w:style w:type="character" w:styleId="a4">
    <w:name w:val="page number"/>
    <w:basedOn w:val="a0"/>
    <w:semiHidden/>
    <w:rsid w:val="00F36939"/>
  </w:style>
  <w:style w:type="paragraph" w:styleId="a5">
    <w:name w:val="footer"/>
    <w:basedOn w:val="a"/>
    <w:link w:val="a6"/>
    <w:uiPriority w:val="99"/>
    <w:semiHidden/>
    <w:unhideWhenUsed/>
    <w:rsid w:val="000732AD"/>
    <w:pPr>
      <w:tabs>
        <w:tab w:val="center" w:pos="4153"/>
        <w:tab w:val="right" w:pos="8306"/>
      </w:tabs>
      <w:snapToGrid w:val="0"/>
    </w:pPr>
    <w:rPr>
      <w:sz w:val="20"/>
      <w:szCs w:val="20"/>
    </w:rPr>
  </w:style>
  <w:style w:type="character" w:customStyle="1" w:styleId="a6">
    <w:name w:val="頁尾 字元"/>
    <w:basedOn w:val="a0"/>
    <w:link w:val="a5"/>
    <w:uiPriority w:val="99"/>
    <w:semiHidden/>
    <w:rsid w:val="000732AD"/>
    <w:rPr>
      <w:kern w:val="2"/>
    </w:rPr>
  </w:style>
  <w:style w:type="paragraph" w:styleId="a7">
    <w:name w:val="Balloon Text"/>
    <w:basedOn w:val="a"/>
    <w:link w:val="a8"/>
    <w:uiPriority w:val="99"/>
    <w:semiHidden/>
    <w:unhideWhenUsed/>
    <w:rsid w:val="00E55131"/>
    <w:rPr>
      <w:rFonts w:ascii="Cambria" w:hAnsi="Cambria"/>
      <w:sz w:val="18"/>
      <w:szCs w:val="18"/>
    </w:rPr>
  </w:style>
  <w:style w:type="character" w:customStyle="1" w:styleId="a8">
    <w:name w:val="註解方塊文字 字元"/>
    <w:basedOn w:val="a0"/>
    <w:link w:val="a7"/>
    <w:uiPriority w:val="99"/>
    <w:semiHidden/>
    <w:rsid w:val="00E55131"/>
    <w:rPr>
      <w:rFonts w:ascii="Cambria" w:eastAsia="新細明體" w:hAnsi="Cambria" w:cs="Times New Roman"/>
      <w:kern w:val="2"/>
      <w:sz w:val="18"/>
      <w:szCs w:val="18"/>
    </w:rPr>
  </w:style>
  <w:style w:type="paragraph" w:styleId="HTML">
    <w:name w:val="HTML Preformatted"/>
    <w:basedOn w:val="a"/>
    <w:link w:val="HTML0"/>
    <w:uiPriority w:val="99"/>
    <w:rsid w:val="0035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9">
    <w:name w:val="List Paragraph"/>
    <w:basedOn w:val="a"/>
    <w:uiPriority w:val="34"/>
    <w:qFormat/>
    <w:rsid w:val="009352A8"/>
    <w:pPr>
      <w:ind w:leftChars="200" w:left="480"/>
    </w:pPr>
  </w:style>
  <w:style w:type="paragraph" w:styleId="Web">
    <w:name w:val="Normal (Web)"/>
    <w:basedOn w:val="a"/>
    <w:uiPriority w:val="99"/>
    <w:unhideWhenUsed/>
    <w:rsid w:val="00557230"/>
    <w:pPr>
      <w:widowControl/>
      <w:spacing w:before="100" w:beforeAutospacing="1" w:after="100" w:afterAutospacing="1"/>
    </w:pPr>
    <w:rPr>
      <w:rFonts w:ascii="新細明體" w:hAnsi="新細明體" w:cs="新細明體"/>
      <w:kern w:val="0"/>
    </w:rPr>
  </w:style>
  <w:style w:type="paragraph" w:customStyle="1" w:styleId="Default">
    <w:name w:val="Default"/>
    <w:rsid w:val="00D10B3D"/>
    <w:pPr>
      <w:widowControl w:val="0"/>
      <w:autoSpaceDE w:val="0"/>
      <w:autoSpaceDN w:val="0"/>
      <w:adjustRightInd w:val="0"/>
    </w:pPr>
    <w:rPr>
      <w:rFonts w:ascii="Calibri" w:hAnsi="Calibri" w:cs="Calibri"/>
      <w:color w:val="000000"/>
      <w:sz w:val="24"/>
      <w:szCs w:val="24"/>
    </w:rPr>
  </w:style>
  <w:style w:type="paragraph" w:styleId="aa">
    <w:name w:val="Plain Text"/>
    <w:basedOn w:val="a"/>
    <w:link w:val="ab"/>
    <w:uiPriority w:val="99"/>
    <w:unhideWhenUsed/>
    <w:rsid w:val="00B91BA8"/>
    <w:rPr>
      <w:rFonts w:ascii="Calibri" w:hAnsi="Courier New" w:cs="Courier New"/>
    </w:rPr>
  </w:style>
  <w:style w:type="character" w:customStyle="1" w:styleId="ab">
    <w:name w:val="純文字 字元"/>
    <w:basedOn w:val="a0"/>
    <w:link w:val="aa"/>
    <w:uiPriority w:val="99"/>
    <w:rsid w:val="00B91BA8"/>
    <w:rPr>
      <w:rFonts w:ascii="Calibri" w:hAnsi="Courier New" w:cs="Courier New"/>
      <w:kern w:val="2"/>
      <w:sz w:val="24"/>
      <w:szCs w:val="24"/>
    </w:rPr>
  </w:style>
  <w:style w:type="table" w:styleId="ac">
    <w:name w:val="Table Grid"/>
    <w:basedOn w:val="a1"/>
    <w:uiPriority w:val="59"/>
    <w:rsid w:val="005337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TML0">
    <w:name w:val="HTML 預設格式 字元"/>
    <w:basedOn w:val="a0"/>
    <w:link w:val="HTML"/>
    <w:uiPriority w:val="99"/>
    <w:rsid w:val="005337E1"/>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35FB2-3724-460F-BA21-E253667B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5</Pages>
  <Words>538</Words>
  <Characters>3069</Characters>
  <Application>Microsoft Office Word</Application>
  <DocSecurity>0</DocSecurity>
  <Lines>25</Lines>
  <Paragraphs>7</Paragraphs>
  <ScaleCrop>false</ScaleCrop>
  <Company>none</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臺灣期貨交易所九十年度研究報告提要表</dc:title>
  <dc:creator>user</dc:creator>
  <cp:lastModifiedBy>weiming</cp:lastModifiedBy>
  <cp:revision>75</cp:revision>
  <cp:lastPrinted>2011-12-19T08:55:00Z</cp:lastPrinted>
  <dcterms:created xsi:type="dcterms:W3CDTF">2011-12-18T08:34:00Z</dcterms:created>
  <dcterms:modified xsi:type="dcterms:W3CDTF">2011-12-29T08:07:00Z</dcterms:modified>
</cp:coreProperties>
</file>