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6840"/>
        <w:gridCol w:w="240"/>
        <w:gridCol w:w="480"/>
        <w:gridCol w:w="4868"/>
      </w:tblGrid>
      <w:tr w:rsidR="0080701C">
        <w:trPr>
          <w:cantSplit/>
          <w:trHeight w:val="1254"/>
        </w:trPr>
        <w:tc>
          <w:tcPr>
            <w:tcW w:w="8668" w:type="dxa"/>
            <w:gridSpan w:val="3"/>
            <w:tcBorders>
              <w:right w:val="nil"/>
            </w:tcBorders>
            <w:vAlign w:val="center"/>
          </w:tcPr>
          <w:p w:rsidR="0080701C" w:rsidRDefault="0080701C">
            <w:pPr>
              <w:spacing w:line="440" w:lineRule="exact"/>
              <w:rPr>
                <w:rFonts w:eastAsia="標楷體"/>
                <w:sz w:val="32"/>
              </w:rPr>
            </w:pPr>
            <w:r>
              <w:rPr>
                <w:rFonts w:eastAsia="標楷體" w:hint="eastAsia"/>
                <w:sz w:val="32"/>
              </w:rPr>
              <w:t>臺灣證券交易所</w:t>
            </w:r>
            <w:r>
              <w:rPr>
                <w:rFonts w:eastAsia="標楷體"/>
                <w:sz w:val="32"/>
              </w:rPr>
              <w:t>100</w:t>
            </w:r>
            <w:r>
              <w:rPr>
                <w:rFonts w:eastAsia="標楷體" w:hint="eastAsia"/>
                <w:sz w:val="32"/>
              </w:rPr>
              <w:t>年度研究報告提要表</w:t>
            </w:r>
          </w:p>
        </w:tc>
        <w:tc>
          <w:tcPr>
            <w:tcW w:w="5348" w:type="dxa"/>
            <w:gridSpan w:val="2"/>
            <w:tcBorders>
              <w:left w:val="nil"/>
            </w:tcBorders>
            <w:vAlign w:val="center"/>
          </w:tcPr>
          <w:p w:rsidR="0080701C" w:rsidRDefault="0080701C">
            <w:pPr>
              <w:spacing w:line="440" w:lineRule="exact"/>
              <w:rPr>
                <w:rFonts w:eastAsia="標楷體"/>
                <w:sz w:val="32"/>
              </w:rPr>
            </w:pPr>
            <w:r>
              <w:rPr>
                <w:rFonts w:eastAsia="標楷體" w:hint="eastAsia"/>
                <w:sz w:val="32"/>
              </w:rPr>
              <w:t>填表人：</w:t>
            </w:r>
            <w:r>
              <w:rPr>
                <w:rFonts w:eastAsia="標楷體"/>
                <w:sz w:val="32"/>
              </w:rPr>
              <w:t xml:space="preserve"> </w:t>
            </w:r>
            <w:r>
              <w:rPr>
                <w:rFonts w:eastAsia="標楷體" w:hint="eastAsia"/>
                <w:sz w:val="32"/>
              </w:rPr>
              <w:t>吳逸萱</w:t>
            </w:r>
          </w:p>
          <w:p w:rsidR="0080701C" w:rsidRDefault="0080701C" w:rsidP="004A3E90">
            <w:pPr>
              <w:spacing w:line="440" w:lineRule="exact"/>
              <w:rPr>
                <w:rFonts w:eastAsia="標楷體"/>
                <w:sz w:val="32"/>
              </w:rPr>
            </w:pPr>
            <w:r>
              <w:rPr>
                <w:rFonts w:eastAsia="標楷體" w:hint="eastAsia"/>
                <w:sz w:val="32"/>
              </w:rPr>
              <w:t>填表日期：</w:t>
            </w:r>
            <w:r>
              <w:rPr>
                <w:rFonts w:eastAsia="標楷體"/>
                <w:sz w:val="32"/>
              </w:rPr>
              <w:t xml:space="preserve">100 </w:t>
            </w:r>
            <w:r>
              <w:rPr>
                <w:rFonts w:eastAsia="標楷體" w:hint="eastAsia"/>
                <w:sz w:val="32"/>
              </w:rPr>
              <w:t>年</w:t>
            </w:r>
            <w:r>
              <w:rPr>
                <w:rFonts w:eastAsia="標楷體"/>
                <w:sz w:val="32"/>
              </w:rPr>
              <w:t xml:space="preserve"> 12 </w:t>
            </w:r>
            <w:r>
              <w:rPr>
                <w:rFonts w:eastAsia="標楷體" w:hint="eastAsia"/>
                <w:sz w:val="32"/>
              </w:rPr>
              <w:t>月</w:t>
            </w:r>
            <w:r>
              <w:rPr>
                <w:rFonts w:eastAsia="標楷體"/>
                <w:sz w:val="32"/>
              </w:rPr>
              <w:t xml:space="preserve">28 </w:t>
            </w:r>
            <w:r>
              <w:rPr>
                <w:rFonts w:eastAsia="標楷體" w:hint="eastAsia"/>
                <w:sz w:val="32"/>
              </w:rPr>
              <w:t>日</w:t>
            </w:r>
          </w:p>
        </w:tc>
      </w:tr>
      <w:tr w:rsidR="0080701C">
        <w:trPr>
          <w:cantSplit/>
          <w:trHeight w:val="896"/>
        </w:trPr>
        <w:tc>
          <w:tcPr>
            <w:tcW w:w="1588" w:type="dxa"/>
            <w:vAlign w:val="center"/>
          </w:tcPr>
          <w:p w:rsidR="0080701C" w:rsidRDefault="0080701C">
            <w:pPr>
              <w:spacing w:line="440" w:lineRule="exact"/>
              <w:jc w:val="distribute"/>
              <w:rPr>
                <w:rFonts w:eastAsia="標楷體"/>
                <w:sz w:val="32"/>
              </w:rPr>
            </w:pPr>
            <w:r>
              <w:rPr>
                <w:rFonts w:eastAsia="標楷體" w:hint="eastAsia"/>
                <w:sz w:val="32"/>
              </w:rPr>
              <w:t>研究項目</w:t>
            </w:r>
          </w:p>
        </w:tc>
        <w:tc>
          <w:tcPr>
            <w:tcW w:w="12428" w:type="dxa"/>
            <w:gridSpan w:val="4"/>
            <w:vAlign w:val="center"/>
          </w:tcPr>
          <w:p w:rsidR="0080701C" w:rsidRPr="00E57488" w:rsidRDefault="0080701C" w:rsidP="00F81622">
            <w:pPr>
              <w:spacing w:after="100" w:afterAutospacing="1"/>
              <w:rPr>
                <w:rFonts w:eastAsia="標楷體" w:hAnsi="標楷體"/>
                <w:sz w:val="32"/>
                <w:szCs w:val="32"/>
              </w:rPr>
            </w:pPr>
            <w:r w:rsidRPr="00E57488">
              <w:rPr>
                <w:rFonts w:eastAsia="標楷體" w:hAnsi="標楷體" w:hint="eastAsia"/>
                <w:sz w:val="32"/>
                <w:szCs w:val="32"/>
              </w:rPr>
              <w:t>開放型基金在我國上市交易之可行性</w:t>
            </w:r>
            <w:r>
              <w:rPr>
                <w:rFonts w:eastAsia="標楷體" w:hAnsi="標楷體" w:hint="eastAsia"/>
                <w:sz w:val="32"/>
                <w:szCs w:val="32"/>
              </w:rPr>
              <w:t>（組別：證券金融商品與市場實務）</w:t>
            </w:r>
          </w:p>
        </w:tc>
      </w:tr>
      <w:tr w:rsidR="0080701C">
        <w:trPr>
          <w:trHeight w:val="1031"/>
        </w:trPr>
        <w:tc>
          <w:tcPr>
            <w:tcW w:w="1588" w:type="dxa"/>
            <w:vAlign w:val="center"/>
          </w:tcPr>
          <w:p w:rsidR="0080701C" w:rsidRDefault="0080701C">
            <w:pPr>
              <w:spacing w:line="440" w:lineRule="exact"/>
              <w:jc w:val="distribute"/>
              <w:rPr>
                <w:rFonts w:eastAsia="標楷體"/>
                <w:sz w:val="32"/>
              </w:rPr>
            </w:pPr>
            <w:r>
              <w:rPr>
                <w:rFonts w:eastAsia="標楷體" w:hint="eastAsia"/>
                <w:sz w:val="32"/>
              </w:rPr>
              <w:t>研究單位</w:t>
            </w:r>
          </w:p>
          <w:p w:rsidR="0080701C" w:rsidRDefault="0080701C">
            <w:pPr>
              <w:spacing w:line="440" w:lineRule="exact"/>
              <w:jc w:val="distribute"/>
              <w:rPr>
                <w:rFonts w:eastAsia="標楷體"/>
                <w:sz w:val="32"/>
              </w:rPr>
            </w:pPr>
            <w:r>
              <w:rPr>
                <w:rFonts w:eastAsia="標楷體" w:hint="eastAsia"/>
                <w:sz w:val="32"/>
              </w:rPr>
              <w:t>及人員</w:t>
            </w:r>
          </w:p>
        </w:tc>
        <w:tc>
          <w:tcPr>
            <w:tcW w:w="6840" w:type="dxa"/>
            <w:vAlign w:val="center"/>
          </w:tcPr>
          <w:p w:rsidR="0080701C" w:rsidRDefault="0080701C">
            <w:pPr>
              <w:spacing w:line="440" w:lineRule="exact"/>
              <w:rPr>
                <w:rFonts w:eastAsia="標楷體"/>
                <w:sz w:val="32"/>
              </w:rPr>
            </w:pPr>
            <w:r>
              <w:rPr>
                <w:rFonts w:eastAsia="標楷體" w:hint="eastAsia"/>
                <w:sz w:val="32"/>
              </w:rPr>
              <w:t>企劃研究部</w:t>
            </w:r>
          </w:p>
          <w:p w:rsidR="0080701C" w:rsidRDefault="0080701C">
            <w:pPr>
              <w:spacing w:line="440" w:lineRule="exact"/>
              <w:rPr>
                <w:rFonts w:eastAsia="標楷體"/>
                <w:sz w:val="32"/>
              </w:rPr>
            </w:pPr>
            <w:r>
              <w:rPr>
                <w:rFonts w:eastAsia="標楷體" w:hint="eastAsia"/>
                <w:sz w:val="32"/>
              </w:rPr>
              <w:t>吳逸萱、林宣君、林昱廷</w:t>
            </w:r>
          </w:p>
        </w:tc>
        <w:tc>
          <w:tcPr>
            <w:tcW w:w="720" w:type="dxa"/>
            <w:gridSpan w:val="2"/>
            <w:vAlign w:val="center"/>
          </w:tcPr>
          <w:p w:rsidR="0080701C" w:rsidRDefault="0080701C">
            <w:pPr>
              <w:spacing w:line="440" w:lineRule="exact"/>
              <w:jc w:val="right"/>
              <w:rPr>
                <w:rFonts w:eastAsia="標楷體"/>
                <w:sz w:val="32"/>
              </w:rPr>
            </w:pPr>
            <w:r>
              <w:rPr>
                <w:rFonts w:eastAsia="標楷體" w:hint="eastAsia"/>
                <w:sz w:val="32"/>
              </w:rPr>
              <w:t>研究時間</w:t>
            </w:r>
          </w:p>
        </w:tc>
        <w:tc>
          <w:tcPr>
            <w:tcW w:w="4868" w:type="dxa"/>
            <w:vAlign w:val="center"/>
          </w:tcPr>
          <w:p w:rsidR="0080701C" w:rsidRDefault="0080701C">
            <w:pPr>
              <w:spacing w:line="440" w:lineRule="exact"/>
              <w:rPr>
                <w:rFonts w:eastAsia="標楷體"/>
                <w:sz w:val="32"/>
              </w:rPr>
            </w:pPr>
            <w:r>
              <w:rPr>
                <w:rFonts w:eastAsia="標楷體" w:hint="eastAsia"/>
                <w:sz w:val="32"/>
              </w:rPr>
              <w:t>自</w:t>
            </w:r>
            <w:r>
              <w:rPr>
                <w:rFonts w:eastAsia="標楷體"/>
                <w:sz w:val="32"/>
              </w:rPr>
              <w:t>100</w:t>
            </w:r>
            <w:r>
              <w:rPr>
                <w:rFonts w:eastAsia="標楷體" w:hint="eastAsia"/>
                <w:sz w:val="32"/>
              </w:rPr>
              <w:t>年</w:t>
            </w:r>
            <w:r>
              <w:rPr>
                <w:rFonts w:eastAsia="標楷體"/>
                <w:sz w:val="32"/>
              </w:rPr>
              <w:t xml:space="preserve">1 </w:t>
            </w:r>
            <w:r>
              <w:rPr>
                <w:rFonts w:eastAsia="標楷體" w:hint="eastAsia"/>
                <w:sz w:val="32"/>
              </w:rPr>
              <w:t>月</w:t>
            </w:r>
            <w:r>
              <w:rPr>
                <w:rFonts w:eastAsia="標楷體"/>
                <w:sz w:val="32"/>
              </w:rPr>
              <w:t xml:space="preserve"> 1 </w:t>
            </w:r>
            <w:r>
              <w:rPr>
                <w:rFonts w:eastAsia="標楷體" w:hint="eastAsia"/>
                <w:sz w:val="32"/>
              </w:rPr>
              <w:t>日</w:t>
            </w:r>
          </w:p>
          <w:p w:rsidR="0080701C" w:rsidRDefault="0080701C">
            <w:pPr>
              <w:spacing w:line="440" w:lineRule="exact"/>
              <w:rPr>
                <w:rFonts w:eastAsia="標楷體"/>
                <w:sz w:val="32"/>
              </w:rPr>
            </w:pPr>
            <w:r>
              <w:rPr>
                <w:rFonts w:eastAsia="標楷體" w:hint="eastAsia"/>
                <w:sz w:val="32"/>
              </w:rPr>
              <w:t>至</w:t>
            </w:r>
            <w:r>
              <w:rPr>
                <w:rFonts w:eastAsia="標楷體"/>
                <w:sz w:val="32"/>
              </w:rPr>
              <w:t xml:space="preserve"> 100</w:t>
            </w:r>
            <w:r>
              <w:rPr>
                <w:rFonts w:eastAsia="標楷體" w:hint="eastAsia"/>
                <w:sz w:val="32"/>
              </w:rPr>
              <w:t>年</w:t>
            </w:r>
            <w:r>
              <w:rPr>
                <w:rFonts w:eastAsia="標楷體"/>
                <w:sz w:val="32"/>
              </w:rPr>
              <w:t>12</w:t>
            </w:r>
            <w:r>
              <w:rPr>
                <w:rFonts w:eastAsia="標楷體" w:hint="eastAsia"/>
                <w:sz w:val="32"/>
              </w:rPr>
              <w:t>月</w:t>
            </w:r>
            <w:r>
              <w:rPr>
                <w:rFonts w:eastAsia="標楷體"/>
                <w:sz w:val="32"/>
              </w:rPr>
              <w:t>27</w:t>
            </w:r>
            <w:r>
              <w:rPr>
                <w:rFonts w:eastAsia="標楷體" w:hint="eastAsia"/>
                <w:sz w:val="32"/>
              </w:rPr>
              <w:t>日</w:t>
            </w:r>
          </w:p>
        </w:tc>
      </w:tr>
      <w:tr w:rsidR="0080701C">
        <w:trPr>
          <w:trHeight w:val="565"/>
        </w:trPr>
        <w:tc>
          <w:tcPr>
            <w:tcW w:w="14016" w:type="dxa"/>
            <w:gridSpan w:val="5"/>
            <w:vAlign w:val="center"/>
          </w:tcPr>
          <w:p w:rsidR="0080701C" w:rsidRDefault="0080701C">
            <w:pPr>
              <w:spacing w:line="440" w:lineRule="exact"/>
              <w:jc w:val="center"/>
              <w:rPr>
                <w:rFonts w:eastAsia="標楷體"/>
                <w:sz w:val="32"/>
              </w:rPr>
            </w:pPr>
            <w:r>
              <w:rPr>
                <w:rFonts w:eastAsia="標楷體" w:hint="eastAsia"/>
                <w:sz w:val="32"/>
              </w:rPr>
              <w:t>報　　　　　告　　　　　內　　　　　容　　　　　提　　　　　要</w:t>
            </w:r>
          </w:p>
        </w:tc>
      </w:tr>
      <w:tr w:rsidR="0080701C">
        <w:trPr>
          <w:trHeight w:val="164"/>
        </w:trPr>
        <w:tc>
          <w:tcPr>
            <w:tcW w:w="14016" w:type="dxa"/>
            <w:gridSpan w:val="5"/>
            <w:vAlign w:val="center"/>
          </w:tcPr>
          <w:p w:rsidR="0080701C" w:rsidRDefault="0080701C" w:rsidP="00230529">
            <w:pPr>
              <w:spacing w:line="360" w:lineRule="exact"/>
              <w:jc w:val="both"/>
              <w:rPr>
                <w:rFonts w:eastAsia="標楷體"/>
                <w:sz w:val="26"/>
              </w:rPr>
            </w:pPr>
          </w:p>
          <w:p w:rsidR="0080701C" w:rsidRDefault="0080701C" w:rsidP="0080701C">
            <w:pPr>
              <w:autoSpaceDE w:val="0"/>
              <w:autoSpaceDN w:val="0"/>
              <w:adjustRightInd w:val="0"/>
              <w:ind w:leftChars="267" w:left="31680" w:hanging="64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一</w:t>
            </w:r>
            <w:r>
              <w:rPr>
                <w:rFonts w:ascii="標楷體" w:eastAsia="標楷體" w:cs="標楷體"/>
                <w:kern w:val="0"/>
                <w:sz w:val="32"/>
                <w:szCs w:val="32"/>
                <w:lang w:val="zh-TW"/>
              </w:rPr>
              <w:t>)</w:t>
            </w:r>
            <w:r>
              <w:rPr>
                <w:rFonts w:ascii="標楷體" w:eastAsia="標楷體" w:cs="標楷體" w:hint="eastAsia"/>
                <w:kern w:val="0"/>
                <w:sz w:val="32"/>
                <w:szCs w:val="32"/>
                <w:lang w:val="zh-TW"/>
              </w:rPr>
              <w:t>參考盧森堡、德國、</w:t>
            </w:r>
            <w:r>
              <w:rPr>
                <w:rFonts w:ascii="標楷體" w:eastAsia="標楷體" w:cs="標楷體"/>
                <w:kern w:val="0"/>
                <w:sz w:val="32"/>
                <w:szCs w:val="32"/>
                <w:lang w:val="zh-TW"/>
              </w:rPr>
              <w:t>Euronext</w:t>
            </w:r>
            <w:r>
              <w:rPr>
                <w:rFonts w:ascii="標楷體" w:eastAsia="標楷體" w:cs="標楷體" w:hint="eastAsia"/>
                <w:kern w:val="0"/>
                <w:sz w:val="32"/>
                <w:szCs w:val="32"/>
                <w:lang w:val="zh-TW"/>
              </w:rPr>
              <w:t>及中國等開放型基金上市發展較為良好之市場制度及背景，大抵發展原因為降低投資人的交易成本、增加基金的銷售管道、增強資訊揭露程度、強化監理程度，或提升市場流動性。</w:t>
            </w:r>
          </w:p>
          <w:p w:rsidR="0080701C" w:rsidRDefault="0080701C" w:rsidP="0080701C">
            <w:pPr>
              <w:autoSpaceDE w:val="0"/>
              <w:autoSpaceDN w:val="0"/>
              <w:adjustRightInd w:val="0"/>
              <w:ind w:leftChars="267" w:left="31680" w:hanging="64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二</w:t>
            </w:r>
            <w:r>
              <w:rPr>
                <w:rFonts w:ascii="標楷體" w:eastAsia="標楷體" w:cs="標楷體"/>
                <w:kern w:val="0"/>
                <w:sz w:val="32"/>
                <w:szCs w:val="32"/>
                <w:lang w:val="zh-TW"/>
              </w:rPr>
              <w:t>)</w:t>
            </w:r>
            <w:r>
              <w:rPr>
                <w:rFonts w:ascii="標楷體" w:eastAsia="標楷體" w:cs="標楷體" w:hint="eastAsia"/>
                <w:kern w:val="0"/>
                <w:sz w:val="32"/>
                <w:szCs w:val="32"/>
                <w:lang w:val="zh-TW"/>
              </w:rPr>
              <w:t>從市場面，包含需求、供給、通路及環境，技術面，以及法規面等各面向，評估開放型基金於我國上市交易之可行性。</w:t>
            </w:r>
          </w:p>
          <w:p w:rsidR="0080701C" w:rsidRDefault="0080701C" w:rsidP="0080701C">
            <w:pPr>
              <w:autoSpaceDE w:val="0"/>
              <w:autoSpaceDN w:val="0"/>
              <w:adjustRightInd w:val="0"/>
              <w:ind w:leftChars="400" w:left="31680" w:hanging="640"/>
              <w:rPr>
                <w:rFonts w:ascii="標楷體" w:eastAsia="標楷體" w:cs="標楷體"/>
                <w:kern w:val="0"/>
                <w:sz w:val="32"/>
                <w:szCs w:val="32"/>
                <w:lang w:val="zh-TW"/>
              </w:rPr>
            </w:pPr>
            <w:r>
              <w:rPr>
                <w:rFonts w:ascii="標楷體" w:eastAsia="標楷體" w:cs="標楷體" w:hint="eastAsia"/>
                <w:kern w:val="0"/>
                <w:sz w:val="32"/>
                <w:szCs w:val="32"/>
                <w:lang w:val="zh-TW"/>
              </w:rPr>
              <w:t>１、市場面：由於臺灣目前的基金銷售極度依賴銀行銷售管道，基金上市或許可降低投資人的交易成本，但也可能遭到通路的強烈反彈，且證券商的人員訓練及投資人轉換交易習慣及投資配置皆需要一段時間，在市場的推動上將遭遇一定阻礙。</w:t>
            </w:r>
          </w:p>
          <w:p w:rsidR="0080701C" w:rsidRDefault="0080701C" w:rsidP="0080701C">
            <w:pPr>
              <w:autoSpaceDE w:val="0"/>
              <w:autoSpaceDN w:val="0"/>
              <w:adjustRightInd w:val="0"/>
              <w:ind w:leftChars="400" w:left="31680" w:hanging="640"/>
              <w:rPr>
                <w:rFonts w:ascii="標楷體" w:eastAsia="標楷體" w:cs="標楷體"/>
                <w:kern w:val="0"/>
                <w:sz w:val="32"/>
                <w:szCs w:val="32"/>
                <w:lang w:val="zh-TW"/>
              </w:rPr>
            </w:pPr>
            <w:r>
              <w:rPr>
                <w:rFonts w:ascii="標楷體" w:eastAsia="標楷體" w:cs="標楷體" w:hint="eastAsia"/>
                <w:kern w:val="0"/>
                <w:sz w:val="32"/>
                <w:szCs w:val="32"/>
                <w:lang w:val="zh-TW"/>
              </w:rPr>
              <w:t>２、技術面：交易制度之規劃極費思量，且造市商制度於臺灣有實務上的推行困難，於平台建置或系統修改之工程亦相當浩大，曠日廢時。</w:t>
            </w:r>
          </w:p>
          <w:p w:rsidR="0080701C" w:rsidRDefault="0080701C" w:rsidP="0080701C">
            <w:pPr>
              <w:autoSpaceDE w:val="0"/>
              <w:autoSpaceDN w:val="0"/>
              <w:adjustRightInd w:val="0"/>
              <w:ind w:leftChars="400" w:left="31680" w:hanging="640"/>
              <w:rPr>
                <w:rFonts w:ascii="標楷體" w:eastAsia="標楷體" w:cs="標楷體"/>
                <w:kern w:val="0"/>
                <w:sz w:val="32"/>
                <w:szCs w:val="32"/>
                <w:lang w:val="zh-TW"/>
              </w:rPr>
            </w:pPr>
            <w:r>
              <w:rPr>
                <w:rFonts w:ascii="標楷體" w:eastAsia="標楷體" w:cs="標楷體" w:hint="eastAsia"/>
                <w:kern w:val="0"/>
                <w:sz w:val="32"/>
                <w:szCs w:val="32"/>
                <w:lang w:val="zh-TW"/>
              </w:rPr>
              <w:t>３、法規面：臺灣目前的基金市場環境與各國相比已較為成熟，不管在資訊揭露或法規環境上皆相對完備，上市後所帶來的加值效果並不高。</w:t>
            </w:r>
          </w:p>
          <w:p w:rsidR="0080701C" w:rsidRPr="001B7AFD" w:rsidRDefault="0080701C" w:rsidP="0080701C">
            <w:pPr>
              <w:autoSpaceDE w:val="0"/>
              <w:autoSpaceDN w:val="0"/>
              <w:adjustRightInd w:val="0"/>
              <w:ind w:leftChars="267" w:left="31680" w:hanging="64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三</w:t>
            </w:r>
            <w:r>
              <w:rPr>
                <w:rFonts w:ascii="標楷體" w:eastAsia="標楷體" w:cs="標楷體"/>
                <w:kern w:val="0"/>
                <w:sz w:val="32"/>
                <w:szCs w:val="32"/>
                <w:lang w:val="zh-TW"/>
              </w:rPr>
              <w:t>)</w:t>
            </w:r>
            <w:r>
              <w:rPr>
                <w:rFonts w:ascii="標楷體" w:eastAsia="標楷體" w:cs="標楷體" w:hint="eastAsia"/>
                <w:kern w:val="0"/>
                <w:sz w:val="32"/>
                <w:szCs w:val="32"/>
                <w:lang w:val="zh-TW"/>
              </w:rPr>
              <w:t>結論：由於目前臺灣基金銷售通路已極為普及，銀行、證券商皆可擔任基金的銷售通路，且金融服務品質及人員素質較為齊一，並未如中國須藉交易所平台，以縮減金融服務品質之差距；且我國基金市場的法規環境及資訊揭露規範亦相對完備，基金上市交易對於透明度提升及投資人保護所帶來的額外效益較低；此外，要使基金上市，在交易制度、平台建置及電腦系統修改之工程浩大，且推行造市商制度有實務上的困難，然而即使花費大量資源設計交易制度、配套措施及交易平台後，對於投資人或市場所帶來的效益似不顯著。因此，經整體評估後，當前我國似未有推動開放型基金上市交易之必要性。</w:t>
            </w:r>
          </w:p>
          <w:p w:rsidR="0080701C" w:rsidRDefault="0080701C" w:rsidP="00230529">
            <w:pPr>
              <w:spacing w:line="360" w:lineRule="exact"/>
              <w:jc w:val="both"/>
              <w:rPr>
                <w:rFonts w:eastAsia="標楷體"/>
                <w:sz w:val="26"/>
              </w:rPr>
            </w:pPr>
          </w:p>
        </w:tc>
      </w:tr>
    </w:tbl>
    <w:p w:rsidR="0080701C" w:rsidRDefault="0080701C">
      <w:pPr>
        <w:spacing w:line="440" w:lineRule="exact"/>
        <w:rPr>
          <w:rFonts w:eastAsia="標楷體"/>
        </w:rPr>
      </w:pPr>
      <w:r>
        <w:rPr>
          <w:rFonts w:eastAsia="標楷體" w:hint="eastAsia"/>
        </w:rPr>
        <w:t>附註：一、報告內容提要應包括下列二部分：</w:t>
      </w:r>
    </w:p>
    <w:p w:rsidR="0080701C" w:rsidRDefault="0080701C">
      <w:pPr>
        <w:numPr>
          <w:ilvl w:val="0"/>
          <w:numId w:val="6"/>
        </w:numPr>
        <w:tabs>
          <w:tab w:val="clear" w:pos="1128"/>
        </w:tabs>
        <w:spacing w:line="440" w:lineRule="exact"/>
        <w:ind w:hanging="170"/>
        <w:rPr>
          <w:rFonts w:eastAsia="標楷體"/>
        </w:rPr>
      </w:pPr>
      <w:r>
        <w:rPr>
          <w:rFonts w:eastAsia="標楷體" w:hint="eastAsia"/>
        </w:rPr>
        <w:t>研究內容重點</w:t>
      </w:r>
    </w:p>
    <w:p w:rsidR="0080701C" w:rsidRDefault="0080701C">
      <w:pPr>
        <w:numPr>
          <w:ilvl w:val="0"/>
          <w:numId w:val="6"/>
        </w:numPr>
        <w:tabs>
          <w:tab w:val="clear" w:pos="1128"/>
        </w:tabs>
        <w:spacing w:line="440" w:lineRule="exact"/>
        <w:ind w:hanging="170"/>
        <w:rPr>
          <w:rFonts w:eastAsia="標楷體"/>
        </w:rPr>
      </w:pPr>
      <w:r>
        <w:rPr>
          <w:rFonts w:eastAsia="標楷體" w:hint="eastAsia"/>
        </w:rPr>
        <w:t>結論與建議事項</w:t>
      </w:r>
    </w:p>
    <w:p w:rsidR="0080701C" w:rsidRDefault="0080701C">
      <w:pPr>
        <w:spacing w:line="440" w:lineRule="exact"/>
        <w:ind w:left="720"/>
        <w:rPr>
          <w:rFonts w:eastAsia="標楷體"/>
        </w:rPr>
      </w:pPr>
      <w:r>
        <w:rPr>
          <w:rFonts w:eastAsia="標楷體" w:hint="eastAsia"/>
        </w:rPr>
        <w:t>二、本提要表須附電子檔</w:t>
      </w:r>
    </w:p>
    <w:sectPr w:rsidR="0080701C" w:rsidSect="001A661E">
      <w:footerReference w:type="even" r:id="rId7"/>
      <w:footerReference w:type="default" r:id="rId8"/>
      <w:pgSz w:w="16840" w:h="11907" w:orient="landscape" w:code="9"/>
      <w:pgMar w:top="1418" w:right="1440" w:bottom="1134"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01C" w:rsidRDefault="0080701C">
      <w:r>
        <w:separator/>
      </w:r>
    </w:p>
  </w:endnote>
  <w:endnote w:type="continuationSeparator" w:id="0">
    <w:p w:rsidR="0080701C" w:rsidRDefault="00807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1C" w:rsidRDefault="0080701C">
    <w:pPr>
      <w:pStyle w:val="Footer"/>
      <w:framePr w:w="1440" w:hSpace="720" w:wrap="around" w:vAnchor="page" w:hAnchor="page" w:xAlign="right" w:yAlign="center"/>
      <w:textDirection w:val="btLr"/>
      <w:rPr>
        <w:rStyle w:val="PageNumber"/>
      </w:rPr>
    </w:pPr>
    <w:r>
      <w:rPr>
        <w:rStyle w:val="PageNumber"/>
      </w:rPr>
      <w:fldChar w:fldCharType="begin"/>
    </w:r>
    <w:r>
      <w:rPr>
        <w:rStyle w:val="PageNumber"/>
      </w:rPr>
      <w:instrText xml:space="preserve">PAGE  </w:instrText>
    </w:r>
    <w:r>
      <w:rPr>
        <w:rStyle w:val="PageNumber"/>
      </w:rPr>
      <w:fldChar w:fldCharType="end"/>
    </w:r>
  </w:p>
  <w:p w:rsidR="0080701C" w:rsidRDefault="008070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1C" w:rsidRDefault="0080701C">
    <w:pPr>
      <w:pStyle w:val="Footer"/>
      <w:framePr w:w="631" w:hSpace="720" w:wrap="around" w:vAnchor="page" w:hAnchor="page" w:x="16201" w:yAlign="center"/>
      <w:textDirection w:val="btL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701C" w:rsidRDefault="008070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01C" w:rsidRDefault="0080701C">
      <w:r>
        <w:separator/>
      </w:r>
    </w:p>
  </w:footnote>
  <w:footnote w:type="continuationSeparator" w:id="0">
    <w:p w:rsidR="0080701C" w:rsidRDefault="00807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B4634"/>
    <w:multiLevelType w:val="singleLevel"/>
    <w:tmpl w:val="1BC6F2F0"/>
    <w:lvl w:ilvl="0">
      <w:start w:val="1"/>
      <w:numFmt w:val="taiwaneseCountingThousand"/>
      <w:lvlText w:val="（%1）"/>
      <w:lvlJc w:val="left"/>
      <w:pPr>
        <w:tabs>
          <w:tab w:val="num" w:pos="972"/>
        </w:tabs>
        <w:ind w:left="972" w:hanging="972"/>
      </w:pPr>
      <w:rPr>
        <w:rFonts w:cs="Times New Roman" w:hint="eastAsia"/>
      </w:rPr>
    </w:lvl>
  </w:abstractNum>
  <w:abstractNum w:abstractNumId="1">
    <w:nsid w:val="26E42089"/>
    <w:multiLevelType w:val="hybridMultilevel"/>
    <w:tmpl w:val="DA72F1AE"/>
    <w:lvl w:ilvl="0" w:tplc="DF14950E">
      <w:start w:val="1"/>
      <w:numFmt w:val="taiwaneseCountingThousand"/>
      <w:lvlText w:val="(%1)"/>
      <w:lvlJc w:val="left"/>
      <w:pPr>
        <w:tabs>
          <w:tab w:val="num" w:pos="1128"/>
        </w:tabs>
        <w:ind w:left="1128" w:hanging="408"/>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
    <w:nsid w:val="2E040405"/>
    <w:multiLevelType w:val="singleLevel"/>
    <w:tmpl w:val="CB342A84"/>
    <w:lvl w:ilvl="0">
      <w:start w:val="1"/>
      <w:numFmt w:val="taiwaneseCountingThousand"/>
      <w:lvlText w:val="%1、"/>
      <w:lvlJc w:val="left"/>
      <w:pPr>
        <w:tabs>
          <w:tab w:val="num" w:pos="480"/>
        </w:tabs>
        <w:ind w:left="480" w:hanging="480"/>
      </w:pPr>
      <w:rPr>
        <w:rFonts w:cs="Times New Roman" w:hint="eastAsia"/>
      </w:rPr>
    </w:lvl>
  </w:abstractNum>
  <w:abstractNum w:abstractNumId="3">
    <w:nsid w:val="334B79DB"/>
    <w:multiLevelType w:val="hybridMultilevel"/>
    <w:tmpl w:val="CE96EA1A"/>
    <w:lvl w:ilvl="0" w:tplc="AD203F7A">
      <w:start w:val="1"/>
      <w:numFmt w:val="taiwaneseCountingThousand"/>
      <w:lvlText w:val="%1、"/>
      <w:lvlJc w:val="left"/>
      <w:pPr>
        <w:tabs>
          <w:tab w:val="num" w:pos="1287"/>
        </w:tabs>
        <w:ind w:left="1287" w:hanging="720"/>
      </w:pPr>
      <w:rPr>
        <w:rFonts w:cs="Times New Roman" w:hint="eastAsia"/>
      </w:rPr>
    </w:lvl>
    <w:lvl w:ilvl="1" w:tplc="AA142A98" w:tentative="1">
      <w:start w:val="1"/>
      <w:numFmt w:val="ideographTraditional"/>
      <w:lvlText w:val="%2、"/>
      <w:lvlJc w:val="left"/>
      <w:pPr>
        <w:tabs>
          <w:tab w:val="num" w:pos="1527"/>
        </w:tabs>
        <w:ind w:left="1527" w:hanging="480"/>
      </w:pPr>
      <w:rPr>
        <w:rFonts w:cs="Times New Roman"/>
      </w:rPr>
    </w:lvl>
    <w:lvl w:ilvl="2" w:tplc="88803EEE" w:tentative="1">
      <w:start w:val="1"/>
      <w:numFmt w:val="lowerRoman"/>
      <w:lvlText w:val="%3."/>
      <w:lvlJc w:val="right"/>
      <w:pPr>
        <w:tabs>
          <w:tab w:val="num" w:pos="2007"/>
        </w:tabs>
        <w:ind w:left="2007" w:hanging="480"/>
      </w:pPr>
      <w:rPr>
        <w:rFonts w:cs="Times New Roman"/>
      </w:rPr>
    </w:lvl>
    <w:lvl w:ilvl="3" w:tplc="97E0E884" w:tentative="1">
      <w:start w:val="1"/>
      <w:numFmt w:val="decimal"/>
      <w:lvlText w:val="%4."/>
      <w:lvlJc w:val="left"/>
      <w:pPr>
        <w:tabs>
          <w:tab w:val="num" w:pos="2487"/>
        </w:tabs>
        <w:ind w:left="2487" w:hanging="480"/>
      </w:pPr>
      <w:rPr>
        <w:rFonts w:cs="Times New Roman"/>
      </w:rPr>
    </w:lvl>
    <w:lvl w:ilvl="4" w:tplc="AA26050E" w:tentative="1">
      <w:start w:val="1"/>
      <w:numFmt w:val="ideographTraditional"/>
      <w:lvlText w:val="%5、"/>
      <w:lvlJc w:val="left"/>
      <w:pPr>
        <w:tabs>
          <w:tab w:val="num" w:pos="2967"/>
        </w:tabs>
        <w:ind w:left="2967" w:hanging="480"/>
      </w:pPr>
      <w:rPr>
        <w:rFonts w:cs="Times New Roman"/>
      </w:rPr>
    </w:lvl>
    <w:lvl w:ilvl="5" w:tplc="4F0A853C" w:tentative="1">
      <w:start w:val="1"/>
      <w:numFmt w:val="lowerRoman"/>
      <w:lvlText w:val="%6."/>
      <w:lvlJc w:val="right"/>
      <w:pPr>
        <w:tabs>
          <w:tab w:val="num" w:pos="3447"/>
        </w:tabs>
        <w:ind w:left="3447" w:hanging="480"/>
      </w:pPr>
      <w:rPr>
        <w:rFonts w:cs="Times New Roman"/>
      </w:rPr>
    </w:lvl>
    <w:lvl w:ilvl="6" w:tplc="C27A75F8" w:tentative="1">
      <w:start w:val="1"/>
      <w:numFmt w:val="decimal"/>
      <w:lvlText w:val="%7."/>
      <w:lvlJc w:val="left"/>
      <w:pPr>
        <w:tabs>
          <w:tab w:val="num" w:pos="3927"/>
        </w:tabs>
        <w:ind w:left="3927" w:hanging="480"/>
      </w:pPr>
      <w:rPr>
        <w:rFonts w:cs="Times New Roman"/>
      </w:rPr>
    </w:lvl>
    <w:lvl w:ilvl="7" w:tplc="070E0B66" w:tentative="1">
      <w:start w:val="1"/>
      <w:numFmt w:val="ideographTraditional"/>
      <w:lvlText w:val="%8、"/>
      <w:lvlJc w:val="left"/>
      <w:pPr>
        <w:tabs>
          <w:tab w:val="num" w:pos="4407"/>
        </w:tabs>
        <w:ind w:left="4407" w:hanging="480"/>
      </w:pPr>
      <w:rPr>
        <w:rFonts w:cs="Times New Roman"/>
      </w:rPr>
    </w:lvl>
    <w:lvl w:ilvl="8" w:tplc="847CFC96" w:tentative="1">
      <w:start w:val="1"/>
      <w:numFmt w:val="lowerRoman"/>
      <w:lvlText w:val="%9."/>
      <w:lvlJc w:val="right"/>
      <w:pPr>
        <w:tabs>
          <w:tab w:val="num" w:pos="4887"/>
        </w:tabs>
        <w:ind w:left="4887" w:hanging="480"/>
      </w:pPr>
      <w:rPr>
        <w:rFonts w:cs="Times New Roman"/>
      </w:rPr>
    </w:lvl>
  </w:abstractNum>
  <w:abstractNum w:abstractNumId="4">
    <w:nsid w:val="4D394710"/>
    <w:multiLevelType w:val="hybridMultilevel"/>
    <w:tmpl w:val="292CC3B0"/>
    <w:lvl w:ilvl="0" w:tplc="EC9CC8AE">
      <w:start w:val="1"/>
      <w:numFmt w:val="taiwaneseCountingThousand"/>
      <w:lvlText w:val="%1、"/>
      <w:lvlJc w:val="left"/>
      <w:pPr>
        <w:tabs>
          <w:tab w:val="num" w:pos="720"/>
        </w:tabs>
        <w:ind w:left="720" w:hanging="720"/>
      </w:pPr>
      <w:rPr>
        <w:rFonts w:cs="Times New Roman" w:hint="eastAsia"/>
      </w:rPr>
    </w:lvl>
    <w:lvl w:ilvl="1" w:tplc="5BB6D7CC" w:tentative="1">
      <w:start w:val="1"/>
      <w:numFmt w:val="ideographTraditional"/>
      <w:lvlText w:val="%2、"/>
      <w:lvlJc w:val="left"/>
      <w:pPr>
        <w:tabs>
          <w:tab w:val="num" w:pos="960"/>
        </w:tabs>
        <w:ind w:left="960" w:hanging="480"/>
      </w:pPr>
      <w:rPr>
        <w:rFonts w:cs="Times New Roman"/>
      </w:rPr>
    </w:lvl>
    <w:lvl w:ilvl="2" w:tplc="5AE0E042" w:tentative="1">
      <w:start w:val="1"/>
      <w:numFmt w:val="lowerRoman"/>
      <w:lvlText w:val="%3."/>
      <w:lvlJc w:val="right"/>
      <w:pPr>
        <w:tabs>
          <w:tab w:val="num" w:pos="1440"/>
        </w:tabs>
        <w:ind w:left="1440" w:hanging="480"/>
      </w:pPr>
      <w:rPr>
        <w:rFonts w:cs="Times New Roman"/>
      </w:rPr>
    </w:lvl>
    <w:lvl w:ilvl="3" w:tplc="C5500F0A" w:tentative="1">
      <w:start w:val="1"/>
      <w:numFmt w:val="decimal"/>
      <w:lvlText w:val="%4."/>
      <w:lvlJc w:val="left"/>
      <w:pPr>
        <w:tabs>
          <w:tab w:val="num" w:pos="1920"/>
        </w:tabs>
        <w:ind w:left="1920" w:hanging="480"/>
      </w:pPr>
      <w:rPr>
        <w:rFonts w:cs="Times New Roman"/>
      </w:rPr>
    </w:lvl>
    <w:lvl w:ilvl="4" w:tplc="4CAE27AE" w:tentative="1">
      <w:start w:val="1"/>
      <w:numFmt w:val="ideographTraditional"/>
      <w:lvlText w:val="%5、"/>
      <w:lvlJc w:val="left"/>
      <w:pPr>
        <w:tabs>
          <w:tab w:val="num" w:pos="2400"/>
        </w:tabs>
        <w:ind w:left="2400" w:hanging="480"/>
      </w:pPr>
      <w:rPr>
        <w:rFonts w:cs="Times New Roman"/>
      </w:rPr>
    </w:lvl>
    <w:lvl w:ilvl="5" w:tplc="9618AE72" w:tentative="1">
      <w:start w:val="1"/>
      <w:numFmt w:val="lowerRoman"/>
      <w:lvlText w:val="%6."/>
      <w:lvlJc w:val="right"/>
      <w:pPr>
        <w:tabs>
          <w:tab w:val="num" w:pos="2880"/>
        </w:tabs>
        <w:ind w:left="2880" w:hanging="480"/>
      </w:pPr>
      <w:rPr>
        <w:rFonts w:cs="Times New Roman"/>
      </w:rPr>
    </w:lvl>
    <w:lvl w:ilvl="6" w:tplc="FB54620A" w:tentative="1">
      <w:start w:val="1"/>
      <w:numFmt w:val="decimal"/>
      <w:lvlText w:val="%7."/>
      <w:lvlJc w:val="left"/>
      <w:pPr>
        <w:tabs>
          <w:tab w:val="num" w:pos="3360"/>
        </w:tabs>
        <w:ind w:left="3360" w:hanging="480"/>
      </w:pPr>
      <w:rPr>
        <w:rFonts w:cs="Times New Roman"/>
      </w:rPr>
    </w:lvl>
    <w:lvl w:ilvl="7" w:tplc="869204E4" w:tentative="1">
      <w:start w:val="1"/>
      <w:numFmt w:val="ideographTraditional"/>
      <w:lvlText w:val="%8、"/>
      <w:lvlJc w:val="left"/>
      <w:pPr>
        <w:tabs>
          <w:tab w:val="num" w:pos="3840"/>
        </w:tabs>
        <w:ind w:left="3840" w:hanging="480"/>
      </w:pPr>
      <w:rPr>
        <w:rFonts w:cs="Times New Roman"/>
      </w:rPr>
    </w:lvl>
    <w:lvl w:ilvl="8" w:tplc="E1C864BA" w:tentative="1">
      <w:start w:val="1"/>
      <w:numFmt w:val="lowerRoman"/>
      <w:lvlText w:val="%9."/>
      <w:lvlJc w:val="right"/>
      <w:pPr>
        <w:tabs>
          <w:tab w:val="num" w:pos="4320"/>
        </w:tabs>
        <w:ind w:left="4320" w:hanging="480"/>
      </w:pPr>
      <w:rPr>
        <w:rFonts w:cs="Times New Roman"/>
      </w:rPr>
    </w:lvl>
  </w:abstractNum>
  <w:abstractNum w:abstractNumId="5">
    <w:nsid w:val="6A785825"/>
    <w:multiLevelType w:val="singleLevel"/>
    <w:tmpl w:val="ACEAF80A"/>
    <w:lvl w:ilvl="0">
      <w:start w:val="1"/>
      <w:numFmt w:val="decimal"/>
      <w:lvlText w:val="%1."/>
      <w:lvlJc w:val="left"/>
      <w:pPr>
        <w:tabs>
          <w:tab w:val="num" w:pos="180"/>
        </w:tabs>
        <w:ind w:left="180" w:hanging="180"/>
      </w:pPr>
      <w:rPr>
        <w:rFonts w:cs="Times New Roman" w:hint="eastAsia"/>
      </w:rPr>
    </w:lvl>
  </w:abstractNum>
  <w:abstractNum w:abstractNumId="6">
    <w:nsid w:val="6F5C6676"/>
    <w:multiLevelType w:val="multilevel"/>
    <w:tmpl w:val="D082B312"/>
    <w:lvl w:ilvl="0">
      <w:start w:val="1"/>
      <w:numFmt w:val="taiwaneseCountingThousand"/>
      <w:lvlText w:val="%1、"/>
      <w:lvlJc w:val="left"/>
      <w:pPr>
        <w:tabs>
          <w:tab w:val="num" w:pos="720"/>
        </w:tabs>
        <w:ind w:left="284" w:hanging="284"/>
      </w:pPr>
      <w:rPr>
        <w:rFonts w:cs="Times New Roman" w:hint="eastAsia"/>
      </w:rPr>
    </w:lvl>
    <w:lvl w:ilvl="1">
      <w:start w:val="1"/>
      <w:numFmt w:val="taiwaneseCountingThousand"/>
      <w:lvlText w:val="(%2)"/>
      <w:lvlJc w:val="left"/>
      <w:pPr>
        <w:tabs>
          <w:tab w:val="num" w:pos="644"/>
        </w:tabs>
        <w:ind w:left="567" w:hanging="283"/>
      </w:pPr>
      <w:rPr>
        <w:rFonts w:cs="Times New Roman" w:hint="eastAsia"/>
      </w:rPr>
    </w:lvl>
    <w:lvl w:ilvl="2">
      <w:start w:val="1"/>
      <w:numFmt w:val="decimal"/>
      <w:lvlText w:val="%3."/>
      <w:lvlJc w:val="left"/>
      <w:pPr>
        <w:tabs>
          <w:tab w:val="num" w:pos="927"/>
        </w:tabs>
        <w:ind w:left="851" w:hanging="284"/>
      </w:pPr>
      <w:rPr>
        <w:rFonts w:cs="Times New Roman" w:hint="eastAsia"/>
      </w:rPr>
    </w:lvl>
    <w:lvl w:ilvl="3">
      <w:start w:val="1"/>
      <w:numFmt w:val="decimal"/>
      <w:lvlText w:val="(%4)"/>
      <w:lvlJc w:val="left"/>
      <w:pPr>
        <w:tabs>
          <w:tab w:val="num" w:pos="1211"/>
        </w:tabs>
        <w:ind w:left="851"/>
      </w:pPr>
      <w:rPr>
        <w:rFonts w:cs="Times New Roman" w:hint="eastAsia"/>
      </w:rPr>
    </w:lvl>
    <w:lvl w:ilvl="4">
      <w:start w:val="1"/>
      <w:numFmt w:val="lowerLetter"/>
      <w:lvlText w:val="%5."/>
      <w:lvlJc w:val="left"/>
      <w:pPr>
        <w:tabs>
          <w:tab w:val="num" w:pos="1494"/>
        </w:tabs>
        <w:ind w:left="1134"/>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3991"/>
        </w:tabs>
        <w:ind w:left="3827" w:hanging="1276"/>
      </w:pPr>
      <w:rPr>
        <w:rFonts w:cs="Times New Roman" w:hint="eastAsia"/>
      </w:rPr>
    </w:lvl>
    <w:lvl w:ilvl="7">
      <w:start w:val="1"/>
      <w:numFmt w:val="decimal"/>
      <w:lvlText w:val="%1.%2.%3.%4.%5.%6.%7.%8"/>
      <w:lvlJc w:val="left"/>
      <w:pPr>
        <w:tabs>
          <w:tab w:val="num" w:pos="477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stylePaneFormatFilter w:val="3F01"/>
  <w:defaultTabStop w:val="5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EC1"/>
    <w:rsid w:val="000B6E2B"/>
    <w:rsid w:val="00191ED4"/>
    <w:rsid w:val="001A661E"/>
    <w:rsid w:val="001B7AFD"/>
    <w:rsid w:val="00210DCA"/>
    <w:rsid w:val="00230529"/>
    <w:rsid w:val="002C235B"/>
    <w:rsid w:val="002C51FF"/>
    <w:rsid w:val="00420EC1"/>
    <w:rsid w:val="00446587"/>
    <w:rsid w:val="004A3E90"/>
    <w:rsid w:val="00666B9E"/>
    <w:rsid w:val="006B29E1"/>
    <w:rsid w:val="007865B1"/>
    <w:rsid w:val="0080701C"/>
    <w:rsid w:val="009A13F1"/>
    <w:rsid w:val="00B10D2F"/>
    <w:rsid w:val="00B7765D"/>
    <w:rsid w:val="00BA1546"/>
    <w:rsid w:val="00C436DE"/>
    <w:rsid w:val="00CA536E"/>
    <w:rsid w:val="00E11E82"/>
    <w:rsid w:val="00E3415A"/>
    <w:rsid w:val="00E57488"/>
    <w:rsid w:val="00E8687B"/>
    <w:rsid w:val="00F816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1E"/>
    <w:pPr>
      <w:widowContro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61E"/>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18545B"/>
    <w:rPr>
      <w:sz w:val="20"/>
      <w:szCs w:val="20"/>
    </w:rPr>
  </w:style>
  <w:style w:type="character" w:styleId="PageNumber">
    <w:name w:val="page number"/>
    <w:basedOn w:val="DefaultParagraphFont"/>
    <w:uiPriority w:val="99"/>
    <w:rsid w:val="001A661E"/>
    <w:rPr>
      <w:rFonts w:cs="Times New Roman"/>
    </w:rPr>
  </w:style>
  <w:style w:type="paragraph" w:styleId="Header">
    <w:name w:val="header"/>
    <w:basedOn w:val="Normal"/>
    <w:link w:val="HeaderChar"/>
    <w:uiPriority w:val="99"/>
    <w:rsid w:val="001A661E"/>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18545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132</Words>
  <Characters>759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台灣證券交易所八十八年度研究報告提要表</dc:title>
  <dc:subject/>
  <dc:creator>rachel</dc:creator>
  <cp:keywords/>
  <dc:description/>
  <cp:lastModifiedBy>test</cp:lastModifiedBy>
  <cp:revision>2</cp:revision>
  <cp:lastPrinted>2006-12-08T06:38:00Z</cp:lastPrinted>
  <dcterms:created xsi:type="dcterms:W3CDTF">2012-01-03T02:27:00Z</dcterms:created>
  <dcterms:modified xsi:type="dcterms:W3CDTF">2012-01-03T02:27:00Z</dcterms:modified>
</cp:coreProperties>
</file>