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20"/>
        <w:gridCol w:w="4320"/>
        <w:gridCol w:w="751"/>
        <w:gridCol w:w="2849"/>
      </w:tblGrid>
      <w:tr w:rsidR="00795D4C" w:rsidRPr="00691BA9" w:rsidTr="007C5C2C">
        <w:trPr>
          <w:trHeight w:val="878"/>
        </w:trPr>
        <w:tc>
          <w:tcPr>
            <w:tcW w:w="5940" w:type="dxa"/>
            <w:gridSpan w:val="2"/>
            <w:vAlign w:val="center"/>
          </w:tcPr>
          <w:p w:rsidR="00795D4C" w:rsidRPr="00691BA9" w:rsidRDefault="00795D4C" w:rsidP="00F8059F">
            <w:pPr>
              <w:snapToGrid w:val="0"/>
              <w:spacing w:beforeLines="50" w:line="400" w:lineRule="atLeast"/>
              <w:jc w:val="both"/>
              <w:rPr>
                <w:rFonts w:eastAsia="標楷體"/>
                <w:sz w:val="28"/>
              </w:rPr>
            </w:pPr>
            <w:r w:rsidRPr="00691BA9">
              <w:rPr>
                <w:rFonts w:eastAsia="標楷體" w:hAnsi="標楷體" w:hint="eastAsia"/>
                <w:sz w:val="32"/>
                <w:szCs w:val="32"/>
              </w:rPr>
              <w:t>臺灣期貨交易所</w:t>
            </w:r>
            <w:proofErr w:type="gramStart"/>
            <w:r w:rsidRPr="00691BA9">
              <w:rPr>
                <w:rFonts w:eastAsia="標楷體" w:hAnsi="標楷體"/>
                <w:sz w:val="32"/>
                <w:szCs w:val="32"/>
              </w:rPr>
              <w:t>10</w:t>
            </w:r>
            <w:r>
              <w:rPr>
                <w:rFonts w:eastAsia="標楷體" w:hAnsi="標楷體"/>
                <w:sz w:val="32"/>
                <w:szCs w:val="32"/>
              </w:rPr>
              <w:t>1</w:t>
            </w:r>
            <w:proofErr w:type="gramEnd"/>
            <w:r w:rsidRPr="00691BA9">
              <w:rPr>
                <w:rFonts w:eastAsia="標楷體" w:hAnsi="標楷體" w:hint="eastAsia"/>
                <w:sz w:val="32"/>
                <w:szCs w:val="32"/>
              </w:rPr>
              <w:t>年度研究報告提要表</w:t>
            </w:r>
          </w:p>
        </w:tc>
        <w:tc>
          <w:tcPr>
            <w:tcW w:w="3600" w:type="dxa"/>
            <w:gridSpan w:val="2"/>
            <w:vAlign w:val="center"/>
          </w:tcPr>
          <w:p w:rsidR="00795D4C" w:rsidRPr="00691BA9" w:rsidRDefault="00795D4C" w:rsidP="007C5C2C">
            <w:pPr>
              <w:widowControl/>
              <w:spacing w:line="380" w:lineRule="exact"/>
              <w:jc w:val="both"/>
              <w:rPr>
                <w:rFonts w:eastAsia="標楷體"/>
                <w:sz w:val="28"/>
              </w:rPr>
            </w:pPr>
            <w:r w:rsidRPr="00691BA9">
              <w:rPr>
                <w:rFonts w:eastAsia="標楷體" w:hAnsi="標楷體" w:hint="eastAsia"/>
                <w:sz w:val="28"/>
              </w:rPr>
              <w:t>填表人：</w:t>
            </w:r>
            <w:r>
              <w:rPr>
                <w:rFonts w:eastAsia="標楷體" w:hAnsi="標楷體" w:hint="eastAsia"/>
                <w:sz w:val="28"/>
              </w:rPr>
              <w:t>王奇木</w:t>
            </w:r>
          </w:p>
          <w:p w:rsidR="00795D4C" w:rsidRPr="00691BA9" w:rsidRDefault="00795D4C" w:rsidP="007C5C2C">
            <w:pPr>
              <w:snapToGrid w:val="0"/>
              <w:spacing w:line="380" w:lineRule="exact"/>
              <w:jc w:val="both"/>
              <w:rPr>
                <w:rFonts w:eastAsia="標楷體"/>
                <w:sz w:val="28"/>
              </w:rPr>
            </w:pPr>
            <w:r w:rsidRPr="00691BA9">
              <w:rPr>
                <w:rFonts w:eastAsia="標楷體" w:hAnsi="標楷體" w:hint="eastAsia"/>
                <w:sz w:val="28"/>
              </w:rPr>
              <w:t>填表日期：</w:t>
            </w:r>
            <w:r w:rsidRPr="00691BA9">
              <w:rPr>
                <w:rFonts w:eastAsia="標楷體" w:hAnsi="標楷體"/>
                <w:sz w:val="28"/>
              </w:rPr>
              <w:t>10</w:t>
            </w:r>
            <w:r>
              <w:rPr>
                <w:rFonts w:eastAsia="標楷體" w:hAnsi="標楷體"/>
                <w:sz w:val="28"/>
              </w:rPr>
              <w:t>1</w:t>
            </w:r>
            <w:r w:rsidRPr="00691BA9">
              <w:rPr>
                <w:rFonts w:eastAsia="標楷體" w:hAnsi="標楷體" w:hint="eastAsia"/>
                <w:sz w:val="28"/>
              </w:rPr>
              <w:t>年</w:t>
            </w:r>
            <w:r w:rsidR="008776D7">
              <w:rPr>
                <w:rFonts w:eastAsia="標楷體" w:hAnsi="標楷體" w:hint="eastAsia"/>
                <w:sz w:val="28"/>
              </w:rPr>
              <w:t>11</w:t>
            </w:r>
            <w:r w:rsidRPr="00691BA9">
              <w:rPr>
                <w:rFonts w:eastAsia="標楷體" w:hAnsi="標楷體" w:hint="eastAsia"/>
                <w:sz w:val="28"/>
              </w:rPr>
              <w:t>月</w:t>
            </w:r>
            <w:r w:rsidR="00E707D2">
              <w:rPr>
                <w:rFonts w:eastAsia="標楷體" w:hAnsi="標楷體" w:hint="eastAsia"/>
                <w:sz w:val="28"/>
              </w:rPr>
              <w:t>13</w:t>
            </w:r>
            <w:r w:rsidRPr="00691BA9">
              <w:rPr>
                <w:rFonts w:eastAsia="標楷體" w:hAnsi="標楷體" w:hint="eastAsia"/>
                <w:sz w:val="28"/>
              </w:rPr>
              <w:t>日</w:t>
            </w:r>
          </w:p>
        </w:tc>
      </w:tr>
      <w:tr w:rsidR="00795D4C" w:rsidRPr="00691BA9" w:rsidTr="007C5C2C">
        <w:trPr>
          <w:trHeight w:val="643"/>
        </w:trPr>
        <w:tc>
          <w:tcPr>
            <w:tcW w:w="1620" w:type="dxa"/>
            <w:vAlign w:val="center"/>
          </w:tcPr>
          <w:p w:rsidR="00795D4C" w:rsidRPr="00691BA9" w:rsidRDefault="00795D4C" w:rsidP="00E10358">
            <w:pPr>
              <w:snapToGrid w:val="0"/>
              <w:spacing w:line="500" w:lineRule="atLeast"/>
              <w:jc w:val="center"/>
              <w:rPr>
                <w:rFonts w:eastAsia="標楷體"/>
                <w:sz w:val="28"/>
              </w:rPr>
            </w:pPr>
            <w:r w:rsidRPr="00691BA9">
              <w:rPr>
                <w:rFonts w:eastAsia="標楷體" w:hAnsi="標楷體" w:hint="eastAsia"/>
                <w:sz w:val="28"/>
              </w:rPr>
              <w:t>研究項目</w:t>
            </w:r>
          </w:p>
        </w:tc>
        <w:tc>
          <w:tcPr>
            <w:tcW w:w="7920" w:type="dxa"/>
            <w:gridSpan w:val="3"/>
            <w:vAlign w:val="center"/>
          </w:tcPr>
          <w:p w:rsidR="00795D4C" w:rsidRPr="00691BA9" w:rsidRDefault="00795D4C" w:rsidP="007C5C2C">
            <w:pPr>
              <w:snapToGrid w:val="0"/>
              <w:spacing w:line="500" w:lineRule="atLeast"/>
              <w:jc w:val="both"/>
              <w:rPr>
                <w:rFonts w:eastAsia="標楷體"/>
                <w:sz w:val="28"/>
                <w:szCs w:val="28"/>
              </w:rPr>
            </w:pPr>
            <w:r w:rsidRPr="005736F4">
              <w:rPr>
                <w:rFonts w:eastAsia="標楷體" w:hint="eastAsia"/>
                <w:sz w:val="28"/>
                <w:szCs w:val="28"/>
              </w:rPr>
              <w:t>期貨交易人以股票抵</w:t>
            </w:r>
            <w:proofErr w:type="gramStart"/>
            <w:r w:rsidRPr="005736F4">
              <w:rPr>
                <w:rFonts w:eastAsia="標楷體" w:hint="eastAsia"/>
                <w:sz w:val="28"/>
                <w:szCs w:val="28"/>
              </w:rPr>
              <w:t>繳同標</w:t>
            </w:r>
            <w:proofErr w:type="gramEnd"/>
            <w:r w:rsidRPr="005736F4">
              <w:rPr>
                <w:rFonts w:eastAsia="標楷體" w:hint="eastAsia"/>
                <w:sz w:val="28"/>
                <w:szCs w:val="28"/>
              </w:rPr>
              <w:t>的之股票期貨賣方部位保證金之研究</w:t>
            </w:r>
          </w:p>
        </w:tc>
      </w:tr>
      <w:tr w:rsidR="00795D4C" w:rsidRPr="00691BA9" w:rsidTr="007C5C2C">
        <w:trPr>
          <w:trHeight w:val="1564"/>
        </w:trPr>
        <w:tc>
          <w:tcPr>
            <w:tcW w:w="1620" w:type="dxa"/>
            <w:vAlign w:val="center"/>
          </w:tcPr>
          <w:p w:rsidR="00795D4C" w:rsidRPr="00691BA9" w:rsidRDefault="00795D4C" w:rsidP="00E10358">
            <w:pPr>
              <w:snapToGrid w:val="0"/>
              <w:spacing w:line="400" w:lineRule="atLeast"/>
              <w:jc w:val="center"/>
              <w:rPr>
                <w:rFonts w:eastAsia="標楷體"/>
                <w:sz w:val="28"/>
              </w:rPr>
            </w:pPr>
            <w:r w:rsidRPr="00691BA9">
              <w:rPr>
                <w:rFonts w:eastAsia="標楷體" w:hAnsi="標楷體" w:hint="eastAsia"/>
                <w:sz w:val="28"/>
              </w:rPr>
              <w:t>研究單位</w:t>
            </w:r>
          </w:p>
          <w:p w:rsidR="00795D4C" w:rsidRPr="00691BA9" w:rsidRDefault="00795D4C" w:rsidP="00E10358">
            <w:pPr>
              <w:snapToGrid w:val="0"/>
              <w:spacing w:line="400" w:lineRule="atLeast"/>
              <w:jc w:val="center"/>
              <w:rPr>
                <w:rFonts w:eastAsia="標楷體"/>
                <w:sz w:val="28"/>
              </w:rPr>
            </w:pPr>
            <w:r w:rsidRPr="00691BA9">
              <w:rPr>
                <w:rFonts w:eastAsia="標楷體" w:hAnsi="標楷體" w:hint="eastAsia"/>
                <w:sz w:val="28"/>
              </w:rPr>
              <w:t>及人員</w:t>
            </w:r>
          </w:p>
        </w:tc>
        <w:tc>
          <w:tcPr>
            <w:tcW w:w="4320" w:type="dxa"/>
            <w:vAlign w:val="center"/>
          </w:tcPr>
          <w:p w:rsidR="00795D4C" w:rsidRPr="00691BA9" w:rsidRDefault="00795D4C" w:rsidP="001562B2">
            <w:pPr>
              <w:widowControl/>
              <w:spacing w:line="340" w:lineRule="exact"/>
              <w:jc w:val="both"/>
              <w:rPr>
                <w:rFonts w:eastAsia="標楷體" w:hAnsi="標楷體"/>
                <w:sz w:val="28"/>
                <w:szCs w:val="32"/>
              </w:rPr>
            </w:pPr>
            <w:r w:rsidRPr="00691BA9">
              <w:rPr>
                <w:rFonts w:eastAsia="標楷體" w:hAnsi="標楷體" w:hint="eastAsia"/>
                <w:sz w:val="28"/>
              </w:rPr>
              <w:t>研究單位</w:t>
            </w:r>
            <w:r w:rsidRPr="00691BA9">
              <w:rPr>
                <w:rFonts w:eastAsia="標楷體" w:hAnsi="標楷體" w:hint="eastAsia"/>
                <w:sz w:val="28"/>
                <w:szCs w:val="32"/>
              </w:rPr>
              <w:t>：臺灣期貨交易所</w:t>
            </w:r>
          </w:p>
          <w:p w:rsidR="00795D4C" w:rsidRPr="00691BA9" w:rsidRDefault="00795D4C" w:rsidP="001562B2">
            <w:pPr>
              <w:snapToGrid w:val="0"/>
              <w:spacing w:line="340" w:lineRule="exact"/>
              <w:jc w:val="both"/>
              <w:rPr>
                <w:rFonts w:eastAsia="標楷體"/>
                <w:sz w:val="28"/>
              </w:rPr>
            </w:pPr>
            <w:r w:rsidRPr="00691BA9">
              <w:rPr>
                <w:rFonts w:eastAsia="標楷體" w:hAnsi="標楷體" w:hint="eastAsia"/>
                <w:sz w:val="28"/>
                <w:szCs w:val="32"/>
              </w:rPr>
              <w:t>研究人員：</w:t>
            </w:r>
            <w:r>
              <w:rPr>
                <w:rFonts w:eastAsia="標楷體" w:hAnsi="標楷體" w:hint="eastAsia"/>
                <w:kern w:val="0"/>
                <w:sz w:val="28"/>
              </w:rPr>
              <w:t>王奇木</w:t>
            </w:r>
          </w:p>
        </w:tc>
        <w:tc>
          <w:tcPr>
            <w:tcW w:w="751" w:type="dxa"/>
            <w:vAlign w:val="center"/>
          </w:tcPr>
          <w:p w:rsidR="00795D4C" w:rsidRPr="00691BA9" w:rsidRDefault="00795D4C" w:rsidP="007C5C2C">
            <w:pPr>
              <w:snapToGrid w:val="0"/>
              <w:spacing w:line="400" w:lineRule="atLeast"/>
              <w:jc w:val="both"/>
              <w:rPr>
                <w:rFonts w:eastAsia="標楷體"/>
                <w:sz w:val="28"/>
              </w:rPr>
            </w:pPr>
            <w:r w:rsidRPr="00691BA9">
              <w:rPr>
                <w:rFonts w:eastAsia="標楷體" w:hAnsi="標楷體" w:hint="eastAsia"/>
                <w:sz w:val="28"/>
              </w:rPr>
              <w:t>研究</w:t>
            </w:r>
          </w:p>
          <w:p w:rsidR="00795D4C" w:rsidRPr="00691BA9" w:rsidRDefault="00795D4C" w:rsidP="007C5C2C">
            <w:pPr>
              <w:snapToGrid w:val="0"/>
              <w:spacing w:line="400" w:lineRule="atLeast"/>
              <w:jc w:val="both"/>
              <w:rPr>
                <w:rFonts w:eastAsia="標楷體"/>
                <w:sz w:val="28"/>
              </w:rPr>
            </w:pPr>
            <w:r w:rsidRPr="00691BA9">
              <w:rPr>
                <w:rFonts w:eastAsia="標楷體" w:hAnsi="標楷體" w:hint="eastAsia"/>
                <w:sz w:val="28"/>
              </w:rPr>
              <w:t>時間</w:t>
            </w:r>
          </w:p>
        </w:tc>
        <w:tc>
          <w:tcPr>
            <w:tcW w:w="2849" w:type="dxa"/>
            <w:vAlign w:val="center"/>
          </w:tcPr>
          <w:p w:rsidR="00795D4C" w:rsidRPr="00691BA9" w:rsidRDefault="00795D4C">
            <w:pPr>
              <w:widowControl/>
              <w:spacing w:line="340" w:lineRule="exact"/>
              <w:jc w:val="both"/>
              <w:rPr>
                <w:rFonts w:eastAsia="標楷體"/>
                <w:sz w:val="28"/>
                <w:szCs w:val="32"/>
              </w:rPr>
            </w:pPr>
            <w:r w:rsidRPr="00691BA9">
              <w:rPr>
                <w:rFonts w:eastAsia="標楷體" w:hAnsi="標楷體" w:hint="eastAsia"/>
                <w:sz w:val="28"/>
                <w:szCs w:val="32"/>
              </w:rPr>
              <w:t>自</w:t>
            </w:r>
            <w:r w:rsidRPr="00691BA9">
              <w:rPr>
                <w:rFonts w:eastAsia="標楷體" w:hAnsi="標楷體"/>
                <w:sz w:val="28"/>
                <w:szCs w:val="32"/>
              </w:rPr>
              <w:t>10</w:t>
            </w:r>
            <w:r>
              <w:rPr>
                <w:rFonts w:eastAsia="標楷體" w:hAnsi="標楷體"/>
                <w:sz w:val="28"/>
                <w:szCs w:val="32"/>
              </w:rPr>
              <w:t>1</w:t>
            </w:r>
            <w:r w:rsidRPr="00691BA9">
              <w:rPr>
                <w:rFonts w:eastAsia="標楷體" w:hAnsi="標楷體" w:hint="eastAsia"/>
                <w:sz w:val="28"/>
                <w:szCs w:val="32"/>
              </w:rPr>
              <w:t>年</w:t>
            </w:r>
            <w:r>
              <w:rPr>
                <w:rFonts w:eastAsia="標楷體" w:hAnsi="標楷體"/>
                <w:sz w:val="28"/>
                <w:szCs w:val="32"/>
              </w:rPr>
              <w:t>0</w:t>
            </w:r>
            <w:r w:rsidRPr="00691BA9">
              <w:rPr>
                <w:rFonts w:eastAsia="標楷體"/>
                <w:sz w:val="28"/>
                <w:szCs w:val="32"/>
              </w:rPr>
              <w:t>1</w:t>
            </w:r>
            <w:r w:rsidRPr="00691BA9">
              <w:rPr>
                <w:rFonts w:eastAsia="標楷體" w:hAnsi="標楷體" w:hint="eastAsia"/>
                <w:sz w:val="28"/>
                <w:szCs w:val="32"/>
              </w:rPr>
              <w:t>月</w:t>
            </w:r>
            <w:r>
              <w:rPr>
                <w:rFonts w:eastAsia="標楷體" w:hAnsi="標楷體"/>
                <w:sz w:val="28"/>
                <w:szCs w:val="32"/>
              </w:rPr>
              <w:t>0</w:t>
            </w:r>
            <w:r w:rsidRPr="00691BA9">
              <w:rPr>
                <w:rFonts w:eastAsia="標楷體" w:hAnsi="標楷體"/>
                <w:sz w:val="28"/>
                <w:szCs w:val="32"/>
              </w:rPr>
              <w:t>1</w:t>
            </w:r>
            <w:r w:rsidRPr="00691BA9">
              <w:rPr>
                <w:rFonts w:eastAsia="標楷體" w:hAnsi="標楷體" w:hint="eastAsia"/>
                <w:sz w:val="28"/>
                <w:szCs w:val="32"/>
              </w:rPr>
              <w:t>日</w:t>
            </w:r>
          </w:p>
          <w:p w:rsidR="00795D4C" w:rsidRPr="00691BA9" w:rsidRDefault="00795D4C" w:rsidP="005736F4">
            <w:pPr>
              <w:widowControl/>
              <w:spacing w:line="340" w:lineRule="exact"/>
              <w:jc w:val="both"/>
              <w:rPr>
                <w:rFonts w:eastAsia="標楷體"/>
                <w:sz w:val="28"/>
                <w:szCs w:val="32"/>
              </w:rPr>
            </w:pPr>
            <w:r w:rsidRPr="00691BA9">
              <w:rPr>
                <w:rFonts w:eastAsia="標楷體" w:hAnsi="標楷體" w:hint="eastAsia"/>
                <w:sz w:val="28"/>
                <w:szCs w:val="32"/>
              </w:rPr>
              <w:t>至</w:t>
            </w:r>
            <w:r w:rsidRPr="00691BA9">
              <w:rPr>
                <w:rFonts w:eastAsia="標楷體" w:hAnsi="標楷體"/>
                <w:sz w:val="28"/>
                <w:szCs w:val="32"/>
              </w:rPr>
              <w:t>10</w:t>
            </w:r>
            <w:r>
              <w:rPr>
                <w:rFonts w:eastAsia="標楷體" w:hAnsi="標楷體"/>
                <w:sz w:val="28"/>
                <w:szCs w:val="32"/>
              </w:rPr>
              <w:t>1</w:t>
            </w:r>
            <w:r w:rsidRPr="00691BA9">
              <w:rPr>
                <w:rFonts w:eastAsia="標楷體" w:hAnsi="標楷體" w:hint="eastAsia"/>
                <w:sz w:val="28"/>
                <w:szCs w:val="32"/>
              </w:rPr>
              <w:t>年</w:t>
            </w:r>
            <w:r w:rsidRPr="00691BA9">
              <w:rPr>
                <w:rFonts w:eastAsia="標楷體"/>
                <w:sz w:val="28"/>
                <w:szCs w:val="32"/>
              </w:rPr>
              <w:t>1</w:t>
            </w:r>
            <w:r>
              <w:rPr>
                <w:rFonts w:eastAsia="標楷體"/>
                <w:sz w:val="28"/>
                <w:szCs w:val="32"/>
              </w:rPr>
              <w:t>0</w:t>
            </w:r>
            <w:r w:rsidRPr="00691BA9">
              <w:rPr>
                <w:rFonts w:eastAsia="標楷體" w:hAnsi="標楷體" w:hint="eastAsia"/>
                <w:sz w:val="28"/>
                <w:szCs w:val="32"/>
              </w:rPr>
              <w:t>月</w:t>
            </w:r>
            <w:r w:rsidR="008776D7">
              <w:rPr>
                <w:rFonts w:eastAsia="標楷體" w:hAnsi="標楷體" w:hint="eastAsia"/>
                <w:sz w:val="28"/>
                <w:szCs w:val="32"/>
              </w:rPr>
              <w:t>31</w:t>
            </w:r>
            <w:r w:rsidRPr="00691BA9">
              <w:rPr>
                <w:rFonts w:eastAsia="標楷體" w:hAnsi="標楷體" w:hint="eastAsia"/>
                <w:sz w:val="28"/>
                <w:szCs w:val="32"/>
              </w:rPr>
              <w:t>日</w:t>
            </w:r>
          </w:p>
        </w:tc>
      </w:tr>
      <w:tr w:rsidR="00795D4C" w:rsidRPr="00691BA9" w:rsidTr="007C5C2C">
        <w:trPr>
          <w:cantSplit/>
        </w:trPr>
        <w:tc>
          <w:tcPr>
            <w:tcW w:w="9540" w:type="dxa"/>
            <w:gridSpan w:val="4"/>
          </w:tcPr>
          <w:p w:rsidR="00795D4C" w:rsidRPr="00691BA9" w:rsidRDefault="00795D4C">
            <w:pPr>
              <w:snapToGrid w:val="0"/>
              <w:spacing w:line="500" w:lineRule="atLeast"/>
              <w:jc w:val="center"/>
              <w:rPr>
                <w:rFonts w:eastAsia="標楷體"/>
                <w:sz w:val="28"/>
              </w:rPr>
            </w:pPr>
            <w:r w:rsidRPr="00691BA9">
              <w:rPr>
                <w:rFonts w:eastAsia="標楷體" w:hAnsi="標楷體" w:hint="eastAsia"/>
                <w:sz w:val="28"/>
              </w:rPr>
              <w:t>報告內容提要</w:t>
            </w:r>
          </w:p>
        </w:tc>
      </w:tr>
      <w:tr w:rsidR="00795D4C" w:rsidRPr="00691BA9" w:rsidTr="007C5C2C">
        <w:trPr>
          <w:trHeight w:val="1776"/>
        </w:trPr>
        <w:tc>
          <w:tcPr>
            <w:tcW w:w="9540" w:type="dxa"/>
            <w:gridSpan w:val="4"/>
          </w:tcPr>
          <w:p w:rsidR="00795D4C" w:rsidRPr="00261C1E" w:rsidRDefault="00795D4C" w:rsidP="00F8059F">
            <w:pPr>
              <w:widowControl/>
              <w:adjustRightInd w:val="0"/>
              <w:spacing w:beforeLines="50" w:line="480" w:lineRule="exact"/>
              <w:ind w:rightChars="138" w:right="331" w:firstLineChars="30" w:firstLine="84"/>
              <w:rPr>
                <w:rFonts w:eastAsia="標楷體"/>
                <w:b/>
                <w:sz w:val="28"/>
                <w:szCs w:val="32"/>
              </w:rPr>
            </w:pPr>
            <w:r w:rsidRPr="00261C1E">
              <w:rPr>
                <w:rFonts w:eastAsia="標楷體" w:hint="eastAsia"/>
                <w:b/>
                <w:sz w:val="28"/>
              </w:rPr>
              <w:t>壹、研究內容重點</w:t>
            </w:r>
            <w:r w:rsidRPr="00261C1E">
              <w:rPr>
                <w:rFonts w:eastAsia="標楷體"/>
                <w:b/>
                <w:sz w:val="28"/>
                <w:szCs w:val="32"/>
              </w:rPr>
              <w:t xml:space="preserve"> </w:t>
            </w:r>
          </w:p>
          <w:p w:rsidR="00795D4C" w:rsidRPr="000308B4" w:rsidRDefault="00795D4C" w:rsidP="000308B4">
            <w:pPr>
              <w:widowControl/>
              <w:numPr>
                <w:ilvl w:val="0"/>
                <w:numId w:val="4"/>
              </w:numPr>
              <w:adjustRightInd w:val="0"/>
              <w:spacing w:line="480" w:lineRule="exact"/>
              <w:ind w:left="998" w:rightChars="50" w:right="120"/>
              <w:rPr>
                <w:rStyle w:val="ab"/>
                <w:rFonts w:ascii="標楷體" w:eastAsia="標楷體" w:hAnsi="標楷體" w:hint="eastAsia"/>
                <w:noProof/>
                <w:color w:val="auto"/>
                <w:sz w:val="28"/>
                <w:szCs w:val="28"/>
                <w:u w:val="none"/>
              </w:rPr>
            </w:pPr>
            <w:r w:rsidRPr="000308B4">
              <w:rPr>
                <w:rStyle w:val="ab"/>
                <w:rFonts w:ascii="標楷體" w:eastAsia="標楷體" w:hAnsi="標楷體" w:hint="eastAsia"/>
                <w:noProof/>
                <w:color w:val="auto"/>
                <w:sz w:val="28"/>
                <w:szCs w:val="28"/>
                <w:u w:val="none"/>
              </w:rPr>
              <w:t>國外國內期貨市場以股票抵繳期貨交易保證金簡介</w:t>
            </w:r>
          </w:p>
          <w:p w:rsidR="00A63EFD" w:rsidRPr="000308B4" w:rsidRDefault="00A63EFD" w:rsidP="000308B4">
            <w:pPr>
              <w:widowControl/>
              <w:numPr>
                <w:ilvl w:val="0"/>
                <w:numId w:val="4"/>
              </w:numPr>
              <w:adjustRightInd w:val="0"/>
              <w:spacing w:line="480" w:lineRule="exact"/>
              <w:ind w:left="998" w:rightChars="50" w:right="120"/>
              <w:rPr>
                <w:rStyle w:val="ab"/>
                <w:rFonts w:ascii="標楷體" w:eastAsia="標楷體" w:hAnsi="標楷體"/>
                <w:noProof/>
                <w:color w:val="auto"/>
                <w:sz w:val="28"/>
                <w:szCs w:val="28"/>
                <w:u w:val="none"/>
              </w:rPr>
            </w:pPr>
            <w:r w:rsidRPr="000308B4">
              <w:rPr>
                <w:rStyle w:val="ab"/>
                <w:rFonts w:ascii="標楷體" w:eastAsia="標楷體" w:hAnsi="標楷體" w:hint="eastAsia"/>
                <w:noProof/>
                <w:color w:val="auto"/>
                <w:sz w:val="28"/>
                <w:szCs w:val="28"/>
                <w:u w:val="none"/>
              </w:rPr>
              <w:t>期貨交易人以股票抵繳同標的之股票期貨賣方部位保證金規劃內容</w:t>
            </w:r>
          </w:p>
          <w:p w:rsidR="00795D4C" w:rsidRPr="000308B4" w:rsidRDefault="000308B4" w:rsidP="000308B4">
            <w:pPr>
              <w:widowControl/>
              <w:numPr>
                <w:ilvl w:val="0"/>
                <w:numId w:val="4"/>
              </w:numPr>
              <w:adjustRightInd w:val="0"/>
              <w:spacing w:line="480" w:lineRule="exact"/>
              <w:ind w:left="998" w:rightChars="50" w:right="120"/>
              <w:rPr>
                <w:rStyle w:val="ab"/>
                <w:rFonts w:ascii="標楷體" w:eastAsia="標楷體" w:hAnsi="標楷體"/>
                <w:noProof/>
                <w:color w:val="auto"/>
                <w:sz w:val="28"/>
                <w:szCs w:val="28"/>
                <w:u w:val="none"/>
              </w:rPr>
            </w:pPr>
            <w:r w:rsidRPr="000308B4">
              <w:rPr>
                <w:rStyle w:val="ab"/>
                <w:rFonts w:ascii="標楷體" w:eastAsia="標楷體" w:hAnsi="標楷體" w:hint="eastAsia"/>
                <w:noProof/>
                <w:color w:val="auto"/>
                <w:sz w:val="28"/>
                <w:szCs w:val="28"/>
                <w:u w:val="none"/>
              </w:rPr>
              <w:t>規劃內容</w:t>
            </w:r>
            <w:r w:rsidR="00795D4C" w:rsidRPr="000308B4">
              <w:rPr>
                <w:rStyle w:val="ab"/>
                <w:rFonts w:ascii="標楷體" w:eastAsia="標楷體" w:hAnsi="標楷體" w:hint="eastAsia"/>
                <w:noProof/>
                <w:color w:val="auto"/>
                <w:sz w:val="28"/>
                <w:szCs w:val="28"/>
                <w:u w:val="none"/>
              </w:rPr>
              <w:t>之可行性評估</w:t>
            </w:r>
          </w:p>
          <w:p w:rsidR="00795D4C" w:rsidRPr="00857432" w:rsidRDefault="00867C4F" w:rsidP="00134198">
            <w:pPr>
              <w:numPr>
                <w:ilvl w:val="0"/>
                <w:numId w:val="12"/>
              </w:numPr>
              <w:tabs>
                <w:tab w:val="left" w:pos="1260"/>
                <w:tab w:val="left" w:pos="1560"/>
              </w:tabs>
              <w:snapToGrid w:val="0"/>
              <w:spacing w:line="480" w:lineRule="exact"/>
              <w:ind w:leftChars="332" w:left="1116" w:rightChars="138" w:right="331" w:hangingChars="114" w:hanging="319"/>
              <w:jc w:val="both"/>
              <w:rPr>
                <w:rFonts w:eastAsia="標楷體"/>
                <w:sz w:val="28"/>
                <w:szCs w:val="28"/>
              </w:rPr>
            </w:pPr>
            <w:r w:rsidRPr="00867C4F">
              <w:rPr>
                <w:rFonts w:eastAsia="標楷體" w:cs="標楷體" w:hint="eastAsia"/>
                <w:sz w:val="28"/>
                <w:szCs w:val="28"/>
              </w:rPr>
              <w:t>風險控管評估</w:t>
            </w:r>
          </w:p>
          <w:p w:rsidR="00795D4C" w:rsidRPr="00857432" w:rsidRDefault="00795D4C" w:rsidP="00134198">
            <w:pPr>
              <w:numPr>
                <w:ilvl w:val="0"/>
                <w:numId w:val="12"/>
              </w:numPr>
              <w:tabs>
                <w:tab w:val="left" w:pos="1260"/>
                <w:tab w:val="left" w:pos="1560"/>
              </w:tabs>
              <w:snapToGrid w:val="0"/>
              <w:spacing w:line="480" w:lineRule="exact"/>
              <w:ind w:leftChars="332" w:left="1116" w:rightChars="138" w:right="331" w:hangingChars="114" w:hanging="319"/>
              <w:rPr>
                <w:rFonts w:eastAsia="標楷體"/>
                <w:sz w:val="28"/>
                <w:szCs w:val="28"/>
              </w:rPr>
            </w:pPr>
            <w:r w:rsidRPr="00857432">
              <w:rPr>
                <w:rFonts w:eastAsia="標楷體" w:cs="標楷體" w:hint="eastAsia"/>
                <w:sz w:val="28"/>
                <w:szCs w:val="28"/>
              </w:rPr>
              <w:t>法規面可行性分析</w:t>
            </w:r>
          </w:p>
          <w:p w:rsidR="00795D4C" w:rsidRPr="00857432" w:rsidRDefault="00795D4C" w:rsidP="00134198">
            <w:pPr>
              <w:numPr>
                <w:ilvl w:val="0"/>
                <w:numId w:val="12"/>
              </w:numPr>
              <w:tabs>
                <w:tab w:val="left" w:pos="1260"/>
                <w:tab w:val="left" w:pos="1560"/>
              </w:tabs>
              <w:snapToGrid w:val="0"/>
              <w:spacing w:line="480" w:lineRule="exact"/>
              <w:ind w:leftChars="332" w:left="1116" w:rightChars="138" w:right="331" w:hangingChars="114" w:hanging="319"/>
              <w:jc w:val="both"/>
              <w:rPr>
                <w:rFonts w:eastAsia="標楷體"/>
                <w:sz w:val="28"/>
                <w:szCs w:val="28"/>
              </w:rPr>
            </w:pPr>
            <w:r w:rsidRPr="00857432">
              <w:rPr>
                <w:rFonts w:eastAsia="標楷體" w:cs="標楷體" w:hint="eastAsia"/>
                <w:sz w:val="28"/>
                <w:szCs w:val="28"/>
              </w:rPr>
              <w:t>需求及成本效益評估</w:t>
            </w:r>
          </w:p>
          <w:p w:rsidR="00795D4C" w:rsidRPr="000308B4" w:rsidRDefault="00795D4C" w:rsidP="000308B4">
            <w:pPr>
              <w:widowControl/>
              <w:numPr>
                <w:ilvl w:val="0"/>
                <w:numId w:val="4"/>
              </w:numPr>
              <w:adjustRightInd w:val="0"/>
              <w:spacing w:line="480" w:lineRule="exact"/>
              <w:ind w:left="998" w:rightChars="50" w:right="120"/>
              <w:rPr>
                <w:rStyle w:val="ab"/>
                <w:rFonts w:ascii="標楷體" w:eastAsia="標楷體" w:hAnsi="標楷體"/>
                <w:noProof/>
                <w:color w:val="auto"/>
                <w:sz w:val="28"/>
                <w:szCs w:val="28"/>
                <w:u w:val="none"/>
              </w:rPr>
            </w:pPr>
            <w:r w:rsidRPr="000308B4">
              <w:rPr>
                <w:rStyle w:val="ab"/>
                <w:rFonts w:ascii="標楷體" w:eastAsia="標楷體" w:hAnsi="標楷體" w:hint="eastAsia"/>
                <w:noProof/>
                <w:color w:val="auto"/>
                <w:sz w:val="28"/>
                <w:szCs w:val="28"/>
                <w:u w:val="none"/>
              </w:rPr>
              <w:t>結論與建議</w:t>
            </w:r>
          </w:p>
          <w:p w:rsidR="00795D4C" w:rsidRPr="00261C1E" w:rsidRDefault="00795D4C" w:rsidP="00F8059F">
            <w:pPr>
              <w:widowControl/>
              <w:adjustRightInd w:val="0"/>
              <w:spacing w:beforeLines="50" w:line="480" w:lineRule="exact"/>
              <w:ind w:rightChars="138" w:right="331" w:firstLineChars="30" w:firstLine="84"/>
              <w:rPr>
                <w:rFonts w:eastAsia="標楷體"/>
                <w:b/>
                <w:sz w:val="28"/>
                <w:szCs w:val="26"/>
              </w:rPr>
            </w:pPr>
            <w:r w:rsidRPr="00261C1E">
              <w:rPr>
                <w:rFonts w:eastAsia="標楷體" w:hint="eastAsia"/>
                <w:b/>
                <w:sz w:val="28"/>
              </w:rPr>
              <w:t>貳、結論與建議事項</w:t>
            </w:r>
          </w:p>
          <w:p w:rsidR="006C421E" w:rsidRPr="00867C4F" w:rsidRDefault="006C421E" w:rsidP="00867C4F">
            <w:pPr>
              <w:widowControl/>
              <w:numPr>
                <w:ilvl w:val="0"/>
                <w:numId w:val="16"/>
              </w:numPr>
              <w:adjustRightInd w:val="0"/>
              <w:spacing w:line="480" w:lineRule="exact"/>
              <w:ind w:rightChars="50" w:right="120"/>
              <w:rPr>
                <w:rStyle w:val="ab"/>
                <w:rFonts w:ascii="標楷體" w:eastAsia="標楷體" w:hAnsi="標楷體"/>
                <w:noProof/>
                <w:color w:val="auto"/>
                <w:sz w:val="28"/>
                <w:szCs w:val="28"/>
                <w:u w:val="none"/>
              </w:rPr>
            </w:pPr>
            <w:r w:rsidRPr="00867C4F">
              <w:rPr>
                <w:rStyle w:val="ab"/>
                <w:rFonts w:ascii="標楷體" w:eastAsia="標楷體" w:hAnsi="標楷體" w:hint="eastAsia"/>
                <w:noProof/>
                <w:color w:val="auto"/>
                <w:sz w:val="28"/>
                <w:szCs w:val="28"/>
                <w:u w:val="none"/>
              </w:rPr>
              <w:t>配合本公司對股票期貨契約商品之推廣，</w:t>
            </w:r>
            <w:r w:rsidR="00E11F42" w:rsidRPr="00867C4F">
              <w:rPr>
                <w:rStyle w:val="ab"/>
                <w:rFonts w:ascii="標楷體" w:eastAsia="標楷體" w:hAnsi="標楷體" w:hint="eastAsia"/>
                <w:noProof/>
                <w:color w:val="auto"/>
                <w:sz w:val="28"/>
                <w:szCs w:val="28"/>
                <w:u w:val="none"/>
              </w:rPr>
              <w:t>為</w:t>
            </w:r>
            <w:r w:rsidRPr="00867C4F">
              <w:rPr>
                <w:rStyle w:val="ab"/>
                <w:rFonts w:ascii="標楷體" w:eastAsia="標楷體" w:hAnsi="標楷體" w:hint="eastAsia"/>
                <w:noProof/>
                <w:color w:val="auto"/>
                <w:sz w:val="28"/>
                <w:szCs w:val="28"/>
                <w:u w:val="none"/>
              </w:rPr>
              <w:t>提高期貨交易人資金運用效率並發揮股票期貨之避險功能，爰研究規劃期貨交易人得以股票抵繳同標的之股票期貨賣方部位保證金。經審視國外主要交易所對股票類有價證券抵繳保證金之相關作法中，尚未有類似本研究規劃之股票抵繳同標的</w:t>
            </w:r>
            <w:r w:rsidR="00957D11" w:rsidRPr="00867C4F">
              <w:rPr>
                <w:rStyle w:val="ab"/>
                <w:rFonts w:ascii="標楷體" w:eastAsia="標楷體" w:hAnsi="標楷體" w:hint="eastAsia"/>
                <w:noProof/>
                <w:color w:val="auto"/>
                <w:sz w:val="28"/>
                <w:szCs w:val="28"/>
                <w:u w:val="none"/>
              </w:rPr>
              <w:t>股票</w:t>
            </w:r>
            <w:r w:rsidRPr="00867C4F">
              <w:rPr>
                <w:rStyle w:val="ab"/>
                <w:rFonts w:ascii="標楷體" w:eastAsia="標楷體" w:hAnsi="標楷體" w:hint="eastAsia"/>
                <w:noProof/>
                <w:color w:val="auto"/>
                <w:sz w:val="28"/>
                <w:szCs w:val="28"/>
                <w:u w:val="none"/>
              </w:rPr>
              <w:t>期貨賣方部位保證金之</w:t>
            </w:r>
            <w:r w:rsidR="00ED5099" w:rsidRPr="00867C4F">
              <w:rPr>
                <w:rStyle w:val="ab"/>
                <w:rFonts w:ascii="標楷體" w:eastAsia="標楷體" w:hAnsi="標楷體" w:hint="eastAsia"/>
                <w:noProof/>
                <w:color w:val="auto"/>
                <w:sz w:val="28"/>
                <w:szCs w:val="28"/>
                <w:u w:val="none"/>
              </w:rPr>
              <w:t>作法</w:t>
            </w:r>
            <w:r w:rsidRPr="00867C4F">
              <w:rPr>
                <w:rStyle w:val="ab"/>
                <w:rFonts w:ascii="標楷體" w:eastAsia="標楷體" w:hAnsi="標楷體" w:hint="eastAsia"/>
                <w:noProof/>
                <w:color w:val="auto"/>
                <w:sz w:val="28"/>
                <w:szCs w:val="28"/>
                <w:u w:val="none"/>
              </w:rPr>
              <w:t>，惟有得以有價證券全數抵保證金之作法值得參考。而現行國內抵繳制度係自</w:t>
            </w:r>
            <w:r w:rsidRPr="00867C4F">
              <w:rPr>
                <w:rStyle w:val="ab"/>
                <w:rFonts w:ascii="標楷體" w:eastAsia="標楷體" w:hAnsi="標楷體"/>
                <w:noProof/>
                <w:color w:val="auto"/>
                <w:sz w:val="28"/>
                <w:szCs w:val="28"/>
                <w:u w:val="none"/>
              </w:rPr>
              <w:t>97</w:t>
            </w:r>
            <w:r w:rsidRPr="00867C4F">
              <w:rPr>
                <w:rStyle w:val="ab"/>
                <w:rFonts w:ascii="標楷體" w:eastAsia="標楷體" w:hAnsi="標楷體" w:hint="eastAsia"/>
                <w:noProof/>
                <w:color w:val="auto"/>
                <w:sz w:val="28"/>
                <w:szCs w:val="28"/>
                <w:u w:val="none"/>
              </w:rPr>
              <w:t>年</w:t>
            </w:r>
            <w:r w:rsidRPr="00867C4F">
              <w:rPr>
                <w:rStyle w:val="ab"/>
                <w:rFonts w:ascii="標楷體" w:eastAsia="標楷體" w:hAnsi="標楷體"/>
                <w:noProof/>
                <w:color w:val="auto"/>
                <w:sz w:val="28"/>
                <w:szCs w:val="28"/>
                <w:u w:val="none"/>
              </w:rPr>
              <w:t>11</w:t>
            </w:r>
            <w:r w:rsidRPr="00867C4F">
              <w:rPr>
                <w:rStyle w:val="ab"/>
                <w:rFonts w:ascii="標楷體" w:eastAsia="標楷體" w:hAnsi="標楷體" w:hint="eastAsia"/>
                <w:noProof/>
                <w:color w:val="auto"/>
                <w:sz w:val="28"/>
                <w:szCs w:val="28"/>
                <w:u w:val="none"/>
              </w:rPr>
              <w:t>月</w:t>
            </w:r>
            <w:r w:rsidRPr="00867C4F">
              <w:rPr>
                <w:rStyle w:val="ab"/>
                <w:rFonts w:ascii="標楷體" w:eastAsia="標楷體" w:hAnsi="標楷體"/>
                <w:noProof/>
                <w:color w:val="auto"/>
                <w:sz w:val="28"/>
                <w:szCs w:val="28"/>
                <w:u w:val="none"/>
              </w:rPr>
              <w:t>10</w:t>
            </w:r>
            <w:r w:rsidRPr="00867C4F">
              <w:rPr>
                <w:rStyle w:val="ab"/>
                <w:rFonts w:ascii="標楷體" w:eastAsia="標楷體" w:hAnsi="標楷體" w:hint="eastAsia"/>
                <w:noProof/>
                <w:color w:val="auto"/>
                <w:sz w:val="28"/>
                <w:szCs w:val="28"/>
                <w:u w:val="none"/>
              </w:rPr>
              <w:t>日正式實施，實施成效尚稱良好，期貨交易人對抵繳制度持正面支持態度，惟</w:t>
            </w:r>
            <w:r w:rsidR="00B16FDA" w:rsidRPr="00867C4F">
              <w:rPr>
                <w:rStyle w:val="ab"/>
                <w:rFonts w:ascii="標楷體" w:eastAsia="標楷體" w:hAnsi="標楷體" w:hint="eastAsia"/>
                <w:noProof/>
                <w:color w:val="auto"/>
                <w:sz w:val="28"/>
                <w:szCs w:val="28"/>
                <w:u w:val="none"/>
              </w:rPr>
              <w:t>期貨</w:t>
            </w:r>
            <w:r w:rsidRPr="00867C4F">
              <w:rPr>
                <w:rStyle w:val="ab"/>
                <w:rFonts w:ascii="標楷體" w:eastAsia="標楷體" w:hAnsi="標楷體" w:hint="eastAsia"/>
                <w:noProof/>
                <w:color w:val="auto"/>
                <w:sz w:val="28"/>
                <w:szCs w:val="28"/>
                <w:u w:val="none"/>
              </w:rPr>
              <w:t>交易人以股票辦理抵繳之情況尚不普遍</w:t>
            </w:r>
            <w:r w:rsidR="000308B4" w:rsidRPr="00867C4F">
              <w:rPr>
                <w:rStyle w:val="ab"/>
                <w:rFonts w:ascii="標楷體" w:eastAsia="標楷體" w:hAnsi="標楷體" w:hint="eastAsia"/>
                <w:noProof/>
                <w:color w:val="auto"/>
                <w:sz w:val="28"/>
                <w:szCs w:val="28"/>
                <w:u w:val="none"/>
              </w:rPr>
              <w:t>。</w:t>
            </w:r>
          </w:p>
          <w:p w:rsidR="00795D4C" w:rsidRPr="00867C4F" w:rsidRDefault="00134198" w:rsidP="00867C4F">
            <w:pPr>
              <w:widowControl/>
              <w:numPr>
                <w:ilvl w:val="0"/>
                <w:numId w:val="16"/>
              </w:numPr>
              <w:adjustRightInd w:val="0"/>
              <w:spacing w:line="480" w:lineRule="exact"/>
              <w:ind w:rightChars="50" w:right="120"/>
              <w:rPr>
                <w:rStyle w:val="ab"/>
                <w:rFonts w:ascii="標楷體" w:eastAsia="標楷體" w:hAnsi="標楷體"/>
                <w:noProof/>
                <w:color w:val="auto"/>
                <w:sz w:val="28"/>
                <w:szCs w:val="28"/>
                <w:u w:val="none"/>
              </w:rPr>
            </w:pPr>
            <w:r w:rsidRPr="00867C4F">
              <w:rPr>
                <w:rStyle w:val="ab"/>
                <w:rFonts w:ascii="標楷體" w:eastAsia="標楷體" w:hAnsi="標楷體" w:hint="eastAsia"/>
                <w:noProof/>
                <w:color w:val="auto"/>
                <w:sz w:val="28"/>
                <w:szCs w:val="28"/>
                <w:u w:val="none"/>
              </w:rPr>
              <w:t>本</w:t>
            </w:r>
            <w:r w:rsidR="00D531F8" w:rsidRPr="00867C4F">
              <w:rPr>
                <w:rStyle w:val="ab"/>
                <w:rFonts w:ascii="標楷體" w:eastAsia="標楷體" w:hAnsi="標楷體" w:hint="eastAsia"/>
                <w:noProof/>
                <w:color w:val="auto"/>
                <w:sz w:val="28"/>
                <w:szCs w:val="28"/>
                <w:u w:val="none"/>
              </w:rPr>
              <w:t>研究</w:t>
            </w:r>
            <w:r w:rsidRPr="00867C4F">
              <w:rPr>
                <w:rStyle w:val="ab"/>
                <w:rFonts w:ascii="標楷體" w:eastAsia="標楷體" w:hAnsi="標楷體" w:hint="eastAsia"/>
                <w:noProof/>
                <w:color w:val="auto"/>
                <w:sz w:val="28"/>
                <w:szCs w:val="28"/>
                <w:u w:val="none"/>
              </w:rPr>
              <w:t>規劃期貨交易人得以股票抵繳同標的之股票期貨賣方部位之原始保證金，期貨交易人於委託賣出股票期貨時，得申請以該股票期貨</w:t>
            </w:r>
            <w:r w:rsidR="00B574CB" w:rsidRPr="00867C4F">
              <w:rPr>
                <w:rStyle w:val="ab"/>
                <w:rFonts w:ascii="標楷體" w:eastAsia="標楷體" w:hAnsi="標楷體" w:hint="eastAsia"/>
                <w:noProof/>
                <w:color w:val="auto"/>
                <w:sz w:val="28"/>
                <w:szCs w:val="28"/>
                <w:u w:val="none"/>
              </w:rPr>
              <w:t>之</w:t>
            </w:r>
            <w:r w:rsidRPr="00867C4F">
              <w:rPr>
                <w:rStyle w:val="ab"/>
                <w:rFonts w:ascii="標楷體" w:eastAsia="標楷體" w:hAnsi="標楷體" w:hint="eastAsia"/>
                <w:noProof/>
                <w:color w:val="auto"/>
                <w:sz w:val="28"/>
                <w:szCs w:val="28"/>
                <w:u w:val="none"/>
              </w:rPr>
              <w:t>標的證券抵繳該賣出委託之保證金，</w:t>
            </w:r>
            <w:r w:rsidR="00B16FDA" w:rsidRPr="00867C4F">
              <w:rPr>
                <w:rStyle w:val="ab"/>
                <w:rFonts w:ascii="標楷體" w:eastAsia="標楷體" w:hAnsi="標楷體" w:hint="eastAsia"/>
                <w:noProof/>
                <w:color w:val="auto"/>
                <w:sz w:val="28"/>
                <w:szCs w:val="28"/>
                <w:u w:val="none"/>
              </w:rPr>
              <w:t>期貨</w:t>
            </w:r>
            <w:r w:rsidRPr="00867C4F">
              <w:rPr>
                <w:rStyle w:val="ab"/>
                <w:rFonts w:ascii="標楷體" w:eastAsia="標楷體" w:hAnsi="標楷體" w:hint="eastAsia"/>
                <w:noProof/>
                <w:color w:val="auto"/>
                <w:sz w:val="28"/>
                <w:szCs w:val="28"/>
                <w:u w:val="none"/>
              </w:rPr>
              <w:t>交易人無須預繳存現金</w:t>
            </w:r>
            <w:r w:rsidRPr="00867C4F">
              <w:rPr>
                <w:rStyle w:val="ab"/>
                <w:rFonts w:ascii="標楷體" w:eastAsia="標楷體" w:hAnsi="標楷體" w:hint="eastAsia"/>
                <w:noProof/>
                <w:color w:val="auto"/>
                <w:sz w:val="28"/>
                <w:szCs w:val="28"/>
                <w:u w:val="none"/>
              </w:rPr>
              <w:lastRenderedPageBreak/>
              <w:t>保證金</w:t>
            </w:r>
            <w:r w:rsidR="00795D4C" w:rsidRPr="00867C4F">
              <w:rPr>
                <w:rStyle w:val="ab"/>
                <w:rFonts w:ascii="標楷體" w:eastAsia="標楷體" w:hAnsi="標楷體" w:hint="eastAsia"/>
                <w:noProof/>
                <w:color w:val="auto"/>
                <w:sz w:val="28"/>
                <w:szCs w:val="28"/>
                <w:u w:val="none"/>
              </w:rPr>
              <w:t>，可提高期貨交易人資金運用效率。惟</w:t>
            </w:r>
            <w:r w:rsidR="00D531F8" w:rsidRPr="00867C4F">
              <w:rPr>
                <w:rStyle w:val="ab"/>
                <w:rFonts w:ascii="標楷體" w:eastAsia="標楷體" w:hAnsi="標楷體" w:hint="eastAsia"/>
                <w:noProof/>
                <w:color w:val="auto"/>
                <w:sz w:val="28"/>
                <w:szCs w:val="28"/>
                <w:u w:val="none"/>
              </w:rPr>
              <w:t>本研究</w:t>
            </w:r>
            <w:r w:rsidR="00795D4C" w:rsidRPr="00867C4F">
              <w:rPr>
                <w:rStyle w:val="ab"/>
                <w:rFonts w:ascii="標楷體" w:eastAsia="標楷體" w:hAnsi="標楷體" w:hint="eastAsia"/>
                <w:noProof/>
                <w:color w:val="auto"/>
                <w:sz w:val="28"/>
                <w:szCs w:val="28"/>
                <w:u w:val="none"/>
              </w:rPr>
              <w:t>僅規劃以股票抵繳保證金，股票期貨賣方部位</w:t>
            </w:r>
            <w:r w:rsidR="00B16FDA" w:rsidRPr="00867C4F">
              <w:rPr>
                <w:rStyle w:val="ab"/>
                <w:rFonts w:ascii="標楷體" w:eastAsia="標楷體" w:hAnsi="標楷體" w:hint="eastAsia"/>
                <w:noProof/>
                <w:color w:val="auto"/>
                <w:sz w:val="28"/>
                <w:szCs w:val="28"/>
                <w:u w:val="none"/>
              </w:rPr>
              <w:t>每日</w:t>
            </w:r>
            <w:r w:rsidR="00795D4C" w:rsidRPr="00867C4F">
              <w:rPr>
                <w:rStyle w:val="ab"/>
                <w:rFonts w:ascii="標楷體" w:eastAsia="標楷體" w:hAnsi="標楷體" w:hint="eastAsia"/>
                <w:noProof/>
                <w:color w:val="auto"/>
                <w:sz w:val="28"/>
                <w:szCs w:val="28"/>
                <w:u w:val="none"/>
              </w:rPr>
              <w:t>已實現</w:t>
            </w:r>
            <w:r w:rsidR="00B16FDA" w:rsidRPr="00867C4F">
              <w:rPr>
                <w:rStyle w:val="ab"/>
                <w:rFonts w:ascii="標楷體" w:eastAsia="標楷體" w:hAnsi="標楷體" w:hint="eastAsia"/>
                <w:noProof/>
                <w:color w:val="auto"/>
                <w:sz w:val="28"/>
                <w:szCs w:val="28"/>
                <w:u w:val="none"/>
              </w:rPr>
              <w:t>及未實現</w:t>
            </w:r>
            <w:r w:rsidR="00795D4C" w:rsidRPr="00867C4F">
              <w:rPr>
                <w:rStyle w:val="ab"/>
                <w:rFonts w:ascii="標楷體" w:eastAsia="標楷體" w:hAnsi="標楷體" w:hint="eastAsia"/>
                <w:noProof/>
                <w:color w:val="auto"/>
                <w:sz w:val="28"/>
                <w:szCs w:val="28"/>
                <w:u w:val="none"/>
              </w:rPr>
              <w:t>之</w:t>
            </w:r>
            <w:r w:rsidR="00B16FDA" w:rsidRPr="00867C4F">
              <w:rPr>
                <w:rStyle w:val="ab"/>
                <w:rFonts w:ascii="標楷體" w:eastAsia="標楷體" w:hAnsi="標楷體" w:hint="eastAsia"/>
                <w:noProof/>
                <w:color w:val="auto"/>
                <w:sz w:val="28"/>
                <w:szCs w:val="28"/>
                <w:u w:val="none"/>
              </w:rPr>
              <w:t>損益清算</w:t>
            </w:r>
            <w:r w:rsidR="003B6979" w:rsidRPr="00867C4F">
              <w:rPr>
                <w:rStyle w:val="ab"/>
                <w:rFonts w:ascii="標楷體" w:eastAsia="標楷體" w:hAnsi="標楷體" w:hint="eastAsia"/>
                <w:noProof/>
                <w:color w:val="auto"/>
                <w:sz w:val="28"/>
                <w:szCs w:val="28"/>
                <w:u w:val="none"/>
              </w:rPr>
              <w:t>金額</w:t>
            </w:r>
            <w:r w:rsidR="00795D4C" w:rsidRPr="00867C4F">
              <w:rPr>
                <w:rStyle w:val="ab"/>
                <w:rFonts w:ascii="標楷體" w:eastAsia="標楷體" w:hAnsi="標楷體" w:hint="eastAsia"/>
                <w:noProof/>
                <w:color w:val="auto"/>
                <w:sz w:val="28"/>
                <w:szCs w:val="28"/>
                <w:u w:val="none"/>
              </w:rPr>
              <w:t>，期貨交易人仍應依與期貨商簽</w:t>
            </w:r>
            <w:r w:rsidR="00B16FDA" w:rsidRPr="00867C4F">
              <w:rPr>
                <w:rStyle w:val="ab"/>
                <w:rFonts w:ascii="標楷體" w:eastAsia="標楷體" w:hAnsi="標楷體" w:hint="eastAsia"/>
                <w:noProof/>
                <w:color w:val="auto"/>
                <w:sz w:val="28"/>
                <w:szCs w:val="28"/>
                <w:u w:val="none"/>
              </w:rPr>
              <w:t>訂</w:t>
            </w:r>
            <w:r w:rsidR="00795D4C" w:rsidRPr="00867C4F">
              <w:rPr>
                <w:rStyle w:val="ab"/>
                <w:rFonts w:ascii="標楷體" w:eastAsia="標楷體" w:hAnsi="標楷體" w:hint="eastAsia"/>
                <w:noProof/>
                <w:color w:val="auto"/>
                <w:sz w:val="28"/>
                <w:szCs w:val="28"/>
                <w:u w:val="none"/>
              </w:rPr>
              <w:t>契約之規定時限內，以現金繳交。</w:t>
            </w:r>
          </w:p>
          <w:p w:rsidR="00867C4F" w:rsidRPr="00867C4F" w:rsidRDefault="00867C4F" w:rsidP="00867C4F">
            <w:pPr>
              <w:widowControl/>
              <w:numPr>
                <w:ilvl w:val="0"/>
                <w:numId w:val="16"/>
              </w:numPr>
              <w:adjustRightInd w:val="0"/>
              <w:spacing w:line="480" w:lineRule="exact"/>
              <w:ind w:rightChars="50" w:right="120"/>
              <w:rPr>
                <w:rStyle w:val="ab"/>
                <w:rFonts w:ascii="標楷體" w:eastAsia="標楷體" w:hAnsi="標楷體" w:hint="eastAsia"/>
                <w:noProof/>
                <w:color w:val="auto"/>
                <w:sz w:val="28"/>
                <w:szCs w:val="28"/>
                <w:u w:val="none"/>
              </w:rPr>
            </w:pPr>
            <w:r w:rsidRPr="000308B4">
              <w:rPr>
                <w:rStyle w:val="ab"/>
                <w:rFonts w:ascii="標楷體" w:eastAsia="標楷體" w:hAnsi="標楷體" w:hint="eastAsia"/>
                <w:noProof/>
                <w:color w:val="auto"/>
                <w:sz w:val="28"/>
                <w:szCs w:val="28"/>
                <w:u w:val="none"/>
              </w:rPr>
              <w:t>規劃內容之可行性評估</w:t>
            </w:r>
          </w:p>
          <w:p w:rsidR="00957D11" w:rsidRPr="00867C4F" w:rsidRDefault="00795D4C" w:rsidP="00867C4F">
            <w:pPr>
              <w:numPr>
                <w:ilvl w:val="0"/>
                <w:numId w:val="14"/>
              </w:numPr>
              <w:autoSpaceDE w:val="0"/>
              <w:autoSpaceDN w:val="0"/>
              <w:adjustRightInd w:val="0"/>
              <w:spacing w:line="480" w:lineRule="exact"/>
              <w:ind w:leftChars="321" w:left="1456" w:rightChars="138" w:right="331" w:hangingChars="245" w:hanging="686"/>
              <w:jc w:val="both"/>
              <w:rPr>
                <w:rFonts w:eastAsia="標楷體" w:cs="標楷體"/>
                <w:sz w:val="28"/>
                <w:szCs w:val="28"/>
              </w:rPr>
            </w:pPr>
            <w:r w:rsidRPr="00867C4F">
              <w:rPr>
                <w:rFonts w:eastAsia="標楷體" w:cs="標楷體" w:hint="eastAsia"/>
                <w:sz w:val="28"/>
                <w:szCs w:val="28"/>
              </w:rPr>
              <w:t>風險</w:t>
            </w:r>
            <w:r w:rsidR="00E11F42" w:rsidRPr="00867C4F">
              <w:rPr>
                <w:rFonts w:eastAsia="標楷體" w:cs="標楷體" w:hint="eastAsia"/>
                <w:sz w:val="28"/>
                <w:szCs w:val="28"/>
              </w:rPr>
              <w:t>控管</w:t>
            </w:r>
            <w:r w:rsidRPr="00867C4F">
              <w:rPr>
                <w:rFonts w:eastAsia="標楷體" w:cs="標楷體" w:hint="eastAsia"/>
                <w:sz w:val="28"/>
                <w:szCs w:val="28"/>
              </w:rPr>
              <w:t>評估：</w:t>
            </w:r>
          </w:p>
          <w:p w:rsidR="00795D4C" w:rsidRDefault="00370062" w:rsidP="00370062">
            <w:pPr>
              <w:autoSpaceDE w:val="0"/>
              <w:autoSpaceDN w:val="0"/>
              <w:adjustRightInd w:val="0"/>
              <w:spacing w:line="480" w:lineRule="exact"/>
              <w:ind w:left="1456" w:rightChars="138" w:right="331"/>
              <w:jc w:val="both"/>
              <w:rPr>
                <w:rFonts w:eastAsia="標楷體" w:cs="標楷體"/>
                <w:sz w:val="28"/>
                <w:szCs w:val="28"/>
              </w:rPr>
            </w:pPr>
            <w:r>
              <w:rPr>
                <w:rFonts w:eastAsia="標楷體" w:cs="標楷體" w:hint="eastAsia"/>
                <w:sz w:val="28"/>
                <w:szCs w:val="28"/>
              </w:rPr>
              <w:t xml:space="preserve">   </w:t>
            </w:r>
            <w:r w:rsidR="00D531F8">
              <w:rPr>
                <w:rFonts w:eastAsia="標楷體" w:cs="標楷體" w:hint="eastAsia"/>
                <w:sz w:val="28"/>
                <w:szCs w:val="28"/>
              </w:rPr>
              <w:t>本研究</w:t>
            </w:r>
            <w:r w:rsidR="00416C79" w:rsidRPr="00957D11">
              <w:rPr>
                <w:rFonts w:eastAsia="標楷體" w:cs="標楷體" w:hint="eastAsia"/>
                <w:sz w:val="28"/>
                <w:szCs w:val="28"/>
              </w:rPr>
              <w:t>規劃一張股票得抵繳</w:t>
            </w:r>
            <w:proofErr w:type="gramStart"/>
            <w:r w:rsidR="00416C79" w:rsidRPr="00957D11">
              <w:rPr>
                <w:rFonts w:eastAsia="標楷體" w:cs="標楷體" w:hint="eastAsia"/>
                <w:sz w:val="28"/>
                <w:szCs w:val="28"/>
              </w:rPr>
              <w:t>一口同標的</w:t>
            </w:r>
            <w:proofErr w:type="gramEnd"/>
            <w:r w:rsidR="00416C79" w:rsidRPr="00957D11">
              <w:rPr>
                <w:rFonts w:eastAsia="標楷體" w:cs="標楷體" w:hint="eastAsia"/>
                <w:sz w:val="28"/>
                <w:szCs w:val="28"/>
              </w:rPr>
              <w:t>股票期貨</w:t>
            </w:r>
            <w:r w:rsidR="00416C79" w:rsidRPr="00957D11">
              <w:rPr>
                <w:rFonts w:eastAsia="標楷體" w:cs="標楷體" w:hint="eastAsia"/>
                <w:sz w:val="28"/>
                <w:szCs w:val="28"/>
              </w:rPr>
              <w:t>(2</w:t>
            </w:r>
            <w:r w:rsidR="00D531F8">
              <w:rPr>
                <w:rFonts w:eastAsia="標楷體" w:cs="標楷體" w:hint="eastAsia"/>
                <w:sz w:val="28"/>
                <w:szCs w:val="28"/>
              </w:rPr>
              <w:t>,</w:t>
            </w:r>
            <w:r w:rsidR="00416C79" w:rsidRPr="00957D11">
              <w:rPr>
                <w:rFonts w:eastAsia="標楷體" w:cs="標楷體" w:hint="eastAsia"/>
                <w:sz w:val="28"/>
                <w:szCs w:val="28"/>
              </w:rPr>
              <w:t>000</w:t>
            </w:r>
            <w:r w:rsidR="00416C79" w:rsidRPr="00957D11">
              <w:rPr>
                <w:rFonts w:eastAsia="標楷體" w:cs="標楷體" w:hint="eastAsia"/>
                <w:sz w:val="28"/>
                <w:szCs w:val="28"/>
              </w:rPr>
              <w:t>股標的證券</w:t>
            </w:r>
            <w:r w:rsidR="00416C79" w:rsidRPr="00957D11">
              <w:rPr>
                <w:rFonts w:eastAsia="標楷體" w:cs="標楷體" w:hint="eastAsia"/>
                <w:sz w:val="28"/>
                <w:szCs w:val="28"/>
              </w:rPr>
              <w:t>)</w:t>
            </w:r>
            <w:r w:rsidR="003B6979" w:rsidRPr="00957D11">
              <w:rPr>
                <w:rFonts w:eastAsia="標楷體" w:cs="標楷體" w:hint="eastAsia"/>
                <w:sz w:val="28"/>
                <w:szCs w:val="28"/>
              </w:rPr>
              <w:t>之</w:t>
            </w:r>
            <w:r w:rsidR="00416C79" w:rsidRPr="00957D11">
              <w:rPr>
                <w:rFonts w:eastAsia="標楷體" w:cs="標楷體" w:hint="eastAsia"/>
                <w:sz w:val="28"/>
                <w:szCs w:val="28"/>
              </w:rPr>
              <w:t>賣方部位原始保證金，因此</w:t>
            </w:r>
            <w:r w:rsidR="00416C79" w:rsidRPr="00CA07C4">
              <w:rPr>
                <w:rFonts w:eastAsia="標楷體" w:cs="標楷體" w:hint="eastAsia"/>
                <w:sz w:val="28"/>
                <w:szCs w:val="28"/>
              </w:rPr>
              <w:t>股票之價值對股票期貨賣方部位</w:t>
            </w:r>
            <w:r w:rsidR="00B574CB">
              <w:rPr>
                <w:rFonts w:eastAsia="標楷體" w:cs="標楷體" w:hint="eastAsia"/>
                <w:sz w:val="28"/>
                <w:szCs w:val="28"/>
              </w:rPr>
              <w:t>保證金</w:t>
            </w:r>
            <w:r w:rsidR="00416C79" w:rsidRPr="00CA07C4">
              <w:rPr>
                <w:rFonts w:eastAsia="標楷體" w:cs="標楷體" w:hint="eastAsia"/>
                <w:sz w:val="28"/>
                <w:szCs w:val="28"/>
              </w:rPr>
              <w:t>之涵蓋率</w:t>
            </w:r>
            <w:r w:rsidR="003B6979">
              <w:rPr>
                <w:rFonts w:eastAsia="標楷體" w:cs="標楷體" w:hint="eastAsia"/>
                <w:sz w:val="28"/>
                <w:szCs w:val="28"/>
              </w:rPr>
              <w:t>約</w:t>
            </w:r>
            <w:r w:rsidR="00416C79" w:rsidRPr="00CA07C4">
              <w:rPr>
                <w:rFonts w:eastAsia="標楷體" w:cs="標楷體" w:hint="eastAsia"/>
                <w:sz w:val="28"/>
                <w:szCs w:val="28"/>
              </w:rPr>
              <w:t>可達</w:t>
            </w:r>
            <w:r w:rsidR="00416C79" w:rsidRPr="00CA07C4">
              <w:rPr>
                <w:rFonts w:eastAsia="標楷體" w:cs="標楷體"/>
                <w:sz w:val="28"/>
                <w:szCs w:val="28"/>
              </w:rPr>
              <w:t>370%</w:t>
            </w:r>
            <w:r w:rsidR="00416C79" w:rsidRPr="00CA07C4">
              <w:rPr>
                <w:rFonts w:eastAsia="標楷體" w:cs="標楷體" w:hint="eastAsia"/>
                <w:sz w:val="28"/>
                <w:szCs w:val="28"/>
              </w:rPr>
              <w:t>，配合既有之風險控管措施，本公司、結算會員及期貨商之風險可</w:t>
            </w:r>
            <w:r w:rsidR="00416C79">
              <w:rPr>
                <w:rFonts w:eastAsia="標楷體" w:cs="標楷體" w:hint="eastAsia"/>
                <w:sz w:val="28"/>
                <w:szCs w:val="28"/>
              </w:rPr>
              <w:t>有效</w:t>
            </w:r>
            <w:r w:rsidR="00416C79" w:rsidRPr="00CA07C4">
              <w:rPr>
                <w:rFonts w:eastAsia="標楷體" w:cs="標楷體" w:hint="eastAsia"/>
                <w:sz w:val="28"/>
                <w:szCs w:val="28"/>
              </w:rPr>
              <w:t>控管</w:t>
            </w:r>
            <w:r w:rsidR="00795D4C" w:rsidRPr="00892599">
              <w:rPr>
                <w:rFonts w:eastAsia="標楷體" w:cs="標楷體" w:hint="eastAsia"/>
                <w:sz w:val="28"/>
                <w:szCs w:val="28"/>
              </w:rPr>
              <w:t>。</w:t>
            </w:r>
          </w:p>
          <w:p w:rsidR="00957D11" w:rsidRDefault="00795D4C" w:rsidP="00134198">
            <w:pPr>
              <w:numPr>
                <w:ilvl w:val="0"/>
                <w:numId w:val="14"/>
              </w:numPr>
              <w:autoSpaceDE w:val="0"/>
              <w:autoSpaceDN w:val="0"/>
              <w:adjustRightInd w:val="0"/>
              <w:spacing w:line="480" w:lineRule="exact"/>
              <w:ind w:leftChars="321" w:left="1456" w:rightChars="138" w:right="331" w:hangingChars="245" w:hanging="686"/>
              <w:jc w:val="both"/>
              <w:rPr>
                <w:rFonts w:eastAsia="標楷體" w:cs="標楷體"/>
                <w:sz w:val="28"/>
                <w:szCs w:val="28"/>
              </w:rPr>
            </w:pPr>
            <w:r w:rsidRPr="00892599">
              <w:rPr>
                <w:rFonts w:eastAsia="標楷體" w:cs="標楷體" w:hint="eastAsia"/>
                <w:sz w:val="28"/>
                <w:szCs w:val="28"/>
              </w:rPr>
              <w:t>法規</w:t>
            </w:r>
            <w:r>
              <w:rPr>
                <w:rFonts w:eastAsia="標楷體" w:cs="標楷體" w:hint="eastAsia"/>
                <w:sz w:val="28"/>
                <w:szCs w:val="28"/>
              </w:rPr>
              <w:t>可行性：</w:t>
            </w:r>
          </w:p>
          <w:p w:rsidR="00370062" w:rsidRDefault="00370062" w:rsidP="00370062">
            <w:pPr>
              <w:autoSpaceDE w:val="0"/>
              <w:autoSpaceDN w:val="0"/>
              <w:adjustRightInd w:val="0"/>
              <w:spacing w:line="480" w:lineRule="exact"/>
              <w:ind w:left="1456" w:rightChars="138" w:right="331"/>
              <w:jc w:val="both"/>
              <w:rPr>
                <w:rFonts w:eastAsia="標楷體" w:cs="標楷體"/>
                <w:sz w:val="28"/>
                <w:szCs w:val="28"/>
              </w:rPr>
            </w:pPr>
            <w:r>
              <w:rPr>
                <w:rFonts w:eastAsia="標楷體" w:cs="標楷體" w:hint="eastAsia"/>
                <w:sz w:val="28"/>
                <w:szCs w:val="28"/>
              </w:rPr>
              <w:t xml:space="preserve">    </w:t>
            </w:r>
            <w:r w:rsidRPr="00370062">
              <w:rPr>
                <w:rFonts w:eastAsia="標楷體" w:cs="標楷體" w:hint="eastAsia"/>
                <w:sz w:val="28"/>
                <w:szCs w:val="28"/>
              </w:rPr>
              <w:t>依據期貨交易法第</w:t>
            </w:r>
            <w:r w:rsidRPr="00370062">
              <w:rPr>
                <w:rFonts w:eastAsia="標楷體" w:cs="標楷體" w:hint="eastAsia"/>
                <w:sz w:val="28"/>
                <w:szCs w:val="28"/>
              </w:rPr>
              <w:t>50</w:t>
            </w:r>
            <w:r w:rsidRPr="00370062">
              <w:rPr>
                <w:rFonts w:eastAsia="標楷體" w:cs="標楷體" w:hint="eastAsia"/>
                <w:sz w:val="28"/>
                <w:szCs w:val="28"/>
              </w:rPr>
              <w:t>條及期貨商管理規則第</w:t>
            </w:r>
            <w:r w:rsidRPr="00370062">
              <w:rPr>
                <w:rFonts w:eastAsia="標楷體" w:cs="標楷體" w:hint="eastAsia"/>
                <w:sz w:val="28"/>
                <w:szCs w:val="28"/>
              </w:rPr>
              <w:t>47</w:t>
            </w:r>
            <w:r w:rsidRPr="00370062">
              <w:rPr>
                <w:rFonts w:eastAsia="標楷體" w:cs="標楷體" w:hint="eastAsia"/>
                <w:sz w:val="28"/>
                <w:szCs w:val="28"/>
              </w:rPr>
              <w:t>條規定，得抵繳保證金之有價證券種類及抵繳保證金總額之比例，由主管機關定之。故本案之實施於修訂本公司相關規章並陳報主管機關核定後即可，無法規面窒礙之處。</w:t>
            </w:r>
          </w:p>
          <w:p w:rsidR="00D531F8" w:rsidRDefault="000F53FC" w:rsidP="00370062">
            <w:pPr>
              <w:numPr>
                <w:ilvl w:val="0"/>
                <w:numId w:val="14"/>
              </w:numPr>
              <w:autoSpaceDE w:val="0"/>
              <w:autoSpaceDN w:val="0"/>
              <w:adjustRightInd w:val="0"/>
              <w:spacing w:line="480" w:lineRule="exact"/>
              <w:ind w:leftChars="321" w:left="1456" w:rightChars="138" w:right="331" w:hangingChars="245" w:hanging="686"/>
              <w:jc w:val="both"/>
              <w:rPr>
                <w:rFonts w:eastAsia="標楷體" w:cs="標楷體"/>
                <w:sz w:val="28"/>
                <w:szCs w:val="28"/>
              </w:rPr>
            </w:pPr>
            <w:r>
              <w:rPr>
                <w:rFonts w:eastAsia="標楷體" w:cs="標楷體" w:hint="eastAsia"/>
                <w:sz w:val="28"/>
                <w:szCs w:val="28"/>
              </w:rPr>
              <w:t>需求及</w:t>
            </w:r>
            <w:r w:rsidR="00416C79" w:rsidRPr="00416C79">
              <w:rPr>
                <w:rFonts w:eastAsia="標楷體" w:cs="標楷體" w:hint="eastAsia"/>
                <w:sz w:val="28"/>
                <w:szCs w:val="28"/>
              </w:rPr>
              <w:t>成本效益</w:t>
            </w:r>
            <w:r w:rsidR="00416C79" w:rsidRPr="00957D11">
              <w:rPr>
                <w:rFonts w:eastAsia="標楷體" w:cs="標楷體" w:hint="eastAsia"/>
                <w:sz w:val="28"/>
                <w:szCs w:val="28"/>
              </w:rPr>
              <w:t>：</w:t>
            </w:r>
          </w:p>
          <w:p w:rsidR="00795D4C" w:rsidRPr="00416C79" w:rsidRDefault="00370062" w:rsidP="00370062">
            <w:pPr>
              <w:autoSpaceDE w:val="0"/>
              <w:autoSpaceDN w:val="0"/>
              <w:adjustRightInd w:val="0"/>
              <w:spacing w:line="480" w:lineRule="exact"/>
              <w:ind w:left="1456" w:rightChars="138" w:right="331"/>
              <w:jc w:val="both"/>
              <w:rPr>
                <w:rFonts w:eastAsia="標楷體" w:cs="標楷體"/>
                <w:sz w:val="28"/>
                <w:szCs w:val="28"/>
              </w:rPr>
            </w:pPr>
            <w:r>
              <w:rPr>
                <w:rFonts w:eastAsia="標楷體" w:cs="標楷體" w:hint="eastAsia"/>
                <w:sz w:val="28"/>
                <w:szCs w:val="28"/>
              </w:rPr>
              <w:t xml:space="preserve">    </w:t>
            </w:r>
            <w:r w:rsidR="00D531F8">
              <w:rPr>
                <w:rFonts w:eastAsia="標楷體" w:cs="標楷體" w:hint="eastAsia"/>
                <w:sz w:val="28"/>
                <w:szCs w:val="28"/>
              </w:rPr>
              <w:t>本研究</w:t>
            </w:r>
            <w:r w:rsidR="00416C79" w:rsidRPr="00416C79">
              <w:rPr>
                <w:rFonts w:eastAsia="標楷體" w:cs="標楷體" w:hint="eastAsia"/>
                <w:sz w:val="28"/>
                <w:szCs w:val="28"/>
              </w:rPr>
              <w:t>規劃期貨交易人得以股票抵</w:t>
            </w:r>
            <w:proofErr w:type="gramStart"/>
            <w:r w:rsidR="00416C79" w:rsidRPr="00416C79">
              <w:rPr>
                <w:rFonts w:eastAsia="標楷體" w:cs="標楷體" w:hint="eastAsia"/>
                <w:sz w:val="28"/>
                <w:szCs w:val="28"/>
              </w:rPr>
              <w:t>繳同標</w:t>
            </w:r>
            <w:proofErr w:type="gramEnd"/>
            <w:r w:rsidR="00416C79" w:rsidRPr="00416C79">
              <w:rPr>
                <w:rFonts w:eastAsia="標楷體" w:cs="標楷體" w:hint="eastAsia"/>
                <w:sz w:val="28"/>
                <w:szCs w:val="28"/>
              </w:rPr>
              <w:t>的</w:t>
            </w:r>
            <w:r w:rsidR="00957D11">
              <w:rPr>
                <w:rFonts w:eastAsia="標楷體" w:cs="標楷體" w:hint="eastAsia"/>
                <w:sz w:val="28"/>
                <w:szCs w:val="28"/>
              </w:rPr>
              <w:t>之</w:t>
            </w:r>
            <w:r w:rsidR="00416C79" w:rsidRPr="00416C79">
              <w:rPr>
                <w:rFonts w:eastAsia="標楷體" w:cs="標楷體" w:hint="eastAsia"/>
                <w:sz w:val="28"/>
                <w:szCs w:val="28"/>
              </w:rPr>
              <w:t>股票期貨賣方部位保證金，有利降低資金成本，且提供期貨交易人繳存保證金之多樣化服務，對整體期貨市場發展實屬正面，惟實務上作業因需同時持有股票期貨賣方部位</w:t>
            </w:r>
            <w:proofErr w:type="gramStart"/>
            <w:r w:rsidR="00416C79" w:rsidRPr="00416C79">
              <w:rPr>
                <w:rFonts w:eastAsia="標楷體" w:cs="標楷體" w:hint="eastAsia"/>
                <w:sz w:val="28"/>
                <w:szCs w:val="28"/>
              </w:rPr>
              <w:t>及同標的</w:t>
            </w:r>
            <w:proofErr w:type="gramEnd"/>
            <w:r w:rsidR="00416C79" w:rsidRPr="00416C79">
              <w:rPr>
                <w:rFonts w:eastAsia="標楷體" w:cs="標楷體" w:hint="eastAsia"/>
                <w:sz w:val="28"/>
                <w:szCs w:val="28"/>
              </w:rPr>
              <w:t>之股票</w:t>
            </w:r>
            <w:r w:rsidR="00957D11">
              <w:rPr>
                <w:rFonts w:eastAsia="標楷體" w:cs="標楷體" w:hint="eastAsia"/>
                <w:sz w:val="28"/>
                <w:szCs w:val="28"/>
              </w:rPr>
              <w:t>者</w:t>
            </w:r>
            <w:r w:rsidR="00416C79" w:rsidRPr="00416C79">
              <w:rPr>
                <w:rFonts w:eastAsia="標楷體" w:cs="標楷體" w:hint="eastAsia"/>
                <w:sz w:val="28"/>
                <w:szCs w:val="28"/>
              </w:rPr>
              <w:t>，始得辦理抵繳，於現階段股票期貨交易量平均每檔</w:t>
            </w:r>
            <w:proofErr w:type="gramStart"/>
            <w:r w:rsidR="00416C79" w:rsidRPr="00416C79">
              <w:rPr>
                <w:rFonts w:eastAsia="標楷體" w:cs="標楷體" w:hint="eastAsia"/>
                <w:sz w:val="28"/>
                <w:szCs w:val="28"/>
              </w:rPr>
              <w:t>日均量未</w:t>
            </w:r>
            <w:proofErr w:type="gramEnd"/>
            <w:r w:rsidR="00416C79" w:rsidRPr="00416C79">
              <w:rPr>
                <w:rFonts w:eastAsia="標楷體" w:cs="標楷體" w:hint="eastAsia"/>
                <w:sz w:val="28"/>
                <w:szCs w:val="28"/>
              </w:rPr>
              <w:t>達百口之市</w:t>
            </w:r>
            <w:proofErr w:type="gramStart"/>
            <w:r w:rsidR="00416C79" w:rsidRPr="00416C79">
              <w:rPr>
                <w:rFonts w:eastAsia="標楷體" w:cs="標楷體" w:hint="eastAsia"/>
                <w:sz w:val="28"/>
                <w:szCs w:val="28"/>
              </w:rPr>
              <w:t>況</w:t>
            </w:r>
            <w:proofErr w:type="gramEnd"/>
            <w:r w:rsidR="00416C79" w:rsidRPr="00416C79">
              <w:rPr>
                <w:rFonts w:eastAsia="標楷體" w:cs="標楷體" w:hint="eastAsia"/>
                <w:sz w:val="28"/>
                <w:szCs w:val="28"/>
              </w:rPr>
              <w:t>下，</w:t>
            </w:r>
            <w:r w:rsidR="00E11F42" w:rsidRPr="00E11F42">
              <w:rPr>
                <w:rFonts w:eastAsia="標楷體" w:cs="標楷體" w:hint="eastAsia"/>
                <w:sz w:val="28"/>
                <w:szCs w:val="28"/>
              </w:rPr>
              <w:t>同時持有股票期貨之賣方部位</w:t>
            </w:r>
            <w:proofErr w:type="gramStart"/>
            <w:r w:rsidR="00E11F42" w:rsidRPr="00E11F42">
              <w:rPr>
                <w:rFonts w:eastAsia="標楷體" w:cs="標楷體" w:hint="eastAsia"/>
                <w:sz w:val="28"/>
                <w:szCs w:val="28"/>
              </w:rPr>
              <w:t>及同標的</w:t>
            </w:r>
            <w:proofErr w:type="gramEnd"/>
            <w:r w:rsidR="00E11F42" w:rsidRPr="00E11F42">
              <w:rPr>
                <w:rFonts w:eastAsia="標楷體" w:cs="標楷體" w:hint="eastAsia"/>
                <w:sz w:val="28"/>
                <w:szCs w:val="28"/>
              </w:rPr>
              <w:t>股票現貨者，多為期貨自營商等從事避險交易之法人，</w:t>
            </w:r>
            <w:r w:rsidR="002C3318" w:rsidRPr="002C3318">
              <w:rPr>
                <w:rFonts w:eastAsia="標楷體" w:cs="標楷體" w:hint="eastAsia"/>
                <w:sz w:val="28"/>
                <w:szCs w:val="28"/>
              </w:rPr>
              <w:t>一般自然人實際需求可能不</w:t>
            </w:r>
            <w:r w:rsidR="003F2D11">
              <w:rPr>
                <w:rFonts w:eastAsia="標楷體" w:cs="標楷體" w:hint="eastAsia"/>
                <w:sz w:val="28"/>
                <w:szCs w:val="28"/>
              </w:rPr>
              <w:t>大</w:t>
            </w:r>
            <w:r w:rsidR="002C3318" w:rsidRPr="002C3318">
              <w:rPr>
                <w:rFonts w:eastAsia="標楷體" w:cs="標楷體" w:hint="eastAsia"/>
                <w:sz w:val="28"/>
                <w:szCs w:val="28"/>
              </w:rPr>
              <w:t>，故對整體期貨交易人之涵蓋面尚不廣泛，</w:t>
            </w:r>
            <w:r w:rsidR="00E11F42">
              <w:rPr>
                <w:rFonts w:eastAsia="標楷體" w:cs="標楷體" w:hint="eastAsia"/>
                <w:sz w:val="28"/>
                <w:szCs w:val="28"/>
              </w:rPr>
              <w:t>且</w:t>
            </w:r>
            <w:r w:rsidR="00416C79" w:rsidRPr="00416C79">
              <w:rPr>
                <w:rFonts w:eastAsia="標楷體" w:cs="標楷體" w:hint="eastAsia"/>
                <w:sz w:val="28"/>
                <w:szCs w:val="28"/>
              </w:rPr>
              <w:t>考量各期貨商</w:t>
            </w:r>
            <w:r w:rsidR="002C3318">
              <w:rPr>
                <w:rFonts w:eastAsia="標楷體" w:cs="標楷體" w:hint="eastAsia"/>
                <w:sz w:val="28"/>
                <w:szCs w:val="28"/>
              </w:rPr>
              <w:t>之</w:t>
            </w:r>
            <w:r w:rsidR="00416C79" w:rsidRPr="00416C79">
              <w:rPr>
                <w:rFonts w:eastAsia="標楷體" w:cs="標楷體" w:hint="eastAsia"/>
                <w:sz w:val="28"/>
                <w:szCs w:val="28"/>
              </w:rPr>
              <w:t>建置成本</w:t>
            </w:r>
            <w:r w:rsidR="002970FF">
              <w:rPr>
                <w:rFonts w:eastAsia="標楷體" w:cs="標楷體" w:hint="eastAsia"/>
                <w:sz w:val="28"/>
                <w:szCs w:val="28"/>
              </w:rPr>
              <w:t>，現階段</w:t>
            </w:r>
            <w:r w:rsidR="003F2D11">
              <w:rPr>
                <w:rFonts w:eastAsia="標楷體" w:cs="標楷體" w:hint="eastAsia"/>
                <w:sz w:val="28"/>
                <w:szCs w:val="28"/>
              </w:rPr>
              <w:t>施行</w:t>
            </w:r>
            <w:proofErr w:type="gramStart"/>
            <w:r w:rsidR="002970FF">
              <w:rPr>
                <w:rFonts w:eastAsia="標楷體" w:cs="標楷體" w:hint="eastAsia"/>
                <w:sz w:val="28"/>
                <w:szCs w:val="28"/>
              </w:rPr>
              <w:t>恐</w:t>
            </w:r>
            <w:proofErr w:type="gramEnd"/>
            <w:r w:rsidR="00416C79" w:rsidRPr="00416C79">
              <w:rPr>
                <w:rFonts w:eastAsia="標楷體" w:cs="標楷體" w:hint="eastAsia"/>
                <w:sz w:val="28"/>
                <w:szCs w:val="28"/>
              </w:rPr>
              <w:t>不符成本效益原則</w:t>
            </w:r>
            <w:r w:rsidR="00B46D58" w:rsidRPr="00B46D58">
              <w:rPr>
                <w:rFonts w:eastAsia="標楷體" w:cs="標楷體" w:hint="eastAsia"/>
                <w:sz w:val="28"/>
                <w:szCs w:val="28"/>
              </w:rPr>
              <w:t>。</w:t>
            </w:r>
          </w:p>
          <w:p w:rsidR="00795D4C" w:rsidRPr="005736F4" w:rsidRDefault="006C421E" w:rsidP="00867C4F">
            <w:pPr>
              <w:widowControl/>
              <w:numPr>
                <w:ilvl w:val="0"/>
                <w:numId w:val="16"/>
              </w:numPr>
              <w:adjustRightInd w:val="0"/>
              <w:spacing w:line="480" w:lineRule="exact"/>
              <w:ind w:rightChars="50" w:right="120"/>
              <w:rPr>
                <w:rFonts w:eastAsia="標楷體"/>
                <w:sz w:val="28"/>
                <w:szCs w:val="28"/>
              </w:rPr>
            </w:pPr>
            <w:r w:rsidRPr="00867C4F">
              <w:rPr>
                <w:rStyle w:val="ab"/>
                <w:rFonts w:ascii="標楷體" w:eastAsia="標楷體" w:hAnsi="標楷體" w:hint="eastAsia"/>
                <w:noProof/>
                <w:color w:val="auto"/>
                <w:sz w:val="28"/>
                <w:szCs w:val="28"/>
                <w:u w:val="none"/>
              </w:rPr>
              <w:t>期貨交易人以股票抵繳同標的之股票期貨賣方部位保證金之研究，經研議及評估相關規劃內容後，雖然就風險面及法規面評估結果均屬可行，而就需求及成本效益評估結果，</w:t>
            </w:r>
            <w:r w:rsidR="00D531F8" w:rsidRPr="00867C4F">
              <w:rPr>
                <w:rStyle w:val="ab"/>
                <w:rFonts w:ascii="標楷體" w:eastAsia="標楷體" w:hAnsi="標楷體" w:hint="eastAsia"/>
                <w:noProof/>
                <w:color w:val="auto"/>
                <w:sz w:val="28"/>
                <w:szCs w:val="28"/>
                <w:u w:val="none"/>
              </w:rPr>
              <w:t>本研究</w:t>
            </w:r>
            <w:r w:rsidRPr="00867C4F">
              <w:rPr>
                <w:rStyle w:val="ab"/>
                <w:rFonts w:ascii="標楷體" w:eastAsia="標楷體" w:hAnsi="標楷體" w:hint="eastAsia"/>
                <w:noProof/>
                <w:color w:val="auto"/>
                <w:sz w:val="28"/>
                <w:szCs w:val="28"/>
                <w:u w:val="none"/>
              </w:rPr>
              <w:t>案雖對期貨交易人有提高資金運用效率之效果，但實際上除部分期貨自營商外，因</w:t>
            </w:r>
            <w:r w:rsidR="003B6979" w:rsidRPr="00867C4F">
              <w:rPr>
                <w:rStyle w:val="ab"/>
                <w:rFonts w:ascii="標楷體" w:eastAsia="標楷體" w:hAnsi="標楷體" w:hint="eastAsia"/>
                <w:noProof/>
                <w:color w:val="auto"/>
                <w:sz w:val="28"/>
                <w:szCs w:val="28"/>
                <w:u w:val="none"/>
              </w:rPr>
              <w:t>一般</w:t>
            </w:r>
            <w:r w:rsidRPr="00867C4F">
              <w:rPr>
                <w:rStyle w:val="ab"/>
                <w:rFonts w:ascii="標楷體" w:eastAsia="標楷體" w:hAnsi="標楷體" w:hint="eastAsia"/>
                <w:noProof/>
                <w:color w:val="auto"/>
                <w:sz w:val="28"/>
                <w:szCs w:val="28"/>
                <w:u w:val="none"/>
              </w:rPr>
              <w:t>交易人同時持有</w:t>
            </w:r>
            <w:r w:rsidR="003B6979" w:rsidRPr="00867C4F">
              <w:rPr>
                <w:rStyle w:val="ab"/>
                <w:rFonts w:ascii="標楷體" w:eastAsia="標楷體" w:hAnsi="標楷體" w:hint="eastAsia"/>
                <w:noProof/>
                <w:color w:val="auto"/>
                <w:sz w:val="28"/>
                <w:szCs w:val="28"/>
                <w:u w:val="none"/>
              </w:rPr>
              <w:t>同標的之</w:t>
            </w:r>
            <w:r w:rsidRPr="00867C4F">
              <w:rPr>
                <w:rStyle w:val="ab"/>
                <w:rFonts w:ascii="標楷體" w:eastAsia="標楷體" w:hAnsi="標楷體" w:hint="eastAsia"/>
                <w:noProof/>
                <w:color w:val="auto"/>
                <w:sz w:val="28"/>
                <w:szCs w:val="28"/>
                <w:u w:val="none"/>
              </w:rPr>
              <w:t>股票及股票</w:t>
            </w:r>
            <w:r w:rsidR="003B6979" w:rsidRPr="00867C4F">
              <w:rPr>
                <w:rStyle w:val="ab"/>
                <w:rFonts w:ascii="標楷體" w:eastAsia="標楷體" w:hAnsi="標楷體" w:hint="eastAsia"/>
                <w:noProof/>
                <w:color w:val="auto"/>
                <w:sz w:val="28"/>
                <w:szCs w:val="28"/>
                <w:u w:val="none"/>
              </w:rPr>
              <w:t>期貨</w:t>
            </w:r>
            <w:r w:rsidRPr="00867C4F">
              <w:rPr>
                <w:rStyle w:val="ab"/>
                <w:rFonts w:ascii="標楷體" w:eastAsia="標楷體" w:hAnsi="標楷體" w:hint="eastAsia"/>
                <w:noProof/>
                <w:color w:val="auto"/>
                <w:sz w:val="28"/>
                <w:szCs w:val="28"/>
                <w:u w:val="none"/>
              </w:rPr>
              <w:t>賣方部位之情況不多，故就需求面</w:t>
            </w:r>
            <w:r w:rsidRPr="00867C4F">
              <w:rPr>
                <w:rStyle w:val="ab"/>
                <w:rFonts w:ascii="標楷體" w:eastAsia="標楷體" w:hAnsi="標楷體" w:hint="eastAsia"/>
                <w:noProof/>
                <w:color w:val="auto"/>
                <w:sz w:val="28"/>
                <w:szCs w:val="28"/>
                <w:u w:val="none"/>
              </w:rPr>
              <w:lastRenderedPageBreak/>
              <w:t>而言，仍有待觀察</w:t>
            </w:r>
            <w:r w:rsidR="00D531F8" w:rsidRPr="00867C4F">
              <w:rPr>
                <w:rStyle w:val="ab"/>
                <w:rFonts w:ascii="標楷體" w:eastAsia="標楷體" w:hAnsi="標楷體" w:hint="eastAsia"/>
                <w:noProof/>
                <w:color w:val="auto"/>
                <w:sz w:val="28"/>
                <w:szCs w:val="28"/>
                <w:u w:val="none"/>
              </w:rPr>
              <w:t>。</w:t>
            </w:r>
            <w:r w:rsidRPr="00867C4F">
              <w:rPr>
                <w:rStyle w:val="ab"/>
                <w:rFonts w:ascii="標楷體" w:eastAsia="標楷體" w:hAnsi="標楷體" w:hint="eastAsia"/>
                <w:noProof/>
                <w:color w:val="auto"/>
                <w:sz w:val="28"/>
                <w:szCs w:val="28"/>
                <w:u w:val="none"/>
              </w:rPr>
              <w:t>此外考量建置成本後，期貨商恐無足夠之誘因參與建置本研究規劃內容，故建議</w:t>
            </w:r>
            <w:r w:rsidR="00D531F8" w:rsidRPr="00867C4F">
              <w:rPr>
                <w:rStyle w:val="ab"/>
                <w:rFonts w:ascii="標楷體" w:eastAsia="標楷體" w:hAnsi="標楷體" w:hint="eastAsia"/>
                <w:noProof/>
                <w:color w:val="auto"/>
                <w:sz w:val="28"/>
                <w:szCs w:val="28"/>
                <w:u w:val="none"/>
              </w:rPr>
              <w:t>本研究</w:t>
            </w:r>
            <w:r w:rsidRPr="00867C4F">
              <w:rPr>
                <w:rStyle w:val="ab"/>
                <w:rFonts w:ascii="標楷體" w:eastAsia="標楷體" w:hAnsi="標楷體" w:hint="eastAsia"/>
                <w:noProof/>
                <w:color w:val="auto"/>
                <w:sz w:val="28"/>
                <w:szCs w:val="28"/>
                <w:u w:val="none"/>
              </w:rPr>
              <w:t>案可持續</w:t>
            </w:r>
            <w:proofErr w:type="gramStart"/>
            <w:r w:rsidRPr="00867C4F">
              <w:rPr>
                <w:rStyle w:val="ab"/>
                <w:rFonts w:ascii="標楷體" w:eastAsia="標楷體" w:hAnsi="標楷體" w:hint="eastAsia"/>
                <w:noProof/>
                <w:color w:val="auto"/>
                <w:sz w:val="28"/>
                <w:szCs w:val="28"/>
                <w:u w:val="none"/>
              </w:rPr>
              <w:t>研</w:t>
            </w:r>
            <w:proofErr w:type="gramEnd"/>
            <w:r w:rsidRPr="00867C4F">
              <w:rPr>
                <w:rStyle w:val="ab"/>
                <w:rFonts w:ascii="標楷體" w:eastAsia="標楷體" w:hAnsi="標楷體" w:hint="eastAsia"/>
                <w:noProof/>
                <w:color w:val="auto"/>
                <w:sz w:val="28"/>
                <w:szCs w:val="28"/>
                <w:u w:val="none"/>
              </w:rPr>
              <w:t>議，</w:t>
            </w:r>
            <w:proofErr w:type="gramStart"/>
            <w:r w:rsidR="00B46D58" w:rsidRPr="00867C4F">
              <w:rPr>
                <w:rStyle w:val="ab"/>
                <w:rFonts w:ascii="標楷體" w:eastAsia="標楷體" w:hAnsi="標楷體" w:hint="eastAsia"/>
                <w:noProof/>
                <w:color w:val="auto"/>
                <w:sz w:val="28"/>
                <w:szCs w:val="28"/>
                <w:u w:val="none"/>
              </w:rPr>
              <w:t>俟</w:t>
            </w:r>
            <w:proofErr w:type="gramEnd"/>
            <w:r w:rsidR="00B46D58" w:rsidRPr="00867C4F">
              <w:rPr>
                <w:rStyle w:val="ab"/>
                <w:rFonts w:ascii="標楷體" w:eastAsia="標楷體" w:hAnsi="標楷體" w:hint="eastAsia"/>
                <w:noProof/>
                <w:color w:val="auto"/>
                <w:sz w:val="28"/>
                <w:szCs w:val="28"/>
                <w:u w:val="none"/>
              </w:rPr>
              <w:t>個股期貨成交量適當成長後，</w:t>
            </w:r>
            <w:proofErr w:type="gramStart"/>
            <w:r w:rsidR="003F2D11" w:rsidRPr="00867C4F">
              <w:rPr>
                <w:rStyle w:val="ab"/>
                <w:rFonts w:ascii="標楷體" w:eastAsia="標楷體" w:hAnsi="標楷體" w:hint="eastAsia"/>
                <w:noProof/>
                <w:color w:val="auto"/>
                <w:sz w:val="28"/>
                <w:szCs w:val="28"/>
                <w:u w:val="none"/>
              </w:rPr>
              <w:t>俟</w:t>
            </w:r>
            <w:proofErr w:type="gramEnd"/>
            <w:r w:rsidR="003F2D11" w:rsidRPr="00867C4F">
              <w:rPr>
                <w:rStyle w:val="ab"/>
                <w:rFonts w:ascii="標楷體" w:eastAsia="標楷體" w:hAnsi="標楷體" w:hint="eastAsia"/>
                <w:noProof/>
                <w:color w:val="auto"/>
                <w:sz w:val="28"/>
                <w:szCs w:val="28"/>
                <w:u w:val="none"/>
              </w:rPr>
              <w:t>市</w:t>
            </w:r>
            <w:proofErr w:type="gramStart"/>
            <w:r w:rsidR="003F2D11" w:rsidRPr="00867C4F">
              <w:rPr>
                <w:rStyle w:val="ab"/>
                <w:rFonts w:ascii="標楷體" w:eastAsia="標楷體" w:hAnsi="標楷體" w:hint="eastAsia"/>
                <w:noProof/>
                <w:color w:val="auto"/>
                <w:sz w:val="28"/>
                <w:szCs w:val="28"/>
                <w:u w:val="none"/>
              </w:rPr>
              <w:t>況</w:t>
            </w:r>
            <w:proofErr w:type="gramEnd"/>
            <w:r w:rsidR="003F2D11" w:rsidRPr="00867C4F">
              <w:rPr>
                <w:rStyle w:val="ab"/>
                <w:rFonts w:ascii="標楷體" w:eastAsia="標楷體" w:hAnsi="標楷體" w:hint="eastAsia"/>
                <w:noProof/>
                <w:color w:val="auto"/>
                <w:sz w:val="28"/>
                <w:szCs w:val="28"/>
                <w:u w:val="none"/>
              </w:rPr>
              <w:t>條件成熟時再行</w:t>
            </w:r>
            <w:r w:rsidR="00B46D58" w:rsidRPr="00867C4F">
              <w:rPr>
                <w:rStyle w:val="ab"/>
                <w:rFonts w:ascii="標楷體" w:eastAsia="標楷體" w:hAnsi="標楷體" w:hint="eastAsia"/>
                <w:noProof/>
                <w:color w:val="auto"/>
                <w:sz w:val="28"/>
                <w:szCs w:val="28"/>
                <w:u w:val="none"/>
              </w:rPr>
              <w:t>推動。</w:t>
            </w:r>
          </w:p>
        </w:tc>
      </w:tr>
    </w:tbl>
    <w:p w:rsidR="00795D4C" w:rsidRPr="00691BA9" w:rsidRDefault="00795D4C" w:rsidP="00134198">
      <w:pPr>
        <w:ind w:rightChars="50" w:right="120" w:firstLineChars="30" w:firstLine="72"/>
        <w:rPr>
          <w:rFonts w:ascii="標楷體" w:eastAsia="標楷體" w:hAnsi="標楷體"/>
        </w:rPr>
      </w:pPr>
      <w:r w:rsidRPr="00691BA9">
        <w:rPr>
          <w:rFonts w:ascii="標楷體" w:eastAsia="標楷體" w:hAnsi="標楷體" w:hint="eastAsia"/>
        </w:rPr>
        <w:lastRenderedPageBreak/>
        <w:t>附註：一、報告內容提要應包括下列二部分：</w:t>
      </w:r>
    </w:p>
    <w:p w:rsidR="00795D4C" w:rsidRPr="00691BA9" w:rsidRDefault="00795D4C" w:rsidP="00134198">
      <w:pPr>
        <w:ind w:left="720" w:rightChars="50" w:right="120" w:firstLineChars="30" w:firstLine="72"/>
        <w:rPr>
          <w:rFonts w:ascii="標楷體" w:eastAsia="標楷體" w:hAnsi="標楷體"/>
        </w:rPr>
      </w:pPr>
      <w:r w:rsidRPr="00691BA9">
        <w:rPr>
          <w:rFonts w:ascii="標楷體" w:eastAsia="標楷體" w:hAnsi="標楷體" w:hint="eastAsia"/>
        </w:rPr>
        <w:t>（一）研究內容重點</w:t>
      </w:r>
    </w:p>
    <w:p w:rsidR="00795D4C" w:rsidRPr="00691BA9" w:rsidRDefault="00795D4C" w:rsidP="00416C79">
      <w:pPr>
        <w:ind w:left="720" w:rightChars="50" w:right="120" w:firstLineChars="30" w:firstLine="72"/>
        <w:rPr>
          <w:rFonts w:ascii="標楷體" w:eastAsia="標楷體" w:hAnsi="標楷體"/>
        </w:rPr>
      </w:pPr>
      <w:r w:rsidRPr="00691BA9">
        <w:rPr>
          <w:rFonts w:ascii="標楷體" w:eastAsia="標楷體" w:hAnsi="標楷體" w:hint="eastAsia"/>
        </w:rPr>
        <w:t>（二）結論與建議事項</w:t>
      </w:r>
    </w:p>
    <w:p w:rsidR="00795D4C" w:rsidRPr="00691BA9" w:rsidRDefault="00795D4C" w:rsidP="00416C79">
      <w:pPr>
        <w:ind w:left="720" w:rightChars="50" w:right="120" w:firstLineChars="30" w:firstLine="72"/>
        <w:rPr>
          <w:rFonts w:ascii="標楷體" w:eastAsia="標楷體" w:hAnsi="標楷體"/>
        </w:rPr>
      </w:pPr>
      <w:r w:rsidRPr="00691BA9">
        <w:rPr>
          <w:rFonts w:ascii="標楷體" w:eastAsia="標楷體" w:hAnsi="標楷體" w:hint="eastAsia"/>
        </w:rPr>
        <w:t>二、本</w:t>
      </w:r>
      <w:proofErr w:type="gramStart"/>
      <w:r w:rsidRPr="00691BA9">
        <w:rPr>
          <w:rFonts w:ascii="標楷體" w:eastAsia="標楷體" w:hAnsi="標楷體" w:hint="eastAsia"/>
        </w:rPr>
        <w:t>提要表須附</w:t>
      </w:r>
      <w:proofErr w:type="gramEnd"/>
      <w:r w:rsidRPr="00691BA9">
        <w:rPr>
          <w:rFonts w:ascii="標楷體" w:eastAsia="標楷體" w:hAnsi="標楷體" w:hint="eastAsia"/>
        </w:rPr>
        <w:t>電子</w:t>
      </w:r>
      <w:proofErr w:type="gramStart"/>
      <w:r w:rsidRPr="00691BA9">
        <w:rPr>
          <w:rFonts w:ascii="標楷體" w:eastAsia="標楷體" w:hAnsi="標楷體" w:hint="eastAsia"/>
        </w:rPr>
        <w:t>檔</w:t>
      </w:r>
      <w:proofErr w:type="gramEnd"/>
    </w:p>
    <w:sectPr w:rsidR="00795D4C" w:rsidRPr="00691BA9" w:rsidSect="001614D7">
      <w:footerReference w:type="even" r:id="rId9"/>
      <w:footerReference w:type="default" r:id="rId10"/>
      <w:pgSz w:w="11906" w:h="16838" w:code="9"/>
      <w:pgMar w:top="1440" w:right="1474" w:bottom="1440" w:left="1474" w:header="851" w:footer="992" w:gutter="0"/>
      <w:cols w:space="425"/>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8B4" w:rsidRDefault="000308B4">
      <w:r>
        <w:separator/>
      </w:r>
    </w:p>
  </w:endnote>
  <w:endnote w:type="continuationSeparator" w:id="0">
    <w:p w:rsidR="000308B4" w:rsidRDefault="000308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8B4" w:rsidRDefault="000308B4" w:rsidP="0010287D">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308B4" w:rsidRDefault="000308B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8B4" w:rsidRDefault="000308B4" w:rsidP="0010287D">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B7D3E">
      <w:rPr>
        <w:rStyle w:val="a5"/>
        <w:noProof/>
      </w:rPr>
      <w:t>3</w:t>
    </w:r>
    <w:r>
      <w:rPr>
        <w:rStyle w:val="a5"/>
      </w:rPr>
      <w:fldChar w:fldCharType="end"/>
    </w:r>
  </w:p>
  <w:p w:rsidR="000308B4" w:rsidRDefault="000308B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8B4" w:rsidRDefault="000308B4">
      <w:r>
        <w:separator/>
      </w:r>
    </w:p>
  </w:footnote>
  <w:footnote w:type="continuationSeparator" w:id="0">
    <w:p w:rsidR="000308B4" w:rsidRDefault="000308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78DA"/>
    <w:multiLevelType w:val="hybridMultilevel"/>
    <w:tmpl w:val="5C7469BC"/>
    <w:lvl w:ilvl="0" w:tplc="9DAE9242">
      <w:start w:val="1"/>
      <w:numFmt w:val="taiwaneseCountingThousand"/>
      <w:lvlText w:val="(%1)"/>
      <w:lvlJc w:val="left"/>
      <w:pPr>
        <w:tabs>
          <w:tab w:val="num" w:pos="720"/>
        </w:tabs>
        <w:ind w:left="720" w:hanging="720"/>
      </w:pPr>
      <w:rPr>
        <w:rFonts w:asci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8D26C1C"/>
    <w:multiLevelType w:val="hybridMultilevel"/>
    <w:tmpl w:val="65725282"/>
    <w:lvl w:ilvl="0" w:tplc="0409000F">
      <w:start w:val="1"/>
      <w:numFmt w:val="decimal"/>
      <w:lvlText w:val="%1."/>
      <w:lvlJc w:val="left"/>
      <w:pPr>
        <w:ind w:left="756" w:hanging="480"/>
      </w:pPr>
      <w:rPr>
        <w:rFonts w:cs="Times New Roman"/>
      </w:rPr>
    </w:lvl>
    <w:lvl w:ilvl="1" w:tplc="04090019" w:tentative="1">
      <w:start w:val="1"/>
      <w:numFmt w:val="ideographTraditional"/>
      <w:lvlText w:val="%2、"/>
      <w:lvlJc w:val="left"/>
      <w:pPr>
        <w:ind w:left="1236" w:hanging="480"/>
      </w:pPr>
      <w:rPr>
        <w:rFonts w:cs="Times New Roman"/>
      </w:rPr>
    </w:lvl>
    <w:lvl w:ilvl="2" w:tplc="0409001B" w:tentative="1">
      <w:start w:val="1"/>
      <w:numFmt w:val="lowerRoman"/>
      <w:lvlText w:val="%3."/>
      <w:lvlJc w:val="right"/>
      <w:pPr>
        <w:ind w:left="1716" w:hanging="480"/>
      </w:pPr>
      <w:rPr>
        <w:rFonts w:cs="Times New Roman"/>
      </w:rPr>
    </w:lvl>
    <w:lvl w:ilvl="3" w:tplc="0409000F" w:tentative="1">
      <w:start w:val="1"/>
      <w:numFmt w:val="decimal"/>
      <w:lvlText w:val="%4."/>
      <w:lvlJc w:val="left"/>
      <w:pPr>
        <w:ind w:left="2196" w:hanging="480"/>
      </w:pPr>
      <w:rPr>
        <w:rFonts w:cs="Times New Roman"/>
      </w:rPr>
    </w:lvl>
    <w:lvl w:ilvl="4" w:tplc="04090019" w:tentative="1">
      <w:start w:val="1"/>
      <w:numFmt w:val="ideographTraditional"/>
      <w:lvlText w:val="%5、"/>
      <w:lvlJc w:val="left"/>
      <w:pPr>
        <w:ind w:left="2676" w:hanging="480"/>
      </w:pPr>
      <w:rPr>
        <w:rFonts w:cs="Times New Roman"/>
      </w:rPr>
    </w:lvl>
    <w:lvl w:ilvl="5" w:tplc="0409001B" w:tentative="1">
      <w:start w:val="1"/>
      <w:numFmt w:val="lowerRoman"/>
      <w:lvlText w:val="%6."/>
      <w:lvlJc w:val="right"/>
      <w:pPr>
        <w:ind w:left="3156" w:hanging="480"/>
      </w:pPr>
      <w:rPr>
        <w:rFonts w:cs="Times New Roman"/>
      </w:rPr>
    </w:lvl>
    <w:lvl w:ilvl="6" w:tplc="0409000F" w:tentative="1">
      <w:start w:val="1"/>
      <w:numFmt w:val="decimal"/>
      <w:lvlText w:val="%7."/>
      <w:lvlJc w:val="left"/>
      <w:pPr>
        <w:ind w:left="3636" w:hanging="480"/>
      </w:pPr>
      <w:rPr>
        <w:rFonts w:cs="Times New Roman"/>
      </w:rPr>
    </w:lvl>
    <w:lvl w:ilvl="7" w:tplc="04090019" w:tentative="1">
      <w:start w:val="1"/>
      <w:numFmt w:val="ideographTraditional"/>
      <w:lvlText w:val="%8、"/>
      <w:lvlJc w:val="left"/>
      <w:pPr>
        <w:ind w:left="4116" w:hanging="480"/>
      </w:pPr>
      <w:rPr>
        <w:rFonts w:cs="Times New Roman"/>
      </w:rPr>
    </w:lvl>
    <w:lvl w:ilvl="8" w:tplc="0409001B" w:tentative="1">
      <w:start w:val="1"/>
      <w:numFmt w:val="lowerRoman"/>
      <w:lvlText w:val="%9."/>
      <w:lvlJc w:val="right"/>
      <w:pPr>
        <w:ind w:left="4596" w:hanging="480"/>
      </w:pPr>
      <w:rPr>
        <w:rFonts w:cs="Times New Roman"/>
      </w:rPr>
    </w:lvl>
  </w:abstractNum>
  <w:abstractNum w:abstractNumId="2">
    <w:nsid w:val="280A48D0"/>
    <w:multiLevelType w:val="hybridMultilevel"/>
    <w:tmpl w:val="C5A4B3B6"/>
    <w:lvl w:ilvl="0" w:tplc="2AA672BA">
      <w:start w:val="1"/>
      <w:numFmt w:val="taiwaneseCountingThousand"/>
      <w:lvlText w:val="%1、"/>
      <w:lvlJc w:val="left"/>
      <w:pPr>
        <w:ind w:left="1008" w:hanging="720"/>
      </w:pPr>
      <w:rPr>
        <w:rFonts w:cs="Times New Roman" w:hint="default"/>
      </w:rPr>
    </w:lvl>
    <w:lvl w:ilvl="1" w:tplc="04090019" w:tentative="1">
      <w:start w:val="1"/>
      <w:numFmt w:val="ideographTraditional"/>
      <w:lvlText w:val="%2、"/>
      <w:lvlJc w:val="left"/>
      <w:pPr>
        <w:ind w:left="1248" w:hanging="480"/>
      </w:pPr>
      <w:rPr>
        <w:rFonts w:cs="Times New Roman"/>
      </w:rPr>
    </w:lvl>
    <w:lvl w:ilvl="2" w:tplc="0409001B" w:tentative="1">
      <w:start w:val="1"/>
      <w:numFmt w:val="lowerRoman"/>
      <w:lvlText w:val="%3."/>
      <w:lvlJc w:val="right"/>
      <w:pPr>
        <w:ind w:left="1728" w:hanging="480"/>
      </w:pPr>
      <w:rPr>
        <w:rFonts w:cs="Times New Roman"/>
      </w:rPr>
    </w:lvl>
    <w:lvl w:ilvl="3" w:tplc="0409000F" w:tentative="1">
      <w:start w:val="1"/>
      <w:numFmt w:val="decimal"/>
      <w:lvlText w:val="%4."/>
      <w:lvlJc w:val="left"/>
      <w:pPr>
        <w:ind w:left="2208" w:hanging="480"/>
      </w:pPr>
      <w:rPr>
        <w:rFonts w:cs="Times New Roman"/>
      </w:rPr>
    </w:lvl>
    <w:lvl w:ilvl="4" w:tplc="04090019" w:tentative="1">
      <w:start w:val="1"/>
      <w:numFmt w:val="ideographTraditional"/>
      <w:lvlText w:val="%5、"/>
      <w:lvlJc w:val="left"/>
      <w:pPr>
        <w:ind w:left="2688" w:hanging="480"/>
      </w:pPr>
      <w:rPr>
        <w:rFonts w:cs="Times New Roman"/>
      </w:rPr>
    </w:lvl>
    <w:lvl w:ilvl="5" w:tplc="0409001B" w:tentative="1">
      <w:start w:val="1"/>
      <w:numFmt w:val="lowerRoman"/>
      <w:lvlText w:val="%6."/>
      <w:lvlJc w:val="right"/>
      <w:pPr>
        <w:ind w:left="3168" w:hanging="480"/>
      </w:pPr>
      <w:rPr>
        <w:rFonts w:cs="Times New Roman"/>
      </w:rPr>
    </w:lvl>
    <w:lvl w:ilvl="6" w:tplc="0409000F" w:tentative="1">
      <w:start w:val="1"/>
      <w:numFmt w:val="decimal"/>
      <w:lvlText w:val="%7."/>
      <w:lvlJc w:val="left"/>
      <w:pPr>
        <w:ind w:left="3648" w:hanging="480"/>
      </w:pPr>
      <w:rPr>
        <w:rFonts w:cs="Times New Roman"/>
      </w:rPr>
    </w:lvl>
    <w:lvl w:ilvl="7" w:tplc="04090019" w:tentative="1">
      <w:start w:val="1"/>
      <w:numFmt w:val="ideographTraditional"/>
      <w:lvlText w:val="%8、"/>
      <w:lvlJc w:val="left"/>
      <w:pPr>
        <w:ind w:left="4128" w:hanging="480"/>
      </w:pPr>
      <w:rPr>
        <w:rFonts w:cs="Times New Roman"/>
      </w:rPr>
    </w:lvl>
    <w:lvl w:ilvl="8" w:tplc="0409001B" w:tentative="1">
      <w:start w:val="1"/>
      <w:numFmt w:val="lowerRoman"/>
      <w:lvlText w:val="%9."/>
      <w:lvlJc w:val="right"/>
      <w:pPr>
        <w:ind w:left="4608" w:hanging="480"/>
      </w:pPr>
      <w:rPr>
        <w:rFonts w:cs="Times New Roman"/>
      </w:rPr>
    </w:lvl>
  </w:abstractNum>
  <w:abstractNum w:abstractNumId="3">
    <w:nsid w:val="2B407650"/>
    <w:multiLevelType w:val="hybridMultilevel"/>
    <w:tmpl w:val="59DCE9E4"/>
    <w:lvl w:ilvl="0" w:tplc="DF7AE49C">
      <w:start w:val="1"/>
      <w:numFmt w:val="taiwaneseCountingThousand"/>
      <w:lvlText w:val="第%1節"/>
      <w:lvlJc w:val="left"/>
      <w:pPr>
        <w:ind w:left="120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
    <w:nsid w:val="2BA760E7"/>
    <w:multiLevelType w:val="hybridMultilevel"/>
    <w:tmpl w:val="B9488CFC"/>
    <w:lvl w:ilvl="0" w:tplc="47666534">
      <w:start w:val="1"/>
      <w:numFmt w:val="taiwaneseCountingThousand"/>
      <w:lvlText w:val="%1、"/>
      <w:lvlJc w:val="left"/>
      <w:pPr>
        <w:tabs>
          <w:tab w:val="num" w:pos="480"/>
        </w:tabs>
        <w:ind w:left="480" w:hanging="480"/>
      </w:pPr>
      <w:rPr>
        <w:rFonts w:cs="Symbol" w:hint="default"/>
        <w:color w:val="auto"/>
        <w:sz w:val="28"/>
        <w:szCs w:val="28"/>
        <w:u w:val="none"/>
      </w:rPr>
    </w:lvl>
    <w:lvl w:ilvl="1" w:tplc="04090019">
      <w:start w:val="1"/>
      <w:numFmt w:val="ideographTraditional"/>
      <w:lvlText w:val="%2、"/>
      <w:lvlJc w:val="left"/>
      <w:pPr>
        <w:tabs>
          <w:tab w:val="num" w:pos="250"/>
        </w:tabs>
        <w:ind w:left="250" w:hanging="480"/>
      </w:pPr>
      <w:rPr>
        <w:rFonts w:cs="Times New Roman"/>
      </w:rPr>
    </w:lvl>
    <w:lvl w:ilvl="2" w:tplc="4A8C657E">
      <w:start w:val="1"/>
      <w:numFmt w:val="taiwaneseCountingThousand"/>
      <w:lvlText w:val="(%3)"/>
      <w:lvlJc w:val="left"/>
      <w:pPr>
        <w:tabs>
          <w:tab w:val="num" w:pos="1270"/>
        </w:tabs>
        <w:ind w:left="1270" w:hanging="1020"/>
      </w:pPr>
      <w:rPr>
        <w:rFonts w:cs="Times New Roman" w:hint="default"/>
      </w:rPr>
    </w:lvl>
    <w:lvl w:ilvl="3" w:tplc="0409000F" w:tentative="1">
      <w:start w:val="1"/>
      <w:numFmt w:val="decimal"/>
      <w:lvlText w:val="%4."/>
      <w:lvlJc w:val="left"/>
      <w:pPr>
        <w:tabs>
          <w:tab w:val="num" w:pos="1210"/>
        </w:tabs>
        <w:ind w:left="1210" w:hanging="480"/>
      </w:pPr>
      <w:rPr>
        <w:rFonts w:cs="Times New Roman"/>
      </w:rPr>
    </w:lvl>
    <w:lvl w:ilvl="4" w:tplc="04090019" w:tentative="1">
      <w:start w:val="1"/>
      <w:numFmt w:val="ideographTraditional"/>
      <w:lvlText w:val="%5、"/>
      <w:lvlJc w:val="left"/>
      <w:pPr>
        <w:tabs>
          <w:tab w:val="num" w:pos="1690"/>
        </w:tabs>
        <w:ind w:left="1690" w:hanging="480"/>
      </w:pPr>
      <w:rPr>
        <w:rFonts w:cs="Times New Roman"/>
      </w:rPr>
    </w:lvl>
    <w:lvl w:ilvl="5" w:tplc="0409001B" w:tentative="1">
      <w:start w:val="1"/>
      <w:numFmt w:val="lowerRoman"/>
      <w:lvlText w:val="%6."/>
      <w:lvlJc w:val="right"/>
      <w:pPr>
        <w:tabs>
          <w:tab w:val="num" w:pos="2170"/>
        </w:tabs>
        <w:ind w:left="2170" w:hanging="480"/>
      </w:pPr>
      <w:rPr>
        <w:rFonts w:cs="Times New Roman"/>
      </w:rPr>
    </w:lvl>
    <w:lvl w:ilvl="6" w:tplc="0409000F" w:tentative="1">
      <w:start w:val="1"/>
      <w:numFmt w:val="decimal"/>
      <w:lvlText w:val="%7."/>
      <w:lvlJc w:val="left"/>
      <w:pPr>
        <w:tabs>
          <w:tab w:val="num" w:pos="2650"/>
        </w:tabs>
        <w:ind w:left="2650" w:hanging="480"/>
      </w:pPr>
      <w:rPr>
        <w:rFonts w:cs="Times New Roman"/>
      </w:rPr>
    </w:lvl>
    <w:lvl w:ilvl="7" w:tplc="04090019" w:tentative="1">
      <w:start w:val="1"/>
      <w:numFmt w:val="ideographTraditional"/>
      <w:lvlText w:val="%8、"/>
      <w:lvlJc w:val="left"/>
      <w:pPr>
        <w:tabs>
          <w:tab w:val="num" w:pos="3130"/>
        </w:tabs>
        <w:ind w:left="3130" w:hanging="480"/>
      </w:pPr>
      <w:rPr>
        <w:rFonts w:cs="Times New Roman"/>
      </w:rPr>
    </w:lvl>
    <w:lvl w:ilvl="8" w:tplc="0409001B" w:tentative="1">
      <w:start w:val="1"/>
      <w:numFmt w:val="lowerRoman"/>
      <w:lvlText w:val="%9."/>
      <w:lvlJc w:val="right"/>
      <w:pPr>
        <w:tabs>
          <w:tab w:val="num" w:pos="3610"/>
        </w:tabs>
        <w:ind w:left="3610" w:hanging="480"/>
      </w:pPr>
      <w:rPr>
        <w:rFonts w:cs="Times New Roman"/>
      </w:rPr>
    </w:lvl>
  </w:abstractNum>
  <w:abstractNum w:abstractNumId="5">
    <w:nsid w:val="2D827DB0"/>
    <w:multiLevelType w:val="hybridMultilevel"/>
    <w:tmpl w:val="D89A0B86"/>
    <w:lvl w:ilvl="0" w:tplc="A1108586">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34974917"/>
    <w:multiLevelType w:val="hybridMultilevel"/>
    <w:tmpl w:val="C5A4B3B6"/>
    <w:lvl w:ilvl="0" w:tplc="2AA672BA">
      <w:start w:val="1"/>
      <w:numFmt w:val="taiwaneseCountingThousand"/>
      <w:lvlText w:val="%1、"/>
      <w:lvlJc w:val="left"/>
      <w:pPr>
        <w:ind w:left="1008" w:hanging="720"/>
      </w:pPr>
      <w:rPr>
        <w:rFonts w:cs="Times New Roman" w:hint="default"/>
      </w:rPr>
    </w:lvl>
    <w:lvl w:ilvl="1" w:tplc="04090019" w:tentative="1">
      <w:start w:val="1"/>
      <w:numFmt w:val="ideographTraditional"/>
      <w:lvlText w:val="%2、"/>
      <w:lvlJc w:val="left"/>
      <w:pPr>
        <w:ind w:left="1248" w:hanging="480"/>
      </w:pPr>
      <w:rPr>
        <w:rFonts w:cs="Times New Roman"/>
      </w:rPr>
    </w:lvl>
    <w:lvl w:ilvl="2" w:tplc="0409001B" w:tentative="1">
      <w:start w:val="1"/>
      <w:numFmt w:val="lowerRoman"/>
      <w:lvlText w:val="%3."/>
      <w:lvlJc w:val="right"/>
      <w:pPr>
        <w:ind w:left="1728" w:hanging="480"/>
      </w:pPr>
      <w:rPr>
        <w:rFonts w:cs="Times New Roman"/>
      </w:rPr>
    </w:lvl>
    <w:lvl w:ilvl="3" w:tplc="0409000F" w:tentative="1">
      <w:start w:val="1"/>
      <w:numFmt w:val="decimal"/>
      <w:lvlText w:val="%4."/>
      <w:lvlJc w:val="left"/>
      <w:pPr>
        <w:ind w:left="2208" w:hanging="480"/>
      </w:pPr>
      <w:rPr>
        <w:rFonts w:cs="Times New Roman"/>
      </w:rPr>
    </w:lvl>
    <w:lvl w:ilvl="4" w:tplc="04090019" w:tentative="1">
      <w:start w:val="1"/>
      <w:numFmt w:val="ideographTraditional"/>
      <w:lvlText w:val="%5、"/>
      <w:lvlJc w:val="left"/>
      <w:pPr>
        <w:ind w:left="2688" w:hanging="480"/>
      </w:pPr>
      <w:rPr>
        <w:rFonts w:cs="Times New Roman"/>
      </w:rPr>
    </w:lvl>
    <w:lvl w:ilvl="5" w:tplc="0409001B" w:tentative="1">
      <w:start w:val="1"/>
      <w:numFmt w:val="lowerRoman"/>
      <w:lvlText w:val="%6."/>
      <w:lvlJc w:val="right"/>
      <w:pPr>
        <w:ind w:left="3168" w:hanging="480"/>
      </w:pPr>
      <w:rPr>
        <w:rFonts w:cs="Times New Roman"/>
      </w:rPr>
    </w:lvl>
    <w:lvl w:ilvl="6" w:tplc="0409000F" w:tentative="1">
      <w:start w:val="1"/>
      <w:numFmt w:val="decimal"/>
      <w:lvlText w:val="%7."/>
      <w:lvlJc w:val="left"/>
      <w:pPr>
        <w:ind w:left="3648" w:hanging="480"/>
      </w:pPr>
      <w:rPr>
        <w:rFonts w:cs="Times New Roman"/>
      </w:rPr>
    </w:lvl>
    <w:lvl w:ilvl="7" w:tplc="04090019" w:tentative="1">
      <w:start w:val="1"/>
      <w:numFmt w:val="ideographTraditional"/>
      <w:lvlText w:val="%8、"/>
      <w:lvlJc w:val="left"/>
      <w:pPr>
        <w:ind w:left="4128" w:hanging="480"/>
      </w:pPr>
      <w:rPr>
        <w:rFonts w:cs="Times New Roman"/>
      </w:rPr>
    </w:lvl>
    <w:lvl w:ilvl="8" w:tplc="0409001B" w:tentative="1">
      <w:start w:val="1"/>
      <w:numFmt w:val="lowerRoman"/>
      <w:lvlText w:val="%9."/>
      <w:lvlJc w:val="right"/>
      <w:pPr>
        <w:ind w:left="4608" w:hanging="480"/>
      </w:pPr>
      <w:rPr>
        <w:rFonts w:cs="Times New Roman"/>
      </w:rPr>
    </w:lvl>
  </w:abstractNum>
  <w:abstractNum w:abstractNumId="7">
    <w:nsid w:val="3FA73D5A"/>
    <w:multiLevelType w:val="hybridMultilevel"/>
    <w:tmpl w:val="CCF464BE"/>
    <w:lvl w:ilvl="0" w:tplc="A094B6D6">
      <w:start w:val="1"/>
      <w:numFmt w:val="taiwaneseCountingThousand"/>
      <w:lvlText w:val="%1、"/>
      <w:lvlJc w:val="left"/>
      <w:pPr>
        <w:ind w:left="996" w:hanging="720"/>
      </w:pPr>
      <w:rPr>
        <w:rFonts w:cs="Times New Roman" w:hint="default"/>
      </w:rPr>
    </w:lvl>
    <w:lvl w:ilvl="1" w:tplc="04090019" w:tentative="1">
      <w:start w:val="1"/>
      <w:numFmt w:val="ideographTraditional"/>
      <w:lvlText w:val="%2、"/>
      <w:lvlJc w:val="left"/>
      <w:pPr>
        <w:ind w:left="1236" w:hanging="480"/>
      </w:pPr>
      <w:rPr>
        <w:rFonts w:cs="Times New Roman"/>
      </w:rPr>
    </w:lvl>
    <w:lvl w:ilvl="2" w:tplc="0409001B" w:tentative="1">
      <w:start w:val="1"/>
      <w:numFmt w:val="lowerRoman"/>
      <w:lvlText w:val="%3."/>
      <w:lvlJc w:val="right"/>
      <w:pPr>
        <w:ind w:left="1716" w:hanging="480"/>
      </w:pPr>
      <w:rPr>
        <w:rFonts w:cs="Times New Roman"/>
      </w:rPr>
    </w:lvl>
    <w:lvl w:ilvl="3" w:tplc="0409000F" w:tentative="1">
      <w:start w:val="1"/>
      <w:numFmt w:val="decimal"/>
      <w:lvlText w:val="%4."/>
      <w:lvlJc w:val="left"/>
      <w:pPr>
        <w:ind w:left="2196" w:hanging="480"/>
      </w:pPr>
      <w:rPr>
        <w:rFonts w:cs="Times New Roman"/>
      </w:rPr>
    </w:lvl>
    <w:lvl w:ilvl="4" w:tplc="04090019" w:tentative="1">
      <w:start w:val="1"/>
      <w:numFmt w:val="ideographTraditional"/>
      <w:lvlText w:val="%5、"/>
      <w:lvlJc w:val="left"/>
      <w:pPr>
        <w:ind w:left="2676" w:hanging="480"/>
      </w:pPr>
      <w:rPr>
        <w:rFonts w:cs="Times New Roman"/>
      </w:rPr>
    </w:lvl>
    <w:lvl w:ilvl="5" w:tplc="0409001B" w:tentative="1">
      <w:start w:val="1"/>
      <w:numFmt w:val="lowerRoman"/>
      <w:lvlText w:val="%6."/>
      <w:lvlJc w:val="right"/>
      <w:pPr>
        <w:ind w:left="3156" w:hanging="480"/>
      </w:pPr>
      <w:rPr>
        <w:rFonts w:cs="Times New Roman"/>
      </w:rPr>
    </w:lvl>
    <w:lvl w:ilvl="6" w:tplc="0409000F" w:tentative="1">
      <w:start w:val="1"/>
      <w:numFmt w:val="decimal"/>
      <w:lvlText w:val="%7."/>
      <w:lvlJc w:val="left"/>
      <w:pPr>
        <w:ind w:left="3636" w:hanging="480"/>
      </w:pPr>
      <w:rPr>
        <w:rFonts w:cs="Times New Roman"/>
      </w:rPr>
    </w:lvl>
    <w:lvl w:ilvl="7" w:tplc="04090019" w:tentative="1">
      <w:start w:val="1"/>
      <w:numFmt w:val="ideographTraditional"/>
      <w:lvlText w:val="%8、"/>
      <w:lvlJc w:val="left"/>
      <w:pPr>
        <w:ind w:left="4116" w:hanging="480"/>
      </w:pPr>
      <w:rPr>
        <w:rFonts w:cs="Times New Roman"/>
      </w:rPr>
    </w:lvl>
    <w:lvl w:ilvl="8" w:tplc="0409001B" w:tentative="1">
      <w:start w:val="1"/>
      <w:numFmt w:val="lowerRoman"/>
      <w:lvlText w:val="%9."/>
      <w:lvlJc w:val="right"/>
      <w:pPr>
        <w:ind w:left="4596" w:hanging="480"/>
      </w:pPr>
      <w:rPr>
        <w:rFonts w:cs="Times New Roman"/>
      </w:rPr>
    </w:lvl>
  </w:abstractNum>
  <w:abstractNum w:abstractNumId="8">
    <w:nsid w:val="4D050A7F"/>
    <w:multiLevelType w:val="hybridMultilevel"/>
    <w:tmpl w:val="979CAD12"/>
    <w:lvl w:ilvl="0" w:tplc="66426F26">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63587B49"/>
    <w:multiLevelType w:val="hybridMultilevel"/>
    <w:tmpl w:val="EFD09ED2"/>
    <w:lvl w:ilvl="0" w:tplc="DF7AE49C">
      <w:start w:val="1"/>
      <w:numFmt w:val="taiwaneseCountingThousand"/>
      <w:lvlText w:val="第%1節"/>
      <w:lvlJc w:val="left"/>
      <w:pPr>
        <w:ind w:left="1200" w:hanging="480"/>
      </w:pPr>
      <w:rPr>
        <w:rFonts w:cs="Times New Roman" w:hint="default"/>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10">
    <w:nsid w:val="670E4DF0"/>
    <w:multiLevelType w:val="hybridMultilevel"/>
    <w:tmpl w:val="CCF464BE"/>
    <w:lvl w:ilvl="0" w:tplc="A094B6D6">
      <w:start w:val="1"/>
      <w:numFmt w:val="taiwaneseCountingThousand"/>
      <w:lvlText w:val="%1、"/>
      <w:lvlJc w:val="left"/>
      <w:pPr>
        <w:ind w:left="996" w:hanging="720"/>
      </w:pPr>
      <w:rPr>
        <w:rFonts w:cs="Times New Roman" w:hint="default"/>
      </w:rPr>
    </w:lvl>
    <w:lvl w:ilvl="1" w:tplc="04090019" w:tentative="1">
      <w:start w:val="1"/>
      <w:numFmt w:val="ideographTraditional"/>
      <w:lvlText w:val="%2、"/>
      <w:lvlJc w:val="left"/>
      <w:pPr>
        <w:ind w:left="1236" w:hanging="480"/>
      </w:pPr>
      <w:rPr>
        <w:rFonts w:cs="Times New Roman"/>
      </w:rPr>
    </w:lvl>
    <w:lvl w:ilvl="2" w:tplc="0409001B" w:tentative="1">
      <w:start w:val="1"/>
      <w:numFmt w:val="lowerRoman"/>
      <w:lvlText w:val="%3."/>
      <w:lvlJc w:val="right"/>
      <w:pPr>
        <w:ind w:left="1716" w:hanging="480"/>
      </w:pPr>
      <w:rPr>
        <w:rFonts w:cs="Times New Roman"/>
      </w:rPr>
    </w:lvl>
    <w:lvl w:ilvl="3" w:tplc="0409000F" w:tentative="1">
      <w:start w:val="1"/>
      <w:numFmt w:val="decimal"/>
      <w:lvlText w:val="%4."/>
      <w:lvlJc w:val="left"/>
      <w:pPr>
        <w:ind w:left="2196" w:hanging="480"/>
      </w:pPr>
      <w:rPr>
        <w:rFonts w:cs="Times New Roman"/>
      </w:rPr>
    </w:lvl>
    <w:lvl w:ilvl="4" w:tplc="04090019" w:tentative="1">
      <w:start w:val="1"/>
      <w:numFmt w:val="ideographTraditional"/>
      <w:lvlText w:val="%5、"/>
      <w:lvlJc w:val="left"/>
      <w:pPr>
        <w:ind w:left="2676" w:hanging="480"/>
      </w:pPr>
      <w:rPr>
        <w:rFonts w:cs="Times New Roman"/>
      </w:rPr>
    </w:lvl>
    <w:lvl w:ilvl="5" w:tplc="0409001B" w:tentative="1">
      <w:start w:val="1"/>
      <w:numFmt w:val="lowerRoman"/>
      <w:lvlText w:val="%6."/>
      <w:lvlJc w:val="right"/>
      <w:pPr>
        <w:ind w:left="3156" w:hanging="480"/>
      </w:pPr>
      <w:rPr>
        <w:rFonts w:cs="Times New Roman"/>
      </w:rPr>
    </w:lvl>
    <w:lvl w:ilvl="6" w:tplc="0409000F" w:tentative="1">
      <w:start w:val="1"/>
      <w:numFmt w:val="decimal"/>
      <w:lvlText w:val="%7."/>
      <w:lvlJc w:val="left"/>
      <w:pPr>
        <w:ind w:left="3636" w:hanging="480"/>
      </w:pPr>
      <w:rPr>
        <w:rFonts w:cs="Times New Roman"/>
      </w:rPr>
    </w:lvl>
    <w:lvl w:ilvl="7" w:tplc="04090019" w:tentative="1">
      <w:start w:val="1"/>
      <w:numFmt w:val="ideographTraditional"/>
      <w:lvlText w:val="%8、"/>
      <w:lvlJc w:val="left"/>
      <w:pPr>
        <w:ind w:left="4116" w:hanging="480"/>
      </w:pPr>
      <w:rPr>
        <w:rFonts w:cs="Times New Roman"/>
      </w:rPr>
    </w:lvl>
    <w:lvl w:ilvl="8" w:tplc="0409001B" w:tentative="1">
      <w:start w:val="1"/>
      <w:numFmt w:val="lowerRoman"/>
      <w:lvlText w:val="%9."/>
      <w:lvlJc w:val="right"/>
      <w:pPr>
        <w:ind w:left="4596" w:hanging="480"/>
      </w:pPr>
      <w:rPr>
        <w:rFonts w:cs="Times New Roman"/>
      </w:rPr>
    </w:lvl>
  </w:abstractNum>
  <w:abstractNum w:abstractNumId="11">
    <w:nsid w:val="673A6FD5"/>
    <w:multiLevelType w:val="hybridMultilevel"/>
    <w:tmpl w:val="666235D6"/>
    <w:lvl w:ilvl="0" w:tplc="DDBACB88">
      <w:start w:val="1"/>
      <w:numFmt w:val="decimal"/>
      <w:lvlText w:val="%1."/>
      <w:lvlJc w:val="left"/>
      <w:pPr>
        <w:tabs>
          <w:tab w:val="num" w:pos="-88"/>
        </w:tabs>
        <w:ind w:left="960" w:hanging="480"/>
      </w:pPr>
      <w:rPr>
        <w:rFonts w:cs="Times New Roman" w:hint="eastAsia"/>
        <w:sz w:val="28"/>
      </w:rPr>
    </w:lvl>
    <w:lvl w:ilvl="1" w:tplc="04090019" w:tentative="1">
      <w:start w:val="1"/>
      <w:numFmt w:val="ideographTraditional"/>
      <w:lvlText w:val="%2、"/>
      <w:lvlJc w:val="left"/>
      <w:pPr>
        <w:tabs>
          <w:tab w:val="num" w:pos="874"/>
        </w:tabs>
        <w:ind w:left="874" w:hanging="480"/>
      </w:pPr>
      <w:rPr>
        <w:rFonts w:cs="Times New Roman"/>
      </w:rPr>
    </w:lvl>
    <w:lvl w:ilvl="2" w:tplc="0409001B" w:tentative="1">
      <w:start w:val="1"/>
      <w:numFmt w:val="lowerRoman"/>
      <w:lvlText w:val="%3."/>
      <w:lvlJc w:val="right"/>
      <w:pPr>
        <w:tabs>
          <w:tab w:val="num" w:pos="1354"/>
        </w:tabs>
        <w:ind w:left="1354" w:hanging="480"/>
      </w:pPr>
      <w:rPr>
        <w:rFonts w:cs="Times New Roman"/>
      </w:rPr>
    </w:lvl>
    <w:lvl w:ilvl="3" w:tplc="0409000F" w:tentative="1">
      <w:start w:val="1"/>
      <w:numFmt w:val="decimal"/>
      <w:lvlText w:val="%4."/>
      <w:lvlJc w:val="left"/>
      <w:pPr>
        <w:tabs>
          <w:tab w:val="num" w:pos="1834"/>
        </w:tabs>
        <w:ind w:left="1834" w:hanging="480"/>
      </w:pPr>
      <w:rPr>
        <w:rFonts w:cs="Times New Roman"/>
      </w:rPr>
    </w:lvl>
    <w:lvl w:ilvl="4" w:tplc="04090019" w:tentative="1">
      <w:start w:val="1"/>
      <w:numFmt w:val="ideographTraditional"/>
      <w:lvlText w:val="%5、"/>
      <w:lvlJc w:val="left"/>
      <w:pPr>
        <w:tabs>
          <w:tab w:val="num" w:pos="2314"/>
        </w:tabs>
        <w:ind w:left="2314" w:hanging="480"/>
      </w:pPr>
      <w:rPr>
        <w:rFonts w:cs="Times New Roman"/>
      </w:rPr>
    </w:lvl>
    <w:lvl w:ilvl="5" w:tplc="0409001B" w:tentative="1">
      <w:start w:val="1"/>
      <w:numFmt w:val="lowerRoman"/>
      <w:lvlText w:val="%6."/>
      <w:lvlJc w:val="right"/>
      <w:pPr>
        <w:tabs>
          <w:tab w:val="num" w:pos="2794"/>
        </w:tabs>
        <w:ind w:left="2794" w:hanging="480"/>
      </w:pPr>
      <w:rPr>
        <w:rFonts w:cs="Times New Roman"/>
      </w:rPr>
    </w:lvl>
    <w:lvl w:ilvl="6" w:tplc="0409000F" w:tentative="1">
      <w:start w:val="1"/>
      <w:numFmt w:val="decimal"/>
      <w:lvlText w:val="%7."/>
      <w:lvlJc w:val="left"/>
      <w:pPr>
        <w:tabs>
          <w:tab w:val="num" w:pos="3274"/>
        </w:tabs>
        <w:ind w:left="3274" w:hanging="480"/>
      </w:pPr>
      <w:rPr>
        <w:rFonts w:cs="Times New Roman"/>
      </w:rPr>
    </w:lvl>
    <w:lvl w:ilvl="7" w:tplc="04090019" w:tentative="1">
      <w:start w:val="1"/>
      <w:numFmt w:val="ideographTraditional"/>
      <w:lvlText w:val="%8、"/>
      <w:lvlJc w:val="left"/>
      <w:pPr>
        <w:tabs>
          <w:tab w:val="num" w:pos="3754"/>
        </w:tabs>
        <w:ind w:left="3754" w:hanging="480"/>
      </w:pPr>
      <w:rPr>
        <w:rFonts w:cs="Times New Roman"/>
      </w:rPr>
    </w:lvl>
    <w:lvl w:ilvl="8" w:tplc="0409001B" w:tentative="1">
      <w:start w:val="1"/>
      <w:numFmt w:val="lowerRoman"/>
      <w:lvlText w:val="%9."/>
      <w:lvlJc w:val="right"/>
      <w:pPr>
        <w:tabs>
          <w:tab w:val="num" w:pos="4234"/>
        </w:tabs>
        <w:ind w:left="4234" w:hanging="480"/>
      </w:pPr>
      <w:rPr>
        <w:rFonts w:cs="Times New Roman"/>
      </w:rPr>
    </w:lvl>
  </w:abstractNum>
  <w:abstractNum w:abstractNumId="12">
    <w:nsid w:val="692F6EB9"/>
    <w:multiLevelType w:val="hybridMultilevel"/>
    <w:tmpl w:val="0BBA52DE"/>
    <w:lvl w:ilvl="0" w:tplc="470055BE">
      <w:start w:val="1"/>
      <w:numFmt w:val="ideographDigital"/>
      <w:lvlText w:val="(%1)"/>
      <w:lvlJc w:val="left"/>
      <w:pPr>
        <w:ind w:left="560" w:hanging="480"/>
      </w:pPr>
      <w:rPr>
        <w:rFonts w:ascii="標楷體" w:eastAsia="標楷體" w:hAnsi="標楷體" w:cs="Times New Roman" w:hint="default"/>
      </w:rPr>
    </w:lvl>
    <w:lvl w:ilvl="1" w:tplc="04090019">
      <w:start w:val="1"/>
      <w:numFmt w:val="ideographTraditional"/>
      <w:lvlText w:val="%2、"/>
      <w:lvlJc w:val="left"/>
      <w:pPr>
        <w:tabs>
          <w:tab w:val="num" w:pos="1520"/>
        </w:tabs>
        <w:ind w:left="1520" w:hanging="480"/>
      </w:pPr>
      <w:rPr>
        <w:rFonts w:cs="Times New Roman"/>
      </w:rPr>
    </w:lvl>
    <w:lvl w:ilvl="2" w:tplc="0409001B">
      <w:start w:val="1"/>
      <w:numFmt w:val="lowerRoman"/>
      <w:lvlText w:val="%3."/>
      <w:lvlJc w:val="right"/>
      <w:pPr>
        <w:tabs>
          <w:tab w:val="num" w:pos="2000"/>
        </w:tabs>
        <w:ind w:left="2000" w:hanging="480"/>
      </w:pPr>
      <w:rPr>
        <w:rFonts w:cs="Times New Roman"/>
      </w:rPr>
    </w:lvl>
    <w:lvl w:ilvl="3" w:tplc="0409000F" w:tentative="1">
      <w:start w:val="1"/>
      <w:numFmt w:val="decimal"/>
      <w:lvlText w:val="%4."/>
      <w:lvlJc w:val="left"/>
      <w:pPr>
        <w:tabs>
          <w:tab w:val="num" w:pos="2480"/>
        </w:tabs>
        <w:ind w:left="2480" w:hanging="480"/>
      </w:pPr>
      <w:rPr>
        <w:rFonts w:cs="Times New Roman"/>
      </w:rPr>
    </w:lvl>
    <w:lvl w:ilvl="4" w:tplc="04090019" w:tentative="1">
      <w:start w:val="1"/>
      <w:numFmt w:val="ideographTraditional"/>
      <w:lvlText w:val="%5、"/>
      <w:lvlJc w:val="left"/>
      <w:pPr>
        <w:tabs>
          <w:tab w:val="num" w:pos="2960"/>
        </w:tabs>
        <w:ind w:left="2960" w:hanging="480"/>
      </w:pPr>
      <w:rPr>
        <w:rFonts w:cs="Times New Roman"/>
      </w:rPr>
    </w:lvl>
    <w:lvl w:ilvl="5" w:tplc="0409001B" w:tentative="1">
      <w:start w:val="1"/>
      <w:numFmt w:val="lowerRoman"/>
      <w:lvlText w:val="%6."/>
      <w:lvlJc w:val="right"/>
      <w:pPr>
        <w:tabs>
          <w:tab w:val="num" w:pos="3440"/>
        </w:tabs>
        <w:ind w:left="3440" w:hanging="480"/>
      </w:pPr>
      <w:rPr>
        <w:rFonts w:cs="Times New Roman"/>
      </w:rPr>
    </w:lvl>
    <w:lvl w:ilvl="6" w:tplc="0409000F" w:tentative="1">
      <w:start w:val="1"/>
      <w:numFmt w:val="decimal"/>
      <w:lvlText w:val="%7."/>
      <w:lvlJc w:val="left"/>
      <w:pPr>
        <w:tabs>
          <w:tab w:val="num" w:pos="3920"/>
        </w:tabs>
        <w:ind w:left="3920" w:hanging="480"/>
      </w:pPr>
      <w:rPr>
        <w:rFonts w:cs="Times New Roman"/>
      </w:rPr>
    </w:lvl>
    <w:lvl w:ilvl="7" w:tplc="04090019" w:tentative="1">
      <w:start w:val="1"/>
      <w:numFmt w:val="ideographTraditional"/>
      <w:lvlText w:val="%8、"/>
      <w:lvlJc w:val="left"/>
      <w:pPr>
        <w:tabs>
          <w:tab w:val="num" w:pos="4400"/>
        </w:tabs>
        <w:ind w:left="4400" w:hanging="480"/>
      </w:pPr>
      <w:rPr>
        <w:rFonts w:cs="Times New Roman"/>
      </w:rPr>
    </w:lvl>
    <w:lvl w:ilvl="8" w:tplc="0409001B" w:tentative="1">
      <w:start w:val="1"/>
      <w:numFmt w:val="lowerRoman"/>
      <w:lvlText w:val="%9."/>
      <w:lvlJc w:val="right"/>
      <w:pPr>
        <w:tabs>
          <w:tab w:val="num" w:pos="4880"/>
        </w:tabs>
        <w:ind w:left="4880" w:hanging="480"/>
      </w:pPr>
      <w:rPr>
        <w:rFonts w:cs="Times New Roman"/>
      </w:rPr>
    </w:lvl>
  </w:abstractNum>
  <w:abstractNum w:abstractNumId="13">
    <w:nsid w:val="6AB43A8B"/>
    <w:multiLevelType w:val="hybridMultilevel"/>
    <w:tmpl w:val="9C82A240"/>
    <w:lvl w:ilvl="0" w:tplc="DD5CAF16">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7623701F"/>
    <w:multiLevelType w:val="hybridMultilevel"/>
    <w:tmpl w:val="4CF01566"/>
    <w:lvl w:ilvl="0" w:tplc="A094B6D6">
      <w:start w:val="1"/>
      <w:numFmt w:val="taiwaneseCountingThousand"/>
      <w:lvlText w:val="%1、"/>
      <w:lvlJc w:val="left"/>
      <w:pPr>
        <w:ind w:left="1284" w:hanging="720"/>
      </w:pPr>
      <w:rPr>
        <w:rFonts w:cs="Times New Roman" w:hint="default"/>
      </w:rPr>
    </w:lvl>
    <w:lvl w:ilvl="1" w:tplc="04090019" w:tentative="1">
      <w:start w:val="1"/>
      <w:numFmt w:val="ideographTraditional"/>
      <w:lvlText w:val="%2、"/>
      <w:lvlJc w:val="left"/>
      <w:pPr>
        <w:ind w:left="1248" w:hanging="480"/>
      </w:pPr>
      <w:rPr>
        <w:rFonts w:cs="Times New Roman"/>
      </w:rPr>
    </w:lvl>
    <w:lvl w:ilvl="2" w:tplc="0409001B" w:tentative="1">
      <w:start w:val="1"/>
      <w:numFmt w:val="lowerRoman"/>
      <w:lvlText w:val="%3."/>
      <w:lvlJc w:val="right"/>
      <w:pPr>
        <w:ind w:left="1728" w:hanging="480"/>
      </w:pPr>
      <w:rPr>
        <w:rFonts w:cs="Times New Roman"/>
      </w:rPr>
    </w:lvl>
    <w:lvl w:ilvl="3" w:tplc="0409000F" w:tentative="1">
      <w:start w:val="1"/>
      <w:numFmt w:val="decimal"/>
      <w:lvlText w:val="%4."/>
      <w:lvlJc w:val="left"/>
      <w:pPr>
        <w:ind w:left="2208" w:hanging="480"/>
      </w:pPr>
      <w:rPr>
        <w:rFonts w:cs="Times New Roman"/>
      </w:rPr>
    </w:lvl>
    <w:lvl w:ilvl="4" w:tplc="04090019" w:tentative="1">
      <w:start w:val="1"/>
      <w:numFmt w:val="ideographTraditional"/>
      <w:lvlText w:val="%5、"/>
      <w:lvlJc w:val="left"/>
      <w:pPr>
        <w:ind w:left="2688" w:hanging="480"/>
      </w:pPr>
      <w:rPr>
        <w:rFonts w:cs="Times New Roman"/>
      </w:rPr>
    </w:lvl>
    <w:lvl w:ilvl="5" w:tplc="0409001B" w:tentative="1">
      <w:start w:val="1"/>
      <w:numFmt w:val="lowerRoman"/>
      <w:lvlText w:val="%6."/>
      <w:lvlJc w:val="right"/>
      <w:pPr>
        <w:ind w:left="3168" w:hanging="480"/>
      </w:pPr>
      <w:rPr>
        <w:rFonts w:cs="Times New Roman"/>
      </w:rPr>
    </w:lvl>
    <w:lvl w:ilvl="6" w:tplc="0409000F" w:tentative="1">
      <w:start w:val="1"/>
      <w:numFmt w:val="decimal"/>
      <w:lvlText w:val="%7."/>
      <w:lvlJc w:val="left"/>
      <w:pPr>
        <w:ind w:left="3648" w:hanging="480"/>
      </w:pPr>
      <w:rPr>
        <w:rFonts w:cs="Times New Roman"/>
      </w:rPr>
    </w:lvl>
    <w:lvl w:ilvl="7" w:tplc="04090019" w:tentative="1">
      <w:start w:val="1"/>
      <w:numFmt w:val="ideographTraditional"/>
      <w:lvlText w:val="%8、"/>
      <w:lvlJc w:val="left"/>
      <w:pPr>
        <w:ind w:left="4128" w:hanging="480"/>
      </w:pPr>
      <w:rPr>
        <w:rFonts w:cs="Times New Roman"/>
      </w:rPr>
    </w:lvl>
    <w:lvl w:ilvl="8" w:tplc="0409001B" w:tentative="1">
      <w:start w:val="1"/>
      <w:numFmt w:val="lowerRoman"/>
      <w:lvlText w:val="%9."/>
      <w:lvlJc w:val="right"/>
      <w:pPr>
        <w:ind w:left="4608" w:hanging="480"/>
      </w:pPr>
      <w:rPr>
        <w:rFonts w:cs="Times New Roman"/>
      </w:rPr>
    </w:lvl>
  </w:abstractNum>
  <w:abstractNum w:abstractNumId="15">
    <w:nsid w:val="77DF7757"/>
    <w:multiLevelType w:val="hybridMultilevel"/>
    <w:tmpl w:val="AFD40684"/>
    <w:lvl w:ilvl="0" w:tplc="6EA8B9E8">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num w:numId="1">
    <w:abstractNumId w:val="8"/>
  </w:num>
  <w:num w:numId="2">
    <w:abstractNumId w:val="0"/>
  </w:num>
  <w:num w:numId="3">
    <w:abstractNumId w:val="1"/>
  </w:num>
  <w:num w:numId="4">
    <w:abstractNumId w:val="10"/>
  </w:num>
  <w:num w:numId="5">
    <w:abstractNumId w:val="11"/>
  </w:num>
  <w:num w:numId="6">
    <w:abstractNumId w:val="14"/>
  </w:num>
  <w:num w:numId="7">
    <w:abstractNumId w:val="6"/>
  </w:num>
  <w:num w:numId="8">
    <w:abstractNumId w:val="5"/>
  </w:num>
  <w:num w:numId="9">
    <w:abstractNumId w:val="9"/>
  </w:num>
  <w:num w:numId="10">
    <w:abstractNumId w:val="3"/>
  </w:num>
  <w:num w:numId="11">
    <w:abstractNumId w:val="13"/>
  </w:num>
  <w:num w:numId="12">
    <w:abstractNumId w:val="15"/>
  </w:num>
  <w:num w:numId="13">
    <w:abstractNumId w:val="4"/>
  </w:num>
  <w:num w:numId="14">
    <w:abstractNumId w:val="12"/>
  </w:num>
  <w:num w:numId="15">
    <w:abstractNumId w:val="2"/>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 ꈄȑᢼㄱༀ ꈄȑᢼㄱༀ ꈄȑ༴ㄱༀ ꈄȑᢼㄱༀ ꈄȑᢼㄱༀ ꈄȑ༴ㄱༀ ꈄȑᢼㄱༀ ꈄȑᢼㄱༀ ꈄȑᢼㄱༀ ꈄȑᢼㄱ  ༀ ꈄȑᢼㄱ_x000A__x000A_ༀ ꈄȑᢼㄱༀ ꈄȑᢼㄱༀ ꈄȑᢼㄱ_x000A__x000A_ༀ ꈄȑ༴ㄱༀ ꈄȑᢼㄱༀ ꈄȑ༴ㄱༀ ꈄȑᢼㄱༀ ꈄȑᢼㄱༀ ꈄȑᢼㄱༀༀ ꈄȑᢤ"/>
    <w:docVar w:name="VTCASE" w:val="w:docVa"/>
    <w:docVar w:name="VTCommandPending" w:val="w:autofitToFirstFixedWidthCe"/>
    <w:docVar w:name="VTCurMacroFlags$" w:val="w:autofitToFirstFixedWidthCe"/>
    <w:docVar w:name="VTINIT" w:val="w:docVa"/>
    <w:docVar w:name="VTypeCAPFlag$" w:val="w:doNotBreakConstrainedForcedTable"/>
    <w:docVar w:name="VTypeJoinDigitFlag$" w:val="w:doNotBreakConstrainedForcedTable"/>
    <w:docVar w:name="VTypeLCFlag$" w:val="w:doNotBreakConstrainedForcedTable"/>
    <w:docVar w:name="VTypeNoSpaceFlag$" w:val="w:autofitToFirstFixedWidthCe"/>
    <w:docVar w:name="VTypeSpaceFlag$" w:val="w:doNotBreakConstrainedForcedTable"/>
    <w:docVar w:name="VTypeUCFlag$" w:val="w:doNotBreakConstrainedForcedTable"/>
  </w:docVars>
  <w:rsids>
    <w:rsidRoot w:val="000732AD"/>
    <w:rsid w:val="000308B4"/>
    <w:rsid w:val="000335FA"/>
    <w:rsid w:val="00064D04"/>
    <w:rsid w:val="000720F3"/>
    <w:rsid w:val="000727FE"/>
    <w:rsid w:val="000732AD"/>
    <w:rsid w:val="00074EC8"/>
    <w:rsid w:val="00094B83"/>
    <w:rsid w:val="000A670F"/>
    <w:rsid w:val="000B24E6"/>
    <w:rsid w:val="000D7B18"/>
    <w:rsid w:val="000E279D"/>
    <w:rsid w:val="000E7C16"/>
    <w:rsid w:val="000F53FC"/>
    <w:rsid w:val="0010287D"/>
    <w:rsid w:val="00134198"/>
    <w:rsid w:val="001562B2"/>
    <w:rsid w:val="001614D7"/>
    <w:rsid w:val="001A27EF"/>
    <w:rsid w:val="001B3C53"/>
    <w:rsid w:val="001D664F"/>
    <w:rsid w:val="00250AC5"/>
    <w:rsid w:val="00261C1E"/>
    <w:rsid w:val="0026261C"/>
    <w:rsid w:val="00271C15"/>
    <w:rsid w:val="00272F06"/>
    <w:rsid w:val="00287C66"/>
    <w:rsid w:val="002970FF"/>
    <w:rsid w:val="002C3318"/>
    <w:rsid w:val="002E7C4A"/>
    <w:rsid w:val="00333DD2"/>
    <w:rsid w:val="00335DAC"/>
    <w:rsid w:val="00350C4D"/>
    <w:rsid w:val="00370062"/>
    <w:rsid w:val="0039029F"/>
    <w:rsid w:val="003B6979"/>
    <w:rsid w:val="003F2D11"/>
    <w:rsid w:val="003F35AE"/>
    <w:rsid w:val="00413FE1"/>
    <w:rsid w:val="00416C79"/>
    <w:rsid w:val="00416E74"/>
    <w:rsid w:val="00433E68"/>
    <w:rsid w:val="004772B8"/>
    <w:rsid w:val="004B7670"/>
    <w:rsid w:val="004D0C2D"/>
    <w:rsid w:val="004D5C61"/>
    <w:rsid w:val="0050226D"/>
    <w:rsid w:val="00502850"/>
    <w:rsid w:val="00557982"/>
    <w:rsid w:val="005736F4"/>
    <w:rsid w:val="005741E7"/>
    <w:rsid w:val="00583045"/>
    <w:rsid w:val="0058387E"/>
    <w:rsid w:val="005941A3"/>
    <w:rsid w:val="005A617B"/>
    <w:rsid w:val="005D1CC6"/>
    <w:rsid w:val="00606A97"/>
    <w:rsid w:val="00607EED"/>
    <w:rsid w:val="00632616"/>
    <w:rsid w:val="00657A89"/>
    <w:rsid w:val="00657BD8"/>
    <w:rsid w:val="00691BA9"/>
    <w:rsid w:val="006A7DD0"/>
    <w:rsid w:val="006C421E"/>
    <w:rsid w:val="006C72E7"/>
    <w:rsid w:val="006F1897"/>
    <w:rsid w:val="00711129"/>
    <w:rsid w:val="00731E27"/>
    <w:rsid w:val="00735E3A"/>
    <w:rsid w:val="007673CE"/>
    <w:rsid w:val="007729CB"/>
    <w:rsid w:val="00782001"/>
    <w:rsid w:val="00795D4C"/>
    <w:rsid w:val="007B21FE"/>
    <w:rsid w:val="007B321D"/>
    <w:rsid w:val="007C5C2C"/>
    <w:rsid w:val="007D5F82"/>
    <w:rsid w:val="00856847"/>
    <w:rsid w:val="00857432"/>
    <w:rsid w:val="00867C4F"/>
    <w:rsid w:val="008776D7"/>
    <w:rsid w:val="00884310"/>
    <w:rsid w:val="00892599"/>
    <w:rsid w:val="008A1504"/>
    <w:rsid w:val="008B261B"/>
    <w:rsid w:val="008B30C0"/>
    <w:rsid w:val="008C5FE2"/>
    <w:rsid w:val="008D2343"/>
    <w:rsid w:val="008F2841"/>
    <w:rsid w:val="00915FAE"/>
    <w:rsid w:val="00917DE7"/>
    <w:rsid w:val="009553F5"/>
    <w:rsid w:val="00957D11"/>
    <w:rsid w:val="009940C1"/>
    <w:rsid w:val="009B7D3E"/>
    <w:rsid w:val="009F1CD5"/>
    <w:rsid w:val="00A10E5E"/>
    <w:rsid w:val="00A201E5"/>
    <w:rsid w:val="00A2484B"/>
    <w:rsid w:val="00A63EFD"/>
    <w:rsid w:val="00A75FBD"/>
    <w:rsid w:val="00A92E53"/>
    <w:rsid w:val="00AA6EB9"/>
    <w:rsid w:val="00AA71D5"/>
    <w:rsid w:val="00AB717E"/>
    <w:rsid w:val="00AE6E48"/>
    <w:rsid w:val="00AF2C33"/>
    <w:rsid w:val="00B16FDA"/>
    <w:rsid w:val="00B30E6A"/>
    <w:rsid w:val="00B46D58"/>
    <w:rsid w:val="00B574CB"/>
    <w:rsid w:val="00B84DCE"/>
    <w:rsid w:val="00BD3169"/>
    <w:rsid w:val="00BF7F9F"/>
    <w:rsid w:val="00C00855"/>
    <w:rsid w:val="00C348D8"/>
    <w:rsid w:val="00C616BD"/>
    <w:rsid w:val="00C825D5"/>
    <w:rsid w:val="00C87AE4"/>
    <w:rsid w:val="00CB5D2A"/>
    <w:rsid w:val="00CC150C"/>
    <w:rsid w:val="00CC296A"/>
    <w:rsid w:val="00CD1355"/>
    <w:rsid w:val="00CE06CB"/>
    <w:rsid w:val="00D06CA4"/>
    <w:rsid w:val="00D21ED0"/>
    <w:rsid w:val="00D531F8"/>
    <w:rsid w:val="00D67D90"/>
    <w:rsid w:val="00DA46C5"/>
    <w:rsid w:val="00DB3550"/>
    <w:rsid w:val="00DC73C6"/>
    <w:rsid w:val="00E10358"/>
    <w:rsid w:val="00E11F42"/>
    <w:rsid w:val="00E2108C"/>
    <w:rsid w:val="00E50B49"/>
    <w:rsid w:val="00E55131"/>
    <w:rsid w:val="00E62122"/>
    <w:rsid w:val="00E707D2"/>
    <w:rsid w:val="00E73A27"/>
    <w:rsid w:val="00EA18A0"/>
    <w:rsid w:val="00EB034D"/>
    <w:rsid w:val="00ED5099"/>
    <w:rsid w:val="00EF692A"/>
    <w:rsid w:val="00F36939"/>
    <w:rsid w:val="00F3777E"/>
    <w:rsid w:val="00F444FF"/>
    <w:rsid w:val="00F6279E"/>
    <w:rsid w:val="00F70D93"/>
    <w:rsid w:val="00F73DB3"/>
    <w:rsid w:val="00F8059F"/>
    <w:rsid w:val="00F90610"/>
    <w:rsid w:val="00FA1221"/>
    <w:rsid w:val="00FC4CE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939"/>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36939"/>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711129"/>
    <w:rPr>
      <w:rFonts w:cs="Times New Roman"/>
      <w:sz w:val="20"/>
      <w:szCs w:val="20"/>
    </w:rPr>
  </w:style>
  <w:style w:type="character" w:styleId="a5">
    <w:name w:val="page number"/>
    <w:basedOn w:val="a0"/>
    <w:uiPriority w:val="99"/>
    <w:semiHidden/>
    <w:rsid w:val="00F36939"/>
    <w:rPr>
      <w:rFonts w:cs="Times New Roman"/>
    </w:rPr>
  </w:style>
  <w:style w:type="paragraph" w:styleId="a6">
    <w:name w:val="footer"/>
    <w:basedOn w:val="a"/>
    <w:link w:val="a7"/>
    <w:uiPriority w:val="99"/>
    <w:semiHidden/>
    <w:rsid w:val="000732AD"/>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0732AD"/>
    <w:rPr>
      <w:rFonts w:cs="Times New Roman"/>
      <w:kern w:val="2"/>
    </w:rPr>
  </w:style>
  <w:style w:type="paragraph" w:styleId="a8">
    <w:name w:val="Balloon Text"/>
    <w:basedOn w:val="a"/>
    <w:link w:val="a9"/>
    <w:uiPriority w:val="99"/>
    <w:semiHidden/>
    <w:rsid w:val="00E55131"/>
    <w:rPr>
      <w:rFonts w:ascii="Cambria" w:hAnsi="Cambria"/>
      <w:sz w:val="18"/>
      <w:szCs w:val="18"/>
    </w:rPr>
  </w:style>
  <w:style w:type="character" w:customStyle="1" w:styleId="a9">
    <w:name w:val="註解方塊文字 字元"/>
    <w:basedOn w:val="a0"/>
    <w:link w:val="a8"/>
    <w:uiPriority w:val="99"/>
    <w:semiHidden/>
    <w:locked/>
    <w:rsid w:val="00E55131"/>
    <w:rPr>
      <w:rFonts w:ascii="Cambria" w:eastAsia="新細明體" w:hAnsi="Cambria" w:cs="Times New Roman"/>
      <w:kern w:val="2"/>
      <w:sz w:val="18"/>
      <w:szCs w:val="18"/>
    </w:rPr>
  </w:style>
  <w:style w:type="paragraph" w:styleId="HTML">
    <w:name w:val="HTML Preformatted"/>
    <w:basedOn w:val="a"/>
    <w:link w:val="HTML0"/>
    <w:uiPriority w:val="99"/>
    <w:rsid w:val="00350C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locked/>
    <w:rsid w:val="00711129"/>
    <w:rPr>
      <w:rFonts w:ascii="Courier New" w:hAnsi="Courier New" w:cs="Courier New"/>
      <w:sz w:val="20"/>
      <w:szCs w:val="20"/>
    </w:rPr>
  </w:style>
  <w:style w:type="paragraph" w:styleId="aa">
    <w:name w:val="List Paragraph"/>
    <w:basedOn w:val="a"/>
    <w:uiPriority w:val="99"/>
    <w:qFormat/>
    <w:rsid w:val="00D06CA4"/>
    <w:pPr>
      <w:ind w:leftChars="200" w:left="480"/>
    </w:pPr>
  </w:style>
  <w:style w:type="character" w:styleId="ab">
    <w:name w:val="Hyperlink"/>
    <w:basedOn w:val="a0"/>
    <w:uiPriority w:val="99"/>
    <w:rsid w:val="000308B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A32D8-7A7F-4147-959A-1F2B85921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1414</Words>
  <Characters>47</Characters>
  <Application>Microsoft Office Word</Application>
  <DocSecurity>0</DocSecurity>
  <Lines>1</Lines>
  <Paragraphs>2</Paragraphs>
  <ScaleCrop>false</ScaleCrop>
  <Company>none</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臺灣期貨交易所九十年度研究報告提要表</dc:title>
  <dc:creator>user</dc:creator>
  <cp:lastModifiedBy>chimu</cp:lastModifiedBy>
  <cp:revision>6</cp:revision>
  <cp:lastPrinted>2012-12-13T01:39:00Z</cp:lastPrinted>
  <dcterms:created xsi:type="dcterms:W3CDTF">2012-12-13T01:07:00Z</dcterms:created>
  <dcterms:modified xsi:type="dcterms:W3CDTF">2012-12-13T01:40:00Z</dcterms:modified>
</cp:coreProperties>
</file>