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7A" w:rsidRPr="00CA6EFA" w:rsidRDefault="0040687A" w:rsidP="0040687A">
      <w:pPr>
        <w:spacing w:line="500" w:lineRule="exact"/>
        <w:jc w:val="center"/>
        <w:rPr>
          <w:rFonts w:ascii="Times New Roman" w:eastAsia="標楷體" w:hAnsi="Times New Roman"/>
          <w:b/>
          <w:sz w:val="32"/>
        </w:rPr>
      </w:pPr>
      <w:r>
        <w:rPr>
          <w:rFonts w:ascii="Times New Roman" w:eastAsia="標楷體" w:hAnsi="Times New Roman" w:hint="eastAsia"/>
          <w:b/>
          <w:sz w:val="32"/>
        </w:rPr>
        <w:t>F</w:t>
      </w:r>
      <w:r w:rsidRPr="00A633E7">
        <w:rPr>
          <w:rFonts w:ascii="Times New Roman" w:eastAsia="標楷體" w:hAnsi="Times New Roman"/>
          <w:b/>
          <w:sz w:val="32"/>
        </w:rPr>
        <w:t>requently asked questions and answers related to investment by foreign investors</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rPr>
      </w:pPr>
      <w:r w:rsidRPr="0086705F">
        <w:rPr>
          <w:rFonts w:ascii="Times New Roman" w:eastAsia="標楷體" w:hAnsi="Times New Roman"/>
          <w:b/>
          <w:sz w:val="28"/>
          <w:szCs w:val="28"/>
        </w:rPr>
        <w:t>Assets may be freely transferred between offshore overseas Chinese or foreign nationals with different ID numbers</w:t>
      </w:r>
      <w:r w:rsidRPr="0086705F">
        <w:rPr>
          <w:rFonts w:ascii="Times New Roman" w:eastAsia="標楷體" w:hAnsi="Times New Roman"/>
          <w:b/>
        </w:rPr>
        <w:t xml:space="preserve"> </w:t>
      </w:r>
    </w:p>
    <w:p w:rsidR="0040687A" w:rsidRPr="0086705F" w:rsidRDefault="0040687A" w:rsidP="0040687A">
      <w:pPr>
        <w:adjustRightInd w:val="0"/>
        <w:snapToGrid w:val="0"/>
        <w:spacing w:line="240" w:lineRule="atLeast"/>
        <w:ind w:leftChars="75" w:left="718" w:rightChars="74" w:right="178" w:hangingChars="192" w:hanging="538"/>
        <w:jc w:val="both"/>
        <w:rPr>
          <w:rFonts w:ascii="Times New Roman" w:eastAsia="標楷體" w:hAnsi="Times New Roman"/>
          <w:sz w:val="28"/>
          <w:szCs w:val="28"/>
        </w:rPr>
      </w:pPr>
      <w:r w:rsidRPr="0086705F">
        <w:rPr>
          <w:rFonts w:ascii="Times New Roman" w:eastAsia="標楷體" w:hAnsi="Times New Roman"/>
          <w:sz w:val="28"/>
          <w:szCs w:val="28"/>
        </w:rPr>
        <w:t xml:space="preserve"> (1) Asset transfers are allowed, subject to the principle that the ultimate beneficiary remains unchanged. Examples include:</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proofErr w:type="spellStart"/>
      <w:proofErr w:type="gramStart"/>
      <w:r w:rsidRPr="0086705F">
        <w:rPr>
          <w:rFonts w:ascii="Times New Roman" w:eastAsia="標楷體" w:hAnsi="Times New Roman"/>
          <w:sz w:val="28"/>
          <w:szCs w:val="28"/>
        </w:rPr>
        <w:t>i</w:t>
      </w:r>
      <w:proofErr w:type="spellEnd"/>
      <w:proofErr w:type="gramEnd"/>
      <w:r w:rsidRPr="0086705F">
        <w:rPr>
          <w:rFonts w:ascii="Times New Roman" w:eastAsia="標楷體" w:hAnsi="Times New Roman"/>
          <w:sz w:val="28"/>
          <w:szCs w:val="28"/>
        </w:rPr>
        <w:t>. For reasons of a merger or spin-off of a fund or company, or an adjustment or change to internal organization.</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ii. As required based on a trust agreement relationship.</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proofErr w:type="gramStart"/>
      <w:r w:rsidRPr="0086705F">
        <w:rPr>
          <w:rFonts w:ascii="Times New Roman" w:eastAsia="標楷體" w:hAnsi="Times New Roman"/>
          <w:sz w:val="28"/>
          <w:szCs w:val="28"/>
        </w:rPr>
        <w:t>iii</w:t>
      </w:r>
      <w:proofErr w:type="gramEnd"/>
      <w:r w:rsidRPr="0086705F">
        <w:rPr>
          <w:rFonts w:ascii="Times New Roman" w:eastAsia="標楷體" w:hAnsi="Times New Roman"/>
          <w:sz w:val="28"/>
          <w:szCs w:val="28"/>
        </w:rPr>
        <w:t xml:space="preserve">. For reasons of ETF in-kind creation/redemption. </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proofErr w:type="gramStart"/>
      <w:r w:rsidRPr="0086705F">
        <w:rPr>
          <w:rFonts w:ascii="Times New Roman" w:eastAsia="標楷體" w:hAnsi="Times New Roman"/>
          <w:sz w:val="28"/>
          <w:szCs w:val="28"/>
        </w:rPr>
        <w:t>iv</w:t>
      </w:r>
      <w:proofErr w:type="gramEnd"/>
      <w:r w:rsidRPr="0086705F">
        <w:rPr>
          <w:rFonts w:ascii="Times New Roman" w:eastAsia="標楷體" w:hAnsi="Times New Roman"/>
          <w:sz w:val="28"/>
          <w:szCs w:val="28"/>
        </w:rPr>
        <w:t>. Upon obtaining a court order or judgment.</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 xml:space="preserve">v. Under an umbrella fund, the transfer by a master fund to a </w:t>
      </w:r>
      <w:proofErr w:type="spellStart"/>
      <w:r w:rsidRPr="0086705F">
        <w:rPr>
          <w:rFonts w:ascii="Times New Roman" w:eastAsia="標楷體" w:hAnsi="Times New Roman"/>
          <w:sz w:val="28"/>
          <w:szCs w:val="28"/>
        </w:rPr>
        <w:t>subfund</w:t>
      </w:r>
      <w:proofErr w:type="spellEnd"/>
      <w:r w:rsidRPr="0086705F">
        <w:rPr>
          <w:rFonts w:ascii="Times New Roman" w:eastAsia="標楷體" w:hAnsi="Times New Roman"/>
          <w:sz w:val="28"/>
          <w:szCs w:val="28"/>
        </w:rPr>
        <w:t>.</w:t>
      </w:r>
    </w:p>
    <w:p w:rsidR="0040687A" w:rsidRPr="0086705F" w:rsidRDefault="0040687A" w:rsidP="0040687A">
      <w:pPr>
        <w:spacing w:line="360" w:lineRule="exact"/>
        <w:ind w:leftChars="205" w:left="778" w:rightChars="74" w:right="178" w:hangingChars="102" w:hanging="286"/>
        <w:rPr>
          <w:rFonts w:ascii="Times New Roman" w:eastAsia="標楷體" w:hAnsi="Times New Roman"/>
          <w:sz w:val="28"/>
          <w:szCs w:val="28"/>
        </w:rPr>
      </w:pPr>
      <w:r w:rsidRPr="0086705F">
        <w:rPr>
          <w:rFonts w:ascii="Times New Roman" w:eastAsia="標楷體" w:hAnsi="Times New Roman"/>
          <w:sz w:val="28"/>
          <w:szCs w:val="28"/>
        </w:rPr>
        <w:t>vi. Such "other" asset transfers that do not violate off-exchange transaction rules.</w:t>
      </w:r>
    </w:p>
    <w:p w:rsidR="0040687A" w:rsidRPr="0086705F" w:rsidRDefault="0040687A" w:rsidP="0040687A">
      <w:pPr>
        <w:adjustRightInd w:val="0"/>
        <w:snapToGrid w:val="0"/>
        <w:spacing w:line="240" w:lineRule="atLeast"/>
        <w:ind w:leftChars="75" w:left="718" w:rightChars="74" w:right="178" w:hangingChars="192" w:hanging="538"/>
        <w:jc w:val="both"/>
        <w:rPr>
          <w:rFonts w:ascii="Times New Roman" w:eastAsia="標楷體" w:hAnsi="Times New Roman"/>
          <w:sz w:val="28"/>
          <w:szCs w:val="28"/>
        </w:rPr>
      </w:pPr>
      <w:r w:rsidRPr="0086705F">
        <w:rPr>
          <w:rFonts w:ascii="Times New Roman" w:eastAsia="標楷體" w:hAnsi="Times New Roman"/>
          <w:sz w:val="28"/>
          <w:szCs w:val="28"/>
        </w:rPr>
        <w:t xml:space="preserve"> (2) A foreign investor may open multiple depositary accounts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as long as each account bears the same investor registration number. Assets may be transferred freely between such accounts, without the need for a buy-sell process</w:t>
      </w:r>
      <w:r w:rsidRPr="0086705F">
        <w:rPr>
          <w:rFonts w:ascii="Times New Roman" w:eastAsia="標楷體" w:hAnsi="Times New Roman"/>
        </w:rPr>
        <w:t>.</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Current prepaid fund issues in Taiwan </w:t>
      </w:r>
    </w:p>
    <w:p w:rsidR="0040687A" w:rsidRPr="0086705F" w:rsidRDefault="0040687A" w:rsidP="0040687A">
      <w:pPr>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(1)Securities firms' requirements of prepaid fund for foreign investment customers are not compulsory under laws or regulations. They are risk control methods employed by securities firms for some of their customers to avoid the possibility of having to report customer default subsequently. In addition, small-cap securities firms fear the inability to conduct settlement on behalf of their customers, and therefore make inquiries requiring funds and securities beforehand. These measures are basically proprietary judgments and risk control measures employed by securities firms. Some foreign investors, however, view these measures as prepaid fund enforcement by law imposing on them. In addition, as the positions held by foreign investment customers are all extremely large, any report of settlement default will result in negative repercussions on their credit risk and fund allocation status. Accordingly, before they place orders, some foreign investment customers authorize or instruct the securities firm to contact the custodial institution and inquire as to whether their funds or securities positions are sufficient for settlement.</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lastRenderedPageBreak/>
        <w:t xml:space="preserve"> (2)In May of 2004,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granted permission for domestic financial institutions to provide intraday credit services to help foreign investors resolve time-difference issues that previously made them unable to remit funds in a timely manner to conduct settlement.</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(3)On 4 May 2005 the Taiwan securities markets announced a settlement grace period that allows foreign investors that encounter certain circumstances such as overlapping holidays, interruption of telecommunications, or natural disasters, to file for delay settlement until 6 p.m. on the third business day after the transaction date, or to delay settlement from the deadline date on which the securities firm is required to report default to the third business day after the transaction date.</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(4)The Taiwan Stock Exchange Corporation (TWSE) also amended Article 76 of its Operating Rules on 1 August 2005, deleting the provision prohibiting investors whose settlement default case has not been resolved for at least three years from opening a trading account. </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(5)</w:t>
      </w:r>
      <w:r w:rsidRPr="0086705F">
        <w:rPr>
          <w:rFonts w:ascii="Times New Roman" w:eastAsia="標楷體" w:hAnsi="Times New Roman"/>
          <w:bCs/>
          <w:sz w:val="28"/>
        </w:rPr>
        <w:t xml:space="preserve"> </w:t>
      </w:r>
      <w:r w:rsidRPr="006603E7">
        <w:rPr>
          <w:rFonts w:ascii="Times New Roman" w:eastAsia="標楷體" w:hAnsi="Times New Roman"/>
          <w:bCs/>
          <w:sz w:val="28"/>
          <w:szCs w:val="28"/>
        </w:rPr>
        <w:t xml:space="preserve">On 20 June, 13 September, and 15 November of 2006 the FSC granted permission for offshore overseas Chinese and foreign nationals to borrow funds from securities firms, securities finance enterprises, and domestic financial institutions to meet settlement needs for the purchase of the TWSE or </w:t>
      </w:r>
      <w:proofErr w:type="spellStart"/>
      <w:r w:rsidRPr="006603E7">
        <w:rPr>
          <w:rFonts w:ascii="Times New Roman" w:eastAsia="標楷體" w:hAnsi="Times New Roman"/>
          <w:bCs/>
          <w:sz w:val="28"/>
          <w:szCs w:val="28"/>
        </w:rPr>
        <w:t>TPEx</w:t>
      </w:r>
      <w:proofErr w:type="spellEnd"/>
      <w:r w:rsidRPr="006603E7">
        <w:rPr>
          <w:rFonts w:ascii="Times New Roman" w:eastAsia="標楷體" w:hAnsi="Times New Roman"/>
          <w:bCs/>
          <w:sz w:val="28"/>
          <w:szCs w:val="28"/>
        </w:rPr>
        <w:t xml:space="preserve"> listed securities</w:t>
      </w:r>
      <w:r w:rsidRPr="0086705F">
        <w:rPr>
          <w:rFonts w:ascii="Times New Roman" w:eastAsia="標楷體" w:hAnsi="Times New Roman"/>
          <w:bCs/>
          <w:sz w:val="28"/>
          <w:szCs w:val="28"/>
        </w:rPr>
        <w:t>.</w:t>
      </w:r>
    </w:p>
    <w:p w:rsidR="0040687A" w:rsidRPr="0086705F" w:rsidRDefault="0040687A" w:rsidP="0040687A">
      <w:pPr>
        <w:snapToGrid w:val="0"/>
        <w:ind w:leftChars="52" w:left="615" w:rightChars="74" w:right="178"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(6) The FSC also implemented a T+2 delivery-versus-payment (DVP) settlement system on 2 February 2009.</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Investment quotas for foreign investors </w:t>
      </w:r>
    </w:p>
    <w:p w:rsidR="0040687A" w:rsidRPr="0086705F" w:rsidRDefault="0040687A" w:rsidP="0040687A">
      <w:pPr>
        <w:snapToGrid w:val="0"/>
        <w:ind w:leftChars="102" w:left="245" w:rightChars="74" w:right="178"/>
        <w:jc w:val="both"/>
        <w:rPr>
          <w:rFonts w:ascii="Times New Roman" w:eastAsia="標楷體" w:hAnsi="Times New Roman"/>
          <w:sz w:val="28"/>
          <w:szCs w:val="28"/>
        </w:rPr>
      </w:pPr>
      <w:r w:rsidRPr="0086705F">
        <w:rPr>
          <w:rFonts w:ascii="Times New Roman" w:eastAsia="標楷體" w:hAnsi="Times New Roman"/>
          <w:sz w:val="28"/>
          <w:szCs w:val="28"/>
        </w:rPr>
        <w:t>Under the Regulations Governing Investment in Securities by Overseas Chinese and Foreign Investors, foreign investors are divided into two categories: foreign institutional investors (FINIs) and foreign individual investors (FIDIs). Effective from October 20, 2008, the investment cap of offshore FIDIs was also lifted. However, in a few specific industries foreign investors are still subject to investment ceilings under relevant acts or regulations.</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Investment scope for offshore foreign investors</w:t>
      </w:r>
    </w:p>
    <w:p w:rsidR="0040687A" w:rsidRPr="0086705F" w:rsidRDefault="0040687A" w:rsidP="0040687A">
      <w:pPr>
        <w:snapToGrid w:val="0"/>
        <w:ind w:leftChars="102" w:left="245" w:rightChars="74" w:right="178"/>
        <w:jc w:val="both"/>
        <w:rPr>
          <w:rFonts w:ascii="Times New Roman" w:eastAsia="標楷體" w:hAnsi="Times New Roman"/>
          <w:bCs/>
          <w:sz w:val="28"/>
          <w:szCs w:val="28"/>
        </w:rPr>
      </w:pPr>
      <w:r w:rsidRPr="0086705F">
        <w:rPr>
          <w:rFonts w:ascii="Times New Roman" w:eastAsia="標楷體" w:hAnsi="Times New Roman"/>
          <w:bCs/>
          <w:sz w:val="28"/>
          <w:szCs w:val="28"/>
        </w:rPr>
        <w:t xml:space="preserve">The scope of investment in </w:t>
      </w:r>
      <w:smartTag w:uri="urn:schemas-microsoft-com:office:smarttags" w:element="country-region">
        <w:smartTag w:uri="urn:schemas-microsoft-com:office:smarttags" w:element="place">
          <w:r w:rsidRPr="0086705F">
            <w:rPr>
              <w:rFonts w:ascii="Times New Roman" w:eastAsia="標楷體" w:hAnsi="Times New Roman"/>
              <w:bCs/>
              <w:sz w:val="28"/>
              <w:szCs w:val="28"/>
            </w:rPr>
            <w:t>Taiwan</w:t>
          </w:r>
        </w:smartTag>
      </w:smartTag>
      <w:r w:rsidRPr="0086705F">
        <w:rPr>
          <w:rFonts w:ascii="Times New Roman" w:eastAsia="標楷體" w:hAnsi="Times New Roman"/>
          <w:bCs/>
          <w:sz w:val="28"/>
          <w:szCs w:val="28"/>
        </w:rPr>
        <w:t xml:space="preserve"> securities markets open to offshore foreign investors is as follows: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 xml:space="preserve">(1) Stocks, bond conversion entitlement certificates, and Taiwan Depositary Receipts issue privately placed by TWSE-listed, </w:t>
      </w:r>
      <w:proofErr w:type="spellStart"/>
      <w:r>
        <w:rPr>
          <w:rFonts w:ascii="Times New Roman" w:eastAsia="標楷體" w:hAnsi="Times New Roman"/>
          <w:bCs/>
          <w:sz w:val="28"/>
          <w:szCs w:val="28"/>
        </w:rPr>
        <w:t>TPEx</w:t>
      </w:r>
      <w:proofErr w:type="spellEnd"/>
      <w:r w:rsidRPr="0086705F">
        <w:rPr>
          <w:rFonts w:ascii="Times New Roman" w:eastAsia="標楷體" w:hAnsi="Times New Roman"/>
          <w:bCs/>
          <w:sz w:val="28"/>
          <w:szCs w:val="28"/>
        </w:rPr>
        <w:t>-listed, or emerging-stock companies.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 xml:space="preserve">(2) The beneficial interest certificates of </w:t>
      </w:r>
      <w:smartTag w:uri="urn:schemas-microsoft-com:office:smarttags" w:element="PersonName">
        <w:smartTagPr>
          <w:attr w:name="ProductID" w:val="securities investment trust"/>
        </w:smartTagPr>
        <w:r w:rsidRPr="0086705F">
          <w:rPr>
            <w:rFonts w:ascii="Times New Roman" w:eastAsia="標楷體" w:hAnsi="Times New Roman"/>
            <w:bCs/>
            <w:sz w:val="28"/>
            <w:szCs w:val="28"/>
          </w:rPr>
          <w:t>securities investment trust</w:t>
        </w:r>
      </w:smartTag>
      <w:r w:rsidRPr="0086705F">
        <w:rPr>
          <w:rFonts w:ascii="Times New Roman" w:eastAsia="標楷體" w:hAnsi="Times New Roman"/>
          <w:bCs/>
          <w:sz w:val="28"/>
          <w:szCs w:val="28"/>
        </w:rPr>
        <w:t xml:space="preserve"> fund.</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(3) Government bonds, financial bonds, ordinary corporate bonds, convertible corporate bonds, and corporate bonds with warrants.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lastRenderedPageBreak/>
        <w:t>(4) Beneficial securities placed publicly or privately by trustee institutions, or asset- backed securities placed publicly or privately by special-purpose companies.</w:t>
      </w:r>
    </w:p>
    <w:p w:rsidR="0040687A" w:rsidRPr="0086705F" w:rsidRDefault="0040687A" w:rsidP="0040687A">
      <w:pPr>
        <w:snapToGrid w:val="0"/>
        <w:ind w:leftChars="103" w:left="695" w:rightChars="74" w:right="178" w:hangingChars="160" w:hanging="448"/>
        <w:jc w:val="both"/>
        <w:rPr>
          <w:rFonts w:ascii="Times New Roman" w:eastAsia="標楷體" w:hAnsi="Times New Roman"/>
          <w:bCs/>
          <w:sz w:val="28"/>
          <w:szCs w:val="28"/>
        </w:rPr>
      </w:pPr>
      <w:r w:rsidRPr="0086705F">
        <w:rPr>
          <w:rFonts w:ascii="Times New Roman" w:eastAsia="標楷體" w:hAnsi="Times New Roman"/>
          <w:bCs/>
          <w:sz w:val="28"/>
          <w:szCs w:val="28"/>
        </w:rPr>
        <w:t>(5) Call warrants and Put warrants.</w:t>
      </w:r>
    </w:p>
    <w:p w:rsidR="0040687A" w:rsidRPr="0086705F" w:rsidRDefault="0040687A" w:rsidP="0040687A">
      <w:pPr>
        <w:autoSpaceDE w:val="0"/>
        <w:autoSpaceDN w:val="0"/>
        <w:adjustRightInd w:val="0"/>
        <w:ind w:leftChars="103" w:left="695" w:rightChars="74" w:right="178" w:hangingChars="160" w:hanging="448"/>
        <w:jc w:val="both"/>
        <w:rPr>
          <w:rFonts w:ascii="Times New Roman" w:eastAsia="標楷體" w:hAnsi="Times New Roman"/>
          <w:sz w:val="28"/>
          <w:szCs w:val="28"/>
        </w:rPr>
      </w:pPr>
      <w:r w:rsidRPr="0086705F">
        <w:rPr>
          <w:rFonts w:ascii="Times New Roman" w:eastAsia="標楷體" w:hAnsi="Times New Roman"/>
          <w:sz w:val="28"/>
          <w:szCs w:val="28"/>
        </w:rPr>
        <w:t>(6</w:t>
      </w:r>
      <w:r w:rsidRPr="0086705F">
        <w:rPr>
          <w:rFonts w:ascii="Times New Roman" w:eastAsia="標楷體" w:hAnsi="Times New Roman"/>
          <w:bCs/>
          <w:sz w:val="28"/>
          <w:szCs w:val="28"/>
        </w:rPr>
        <w:t xml:space="preserve">) </w:t>
      </w:r>
      <w:r w:rsidRPr="00106BE4">
        <w:rPr>
          <w:rFonts w:ascii="Times New Roman" w:eastAsia="標楷體" w:hAnsi="Times New Roman"/>
          <w:bCs/>
          <w:sz w:val="28"/>
          <w:szCs w:val="28"/>
        </w:rPr>
        <w:t xml:space="preserve">Other securities approved by the competent authority for the securities industry such as call (put) warrants underwritten prior to initial listing; beneficial securities of publicly or privately placed REITs or REATs; the beneficial interest certificates of futures trust fund; stock underwritten prior to initial </w:t>
      </w:r>
      <w:proofErr w:type="spellStart"/>
      <w:r w:rsidRPr="00106BE4">
        <w:rPr>
          <w:rFonts w:ascii="Times New Roman" w:eastAsia="標楷體" w:hAnsi="Times New Roman"/>
          <w:bCs/>
          <w:sz w:val="28"/>
          <w:szCs w:val="28"/>
        </w:rPr>
        <w:t>TPEx</w:t>
      </w:r>
      <w:proofErr w:type="spellEnd"/>
      <w:r w:rsidRPr="00106BE4">
        <w:rPr>
          <w:rFonts w:ascii="Times New Roman" w:eastAsia="標楷體" w:hAnsi="Times New Roman"/>
          <w:bCs/>
          <w:sz w:val="28"/>
          <w:szCs w:val="28"/>
        </w:rPr>
        <w:t xml:space="preserve"> listing; stock underwritten for a cash capital increase; New Taiwan Dollar- denominated bonds issued in Taiwan by an international financial institution; preferred shares issued by a TWSE-listed or </w:t>
      </w:r>
      <w:proofErr w:type="spellStart"/>
      <w:r w:rsidRPr="00106BE4">
        <w:rPr>
          <w:rFonts w:ascii="Times New Roman" w:eastAsia="標楷體" w:hAnsi="Times New Roman"/>
          <w:bCs/>
          <w:sz w:val="28"/>
          <w:szCs w:val="28"/>
        </w:rPr>
        <w:t>TPEx</w:t>
      </w:r>
      <w:proofErr w:type="spellEnd"/>
      <w:r w:rsidRPr="00106BE4">
        <w:rPr>
          <w:rFonts w:ascii="Times New Roman" w:eastAsia="標楷體" w:hAnsi="Times New Roman"/>
          <w:bCs/>
          <w:sz w:val="28"/>
          <w:szCs w:val="28"/>
        </w:rPr>
        <w:t xml:space="preserve">-listed company; securities issued by a foreign enterprise that is listed in Taiwan as a primary or secondary TWSE-listed or </w:t>
      </w:r>
      <w:proofErr w:type="spellStart"/>
      <w:r w:rsidRPr="00106BE4">
        <w:rPr>
          <w:rFonts w:ascii="Times New Roman" w:eastAsia="標楷體" w:hAnsi="Times New Roman"/>
          <w:bCs/>
          <w:sz w:val="28"/>
          <w:szCs w:val="28"/>
        </w:rPr>
        <w:t>TPEx</w:t>
      </w:r>
      <w:proofErr w:type="spellEnd"/>
      <w:r w:rsidRPr="00106BE4">
        <w:rPr>
          <w:rFonts w:ascii="Times New Roman" w:eastAsia="標楷體" w:hAnsi="Times New Roman"/>
          <w:bCs/>
          <w:sz w:val="28"/>
          <w:szCs w:val="28"/>
        </w:rPr>
        <w:t xml:space="preserve">-listed company or registered as an emerging stock company; stock or Taiwan depositary receipts underwritten prior to the TWSE listing or </w:t>
      </w:r>
      <w:proofErr w:type="spellStart"/>
      <w:r w:rsidRPr="00106BE4">
        <w:rPr>
          <w:rFonts w:ascii="Times New Roman" w:eastAsia="標楷體" w:hAnsi="Times New Roman"/>
          <w:bCs/>
          <w:sz w:val="28"/>
          <w:szCs w:val="28"/>
        </w:rPr>
        <w:t>TPEx</w:t>
      </w:r>
      <w:proofErr w:type="spellEnd"/>
      <w:r w:rsidRPr="00106BE4">
        <w:rPr>
          <w:rFonts w:ascii="Times New Roman" w:eastAsia="標楷體" w:hAnsi="Times New Roman"/>
          <w:bCs/>
          <w:sz w:val="28"/>
          <w:szCs w:val="28"/>
        </w:rPr>
        <w:t xml:space="preserve"> listing of a foreign enterprise that is to be listed in Taiwan as a primary or secondary TWSE-listed or </w:t>
      </w:r>
      <w:proofErr w:type="spellStart"/>
      <w:r w:rsidRPr="00106BE4">
        <w:rPr>
          <w:rFonts w:ascii="Times New Roman" w:eastAsia="標楷體" w:hAnsi="Times New Roman"/>
          <w:bCs/>
          <w:sz w:val="28"/>
          <w:szCs w:val="28"/>
        </w:rPr>
        <w:t>TPEx</w:t>
      </w:r>
      <w:proofErr w:type="spellEnd"/>
      <w:r w:rsidRPr="00106BE4">
        <w:rPr>
          <w:rFonts w:ascii="Times New Roman" w:eastAsia="標楷體" w:hAnsi="Times New Roman"/>
          <w:bCs/>
          <w:sz w:val="28"/>
          <w:szCs w:val="28"/>
        </w:rPr>
        <w:t>-listed company; or an aforesaid company's stock underwritten for a cash capital increase, or secondary issue of Taiwan depositary receipts, or foreign-denominated international bonds</w:t>
      </w:r>
      <w:r w:rsidRPr="0086705F">
        <w:rPr>
          <w:rFonts w:ascii="Times New Roman" w:eastAsia="標楷體" w:hAnsi="Times New Roman"/>
          <w:bCs/>
          <w:sz w:val="28"/>
          <w:szCs w:val="28"/>
        </w:rPr>
        <w:t>.</w:t>
      </w:r>
    </w:p>
    <w:p w:rsidR="0040687A" w:rsidRPr="0086705F" w:rsidRDefault="0040687A" w:rsidP="0040687A">
      <w:pPr>
        <w:autoSpaceDE w:val="0"/>
        <w:autoSpaceDN w:val="0"/>
        <w:adjustRightInd w:val="0"/>
        <w:ind w:leftChars="103" w:left="695" w:rightChars="74" w:right="178" w:hangingChars="160" w:hanging="448"/>
        <w:jc w:val="both"/>
        <w:rPr>
          <w:rFonts w:ascii="Times New Roman" w:eastAsia="標楷體" w:hAnsi="Times New Roman"/>
          <w:sz w:val="28"/>
          <w:szCs w:val="28"/>
        </w:rPr>
      </w:pPr>
      <w:r>
        <w:rPr>
          <w:rFonts w:ascii="Times New Roman" w:eastAsia="標楷體" w:hAnsi="Times New Roman"/>
          <w:sz w:val="28"/>
          <w:szCs w:val="28"/>
        </w:rPr>
        <w:t xml:space="preserve">(7) </w:t>
      </w:r>
      <w:r w:rsidRPr="0086705F">
        <w:rPr>
          <w:rFonts w:ascii="Times New Roman" w:eastAsia="標楷體" w:hAnsi="Times New Roman"/>
          <w:sz w:val="28"/>
          <w:szCs w:val="28"/>
        </w:rPr>
        <w:t xml:space="preserve">Additionally, Funds that have been duly remitted into Taiwan for the purchase of domestic securities and that have not yet been invested may be used as follows (with the total value of such use not to exceed 30 percent of the amount remitted in): </w:t>
      </w:r>
    </w:p>
    <w:p w:rsidR="0040687A" w:rsidRDefault="0040687A" w:rsidP="009E2B25">
      <w:pPr>
        <w:snapToGrid w:val="0"/>
        <w:ind w:leftChars="177" w:left="848" w:rightChars="74" w:right="178" w:hangingChars="151" w:hanging="423"/>
        <w:jc w:val="both"/>
        <w:rPr>
          <w:rFonts w:ascii="Times New Roman" w:eastAsia="標楷體" w:hAnsi="Times New Roman"/>
          <w:sz w:val="28"/>
          <w:szCs w:val="28"/>
        </w:rPr>
      </w:pPr>
      <w:r>
        <w:rPr>
          <w:rFonts w:ascii="Times New Roman" w:eastAsia="標楷體" w:hAnsi="Times New Roman"/>
          <w:sz w:val="28"/>
          <w:szCs w:val="28"/>
        </w:rPr>
        <w:t xml:space="preserve"> a. </w:t>
      </w:r>
      <w:r w:rsidRPr="006D0470">
        <w:rPr>
          <w:rFonts w:ascii="Times New Roman" w:eastAsia="標楷體" w:hAnsi="Times New Roman"/>
          <w:sz w:val="28"/>
          <w:szCs w:val="28"/>
        </w:rPr>
        <w:t>Investment in government bonds, corporate bonds, financial bonds, money market instruments and money market funds, and the net amount paid on NT dollar premiums for engaging in trading of OTC equity derivatives, OTC NT dollar interest rate derivatives, and NTD premium on the option portion of convertible bond asset swaps, and on settling the price difference of swaps</w:t>
      </w:r>
      <w:r w:rsidRPr="0086705F">
        <w:rPr>
          <w:rFonts w:ascii="Times New Roman" w:eastAsia="標楷體" w:hAnsi="Times New Roman"/>
          <w:sz w:val="28"/>
          <w:szCs w:val="28"/>
        </w:rPr>
        <w:t>.</w:t>
      </w:r>
      <w:r w:rsidR="009E2B25">
        <w:rPr>
          <w:rFonts w:ascii="Times New Roman" w:eastAsia="標楷體" w:hAnsi="Times New Roman" w:hint="eastAsia"/>
          <w:sz w:val="28"/>
          <w:szCs w:val="28"/>
        </w:rPr>
        <w:t xml:space="preserve"> </w:t>
      </w:r>
      <w:r w:rsidR="009E2B25" w:rsidRPr="00217EAF">
        <w:rPr>
          <w:rFonts w:ascii="Times New Roman" w:eastAsia="標楷體" w:hAnsi="Times New Roman" w:hint="eastAsia"/>
          <w:color w:val="FF0000"/>
          <w:sz w:val="28"/>
          <w:szCs w:val="28"/>
          <w:u w:val="single"/>
        </w:rPr>
        <w:t xml:space="preserve">The amount of investing in </w:t>
      </w:r>
      <w:r w:rsidR="009E2B25" w:rsidRPr="00217EAF">
        <w:rPr>
          <w:rFonts w:ascii="Times New Roman" w:eastAsia="標楷體" w:hAnsi="Times New Roman"/>
          <w:color w:val="FF0000"/>
          <w:sz w:val="28"/>
          <w:szCs w:val="28"/>
          <w:u w:val="single"/>
        </w:rPr>
        <w:t>private placement</w:t>
      </w:r>
      <w:r w:rsidR="009E2B25" w:rsidRPr="00217EAF">
        <w:rPr>
          <w:rFonts w:ascii="Times New Roman" w:eastAsia="標楷體" w:hAnsi="Times New Roman" w:hint="eastAsia"/>
          <w:color w:val="FF0000"/>
          <w:sz w:val="28"/>
          <w:szCs w:val="28"/>
          <w:u w:val="single"/>
        </w:rPr>
        <w:t xml:space="preserve"> </w:t>
      </w:r>
      <w:r w:rsidR="00217EAF">
        <w:rPr>
          <w:rFonts w:ascii="Times New Roman" w:eastAsia="標楷體" w:hAnsi="Times New Roman"/>
          <w:color w:val="FF0000"/>
          <w:sz w:val="28"/>
          <w:szCs w:val="28"/>
          <w:u w:val="single"/>
        </w:rPr>
        <w:t>convertible corporate bonds is</w:t>
      </w:r>
      <w:r w:rsidR="00217EAF">
        <w:rPr>
          <w:rFonts w:ascii="Times New Roman" w:eastAsia="標楷體" w:hAnsi="Times New Roman" w:hint="eastAsia"/>
          <w:color w:val="FF0000"/>
          <w:sz w:val="28"/>
          <w:szCs w:val="28"/>
          <w:u w:val="single"/>
        </w:rPr>
        <w:t>n</w:t>
      </w:r>
      <w:r w:rsidR="00217EAF">
        <w:rPr>
          <w:rFonts w:ascii="Times New Roman" w:eastAsia="標楷體" w:hAnsi="Times New Roman"/>
          <w:color w:val="FF0000"/>
          <w:sz w:val="28"/>
          <w:szCs w:val="28"/>
          <w:u w:val="single"/>
        </w:rPr>
        <w:t>’</w:t>
      </w:r>
      <w:r w:rsidR="00217EAF">
        <w:rPr>
          <w:rFonts w:ascii="Times New Roman" w:eastAsia="標楷體" w:hAnsi="Times New Roman" w:hint="eastAsia"/>
          <w:color w:val="FF0000"/>
          <w:sz w:val="28"/>
          <w:szCs w:val="28"/>
          <w:u w:val="single"/>
        </w:rPr>
        <w:t xml:space="preserve">t </w:t>
      </w:r>
      <w:r w:rsidR="009E2B25" w:rsidRPr="00217EAF">
        <w:rPr>
          <w:rFonts w:ascii="Times New Roman" w:eastAsia="標楷體" w:hAnsi="Times New Roman"/>
          <w:color w:val="FF0000"/>
          <w:sz w:val="28"/>
          <w:szCs w:val="28"/>
          <w:u w:val="single"/>
        </w:rPr>
        <w:t>counted among the types of investments that</w:t>
      </w:r>
      <w:r w:rsidR="009E2B25" w:rsidRPr="00217EAF">
        <w:rPr>
          <w:rFonts w:ascii="Times New Roman" w:eastAsia="標楷體" w:hAnsi="Times New Roman" w:hint="eastAsia"/>
          <w:color w:val="FF0000"/>
          <w:sz w:val="28"/>
          <w:szCs w:val="28"/>
          <w:u w:val="single"/>
        </w:rPr>
        <w:t xml:space="preserve"> </w:t>
      </w:r>
      <w:r w:rsidR="009E2B25" w:rsidRPr="00217EAF">
        <w:rPr>
          <w:rFonts w:ascii="Times New Roman" w:eastAsia="標楷體" w:hAnsi="Times New Roman"/>
          <w:color w:val="FF0000"/>
          <w:sz w:val="28"/>
          <w:szCs w:val="28"/>
          <w:u w:val="single"/>
        </w:rPr>
        <w:t>collectively may not exceed the limit of 30% of the inward remittance of funds by the</w:t>
      </w:r>
      <w:r w:rsidR="009E2B25" w:rsidRPr="00217EAF">
        <w:rPr>
          <w:rFonts w:ascii="Times New Roman" w:eastAsia="標楷體" w:hAnsi="Times New Roman" w:hint="eastAsia"/>
          <w:color w:val="FF0000"/>
          <w:sz w:val="28"/>
          <w:szCs w:val="28"/>
          <w:u w:val="single"/>
        </w:rPr>
        <w:t xml:space="preserve"> </w:t>
      </w:r>
      <w:r w:rsidR="009E2B25" w:rsidRPr="00217EAF">
        <w:rPr>
          <w:rFonts w:ascii="Times New Roman" w:eastAsia="標楷體" w:hAnsi="Times New Roman"/>
          <w:color w:val="FF0000"/>
          <w:sz w:val="28"/>
          <w:szCs w:val="28"/>
          <w:u w:val="single"/>
        </w:rPr>
        <w:t>investor.</w:t>
      </w:r>
      <w:bookmarkStart w:id="0" w:name="_GoBack"/>
      <w:bookmarkEnd w:id="0"/>
    </w:p>
    <w:p w:rsidR="0040687A" w:rsidRPr="0086705F" w:rsidRDefault="0040687A" w:rsidP="0040687A">
      <w:pPr>
        <w:snapToGrid w:val="0"/>
        <w:ind w:leftChars="177" w:left="848" w:rightChars="74" w:right="178" w:hangingChars="151" w:hanging="423"/>
        <w:jc w:val="both"/>
        <w:rPr>
          <w:rFonts w:ascii="Times New Roman" w:eastAsia="標楷體" w:hAnsi="Times New Roman"/>
          <w:sz w:val="28"/>
          <w:szCs w:val="28"/>
        </w:rPr>
      </w:pPr>
      <w:r>
        <w:rPr>
          <w:rFonts w:ascii="Times New Roman" w:eastAsia="標楷體" w:hAnsi="Times New Roman"/>
          <w:sz w:val="28"/>
          <w:szCs w:val="28"/>
        </w:rPr>
        <w:t xml:space="preserve"> b. </w:t>
      </w:r>
      <w:r w:rsidRPr="0086705F">
        <w:rPr>
          <w:rFonts w:ascii="Times New Roman" w:eastAsia="標楷體" w:hAnsi="Times New Roman"/>
          <w:sz w:val="28"/>
          <w:szCs w:val="28"/>
        </w:rPr>
        <w:t>Investments in money market instruments, limited to bills and negotiable certificates of deposit within 90 days of expiration.</w:t>
      </w:r>
    </w:p>
    <w:p w:rsidR="0040687A" w:rsidRPr="0086705F" w:rsidRDefault="0040687A" w:rsidP="0040687A">
      <w:pPr>
        <w:snapToGrid w:val="0"/>
        <w:ind w:leftChars="177" w:left="848" w:rightChars="74" w:right="178" w:hangingChars="151" w:hanging="423"/>
        <w:jc w:val="both"/>
        <w:rPr>
          <w:rFonts w:ascii="Times New Roman" w:eastAsia="標楷體" w:hAnsi="Times New Roman"/>
          <w:sz w:val="28"/>
          <w:szCs w:val="28"/>
        </w:rPr>
      </w:pPr>
      <w:r>
        <w:rPr>
          <w:rFonts w:ascii="Times New Roman" w:eastAsia="標楷體" w:hAnsi="Times New Roman"/>
          <w:sz w:val="28"/>
          <w:szCs w:val="28"/>
        </w:rPr>
        <w:t xml:space="preserve"> c. </w:t>
      </w:r>
      <w:r w:rsidRPr="0086705F">
        <w:rPr>
          <w:rFonts w:ascii="Times New Roman" w:eastAsia="標楷體" w:hAnsi="Times New Roman"/>
          <w:sz w:val="28"/>
          <w:szCs w:val="28"/>
        </w:rPr>
        <w:t xml:space="preserve">OTC New Taiwan Dollar interest rate derivatives include New Taiwan Dollar forward rate agreements, interest rate swaps, and </w:t>
      </w:r>
      <w:r w:rsidRPr="0086705F">
        <w:rPr>
          <w:rFonts w:ascii="Times New Roman" w:eastAsia="標楷體" w:hAnsi="Times New Roman"/>
          <w:sz w:val="28"/>
          <w:szCs w:val="28"/>
        </w:rPr>
        <w:lastRenderedPageBreak/>
        <w:t>interest rate options; OTC equity derivatives include options and equity swaps involving Taiwan or foreign equities and denominated in New Taiwan Dollars or foreign currency; OTC structured instruments include products linked to domestic or foreign equity and interest rates, and denominated in either New Taiwan Dollars or foreign currency.</w:t>
      </w:r>
    </w:p>
    <w:p w:rsidR="0040687A" w:rsidRPr="0086705F" w:rsidRDefault="0040687A" w:rsidP="0040687A">
      <w:pPr>
        <w:widowControl/>
        <w:numPr>
          <w:ilvl w:val="0"/>
          <w:numId w:val="6"/>
        </w:numPr>
        <w:tabs>
          <w:tab w:val="clear" w:pos="480"/>
          <w:tab w:val="num" w:pos="369"/>
        </w:tabs>
        <w:snapToGrid w:val="0"/>
        <w:spacing w:beforeLines="50" w:before="180" w:line="240" w:lineRule="exact"/>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Requirements over the outward remittance of investment principal, capital gains and other investment gains by foreign investors.</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t xml:space="preserve">After receiving permission to invest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foreign investors may apply to remit investment capital and investment earnings out of the ROC. However, outward remittances of capital gains and stock dividends may be made from realized earnings only.</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t xml:space="preserve">Applications for foreign exchange remittance for investment capital and earnings shall be handled in accordance with the Act for the Regulation of Foreign Exchange (under the purview of the Central Bank). </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(3)</w:t>
      </w:r>
      <w:r w:rsidRPr="0086705F">
        <w:rPr>
          <w:rFonts w:ascii="Times New Roman" w:eastAsia="標楷體" w:hAnsi="Times New Roman"/>
          <w:sz w:val="28"/>
          <w:szCs w:val="28"/>
        </w:rPr>
        <w:tab/>
        <w:t>When a foreign investor intends to repatriate investment earnings, the investor's agent or representative shall submit documents evidencing the filing of a tax return and payment of taxes by an agent/representative approved by the tax authorities and carry out exchange settlement in accordance with the Act for the Regulation of Foreign Exchange.</w:t>
      </w:r>
    </w:p>
    <w:p w:rsidR="0040687A" w:rsidRPr="0086705F" w:rsidRDefault="0040687A" w:rsidP="0040687A">
      <w:pPr>
        <w:snapToGrid w:val="0"/>
        <w:ind w:leftChars="51" w:left="615" w:rightChars="74" w:right="178" w:hangingChars="176" w:hanging="493"/>
        <w:jc w:val="both"/>
        <w:rPr>
          <w:rFonts w:ascii="Times New Roman" w:eastAsia="標楷體" w:hAnsi="Times New Roman"/>
          <w:sz w:val="28"/>
          <w:szCs w:val="28"/>
        </w:rPr>
      </w:pPr>
      <w:r w:rsidRPr="0086705F">
        <w:rPr>
          <w:rFonts w:ascii="Times New Roman" w:eastAsia="標楷體" w:hAnsi="Times New Roman"/>
          <w:sz w:val="28"/>
          <w:szCs w:val="28"/>
        </w:rPr>
        <w:t xml:space="preserve"> (4)</w:t>
      </w:r>
      <w:r w:rsidRPr="0086705F">
        <w:rPr>
          <w:rFonts w:ascii="Times New Roman" w:eastAsia="標楷體" w:hAnsi="Times New Roman"/>
          <w:sz w:val="28"/>
          <w:szCs w:val="28"/>
        </w:rPr>
        <w:tab/>
        <w:t>A foreign investor that borrows funds in New Taiwan Dollars from a domestic financial institution under the restriction that the funds be used only to pay for domestic securities settlement may not apply for foreign exchange settlement of the funds.</w:t>
      </w:r>
    </w:p>
    <w:p w:rsidR="0040687A" w:rsidRPr="0086705F" w:rsidRDefault="0040687A" w:rsidP="0040687A">
      <w:pPr>
        <w:widowControl/>
        <w:numPr>
          <w:ilvl w:val="0"/>
          <w:numId w:val="6"/>
        </w:numPr>
        <w:snapToGrid w:val="0"/>
        <w:spacing w:beforeLines="50" w:before="180"/>
        <w:ind w:rightChars="74" w:right="178"/>
        <w:jc w:val="both"/>
        <w:rPr>
          <w:rFonts w:ascii="Times New Roman" w:eastAsia="標楷體" w:hAnsi="Times New Roman"/>
          <w:b/>
          <w:sz w:val="28"/>
          <w:szCs w:val="28"/>
        </w:rPr>
      </w:pPr>
      <w:r w:rsidRPr="00827905">
        <w:rPr>
          <w:rFonts w:ascii="Times New Roman" w:eastAsia="標楷體" w:hAnsi="Times New Roman"/>
          <w:b/>
          <w:sz w:val="28"/>
          <w:szCs w:val="28"/>
        </w:rPr>
        <w:t xml:space="preserve">Do the overseas employees of a company lists on TWSE, </w:t>
      </w:r>
      <w:proofErr w:type="spellStart"/>
      <w:r w:rsidRPr="00827905">
        <w:rPr>
          <w:rFonts w:ascii="Times New Roman" w:eastAsia="標楷體" w:hAnsi="Times New Roman"/>
          <w:b/>
          <w:sz w:val="28"/>
          <w:szCs w:val="28"/>
        </w:rPr>
        <w:t>TPEx</w:t>
      </w:r>
      <w:proofErr w:type="spellEnd"/>
      <w:r w:rsidRPr="00827905">
        <w:rPr>
          <w:rFonts w:ascii="Times New Roman" w:eastAsia="標楷體" w:hAnsi="Times New Roman"/>
          <w:b/>
          <w:sz w:val="28"/>
          <w:szCs w:val="28"/>
        </w:rPr>
        <w:t xml:space="preserve"> or emerging-stock need to make an application to a certain agency in order to sell bonus shares? When making an outward remittance after the sale of bonus shares, what documents should they submit to the bank for verification</w:t>
      </w:r>
      <w:r w:rsidRPr="0086705F">
        <w:rPr>
          <w:rFonts w:ascii="Times New Roman" w:eastAsia="標楷體" w:hAnsi="Times New Roman"/>
          <w:b/>
          <w:sz w:val="28"/>
          <w:szCs w:val="28"/>
        </w:rPr>
        <w:t>?</w:t>
      </w:r>
    </w:p>
    <w:p w:rsidR="0040687A" w:rsidRPr="0086705F" w:rsidRDefault="0040687A" w:rsidP="0040687A">
      <w:pPr>
        <w:snapToGrid w:val="0"/>
        <w:ind w:leftChars="51" w:left="612"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r>
      <w:r w:rsidRPr="00827905">
        <w:rPr>
          <w:rFonts w:ascii="Times New Roman" w:eastAsia="標楷體" w:hAnsi="Times New Roman"/>
          <w:sz w:val="28"/>
          <w:szCs w:val="28"/>
        </w:rPr>
        <w:t xml:space="preserve">No application to the Securities and Futures Bureau or the MOEA Investment Commission is necessary in regard to bonus shares for overseas employees of a TWSE-listed, </w:t>
      </w:r>
      <w:proofErr w:type="spellStart"/>
      <w:r w:rsidRPr="00827905">
        <w:rPr>
          <w:rFonts w:ascii="Times New Roman" w:eastAsia="標楷體" w:hAnsi="Times New Roman"/>
          <w:sz w:val="28"/>
          <w:szCs w:val="28"/>
        </w:rPr>
        <w:t>TPEx</w:t>
      </w:r>
      <w:proofErr w:type="spellEnd"/>
      <w:r w:rsidRPr="00827905">
        <w:rPr>
          <w:rFonts w:ascii="Times New Roman" w:eastAsia="標楷體" w:hAnsi="Times New Roman"/>
          <w:sz w:val="28"/>
          <w:szCs w:val="28"/>
        </w:rPr>
        <w:t xml:space="preserve">-listed, or emerging-stock company, or sale of those shares. The employee will need to submit a photocopy of their passport and related documents to a securities firm to open an account for the sale of the shares. For TWSE-listed companies, this shall be done in accordance with Article 77, paragraph 1, subparagraph 2 of the Operating Rules of the Taiwan Stock Exchange Corporation; for </w:t>
      </w:r>
      <w:proofErr w:type="spellStart"/>
      <w:r w:rsidRPr="00827905">
        <w:rPr>
          <w:rFonts w:ascii="Times New Roman" w:eastAsia="標楷體" w:hAnsi="Times New Roman"/>
          <w:sz w:val="28"/>
          <w:szCs w:val="28"/>
        </w:rPr>
        <w:t>TPEx</w:t>
      </w:r>
      <w:proofErr w:type="spellEnd"/>
      <w:r w:rsidRPr="00827905">
        <w:rPr>
          <w:rFonts w:ascii="Times New Roman" w:eastAsia="標楷體" w:hAnsi="Times New Roman"/>
          <w:sz w:val="28"/>
          <w:szCs w:val="28"/>
        </w:rPr>
        <w:t xml:space="preserve">-listed and emerging stock companies, Article 46, paragraph 1, </w:t>
      </w:r>
      <w:r w:rsidRPr="00827905">
        <w:rPr>
          <w:rFonts w:ascii="Times New Roman" w:eastAsia="標楷體" w:hAnsi="Times New Roman"/>
          <w:sz w:val="28"/>
          <w:szCs w:val="28"/>
        </w:rPr>
        <w:lastRenderedPageBreak/>
        <w:t xml:space="preserve">subparagraph 2 of the Taipei Exchange Rules Governing Securities Trading on the </w:t>
      </w:r>
      <w:proofErr w:type="spellStart"/>
      <w:r w:rsidRPr="00827905">
        <w:rPr>
          <w:rFonts w:ascii="Times New Roman" w:eastAsia="標楷體" w:hAnsi="Times New Roman"/>
          <w:sz w:val="28"/>
          <w:szCs w:val="28"/>
        </w:rPr>
        <w:t>TPEx</w:t>
      </w:r>
      <w:proofErr w:type="spellEnd"/>
      <w:r w:rsidRPr="00827905">
        <w:rPr>
          <w:rFonts w:ascii="Times New Roman" w:eastAsia="標楷體" w:hAnsi="Times New Roman"/>
          <w:sz w:val="28"/>
          <w:szCs w:val="28"/>
        </w:rPr>
        <w:t xml:space="preserve"> will apply</w:t>
      </w:r>
      <w:r w:rsidRPr="0086705F">
        <w:rPr>
          <w:rFonts w:ascii="Times New Roman" w:eastAsia="標楷體" w:hAnsi="Times New Roman"/>
          <w:sz w:val="28"/>
          <w:szCs w:val="28"/>
        </w:rPr>
        <w:t xml:space="preserve">. </w:t>
      </w:r>
    </w:p>
    <w:p w:rsidR="0040687A" w:rsidRPr="0086705F" w:rsidRDefault="0040687A" w:rsidP="0040687A">
      <w:pPr>
        <w:snapToGrid w:val="0"/>
        <w:ind w:leftChars="51" w:left="612"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r>
      <w:r w:rsidRPr="00827905">
        <w:rPr>
          <w:rFonts w:ascii="Times New Roman" w:eastAsia="標楷體" w:hAnsi="Times New Roman"/>
          <w:sz w:val="28"/>
          <w:szCs w:val="28"/>
        </w:rPr>
        <w:t>With regard to the documents necessary for outward remittances in connection with sales of bonus shares, in accordance with Point 5, paragraph 5 of the rules issued by the Foreign Exchange Department of the Central Bank, the Directions for Banking Enterprises Assisting Customers in Declaring Foreign Exchange Receipts and Disbursements or Transactions, the employee's company must fill out a foreign exchange transaction declaration and a listing of the given shares, after which the proceeds from the sale of shares can be remitted</w:t>
      </w:r>
      <w:r w:rsidRPr="0086705F">
        <w:rPr>
          <w:rFonts w:ascii="Times New Roman" w:eastAsia="標楷體" w:hAnsi="Times New Roman"/>
          <w:sz w:val="28"/>
          <w:szCs w:val="28"/>
        </w:rPr>
        <w:t>.</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Exercising shareholder's rights for offshore foreign investors </w:t>
      </w:r>
    </w:p>
    <w:p w:rsidR="0040687A" w:rsidRPr="0086705F" w:rsidRDefault="0040687A" w:rsidP="0040687A">
      <w:pPr>
        <w:snapToGrid w:val="0"/>
        <w:ind w:leftChars="52" w:left="61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t xml:space="preserve">The voting rights of a foreign institutional investor outside of </w:t>
      </w:r>
      <w:smartTag w:uri="urn:schemas-microsoft-com:office:smarttags" w:element="country-region">
        <w:r w:rsidRPr="0086705F">
          <w:rPr>
            <w:rFonts w:ascii="Times New Roman" w:eastAsia="標楷體" w:hAnsi="Times New Roman"/>
            <w:sz w:val="28"/>
            <w:szCs w:val="28"/>
          </w:rPr>
          <w:t>Taiwan</w:t>
        </w:r>
      </w:smartTag>
      <w:r w:rsidRPr="0086705F">
        <w:rPr>
          <w:rFonts w:ascii="Times New Roman" w:eastAsia="標楷體" w:hAnsi="Times New Roman"/>
          <w:sz w:val="28"/>
          <w:szCs w:val="28"/>
        </w:rPr>
        <w:t xml:space="preserve"> ("offshore foreign institutional investor") holding shares in a public company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may be exercised as follows:</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a.</w:t>
      </w:r>
      <w:r w:rsidRPr="0086705F">
        <w:rPr>
          <w:rFonts w:ascii="Times New Roman" w:eastAsia="標楷體" w:hAnsi="Times New Roman"/>
          <w:sz w:val="28"/>
          <w:szCs w:val="28"/>
        </w:rPr>
        <w:tab/>
        <w:t>Exercise electronically or by means of a written form in accordance with Article 177-1 of the Company Act;</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b.</w:t>
      </w:r>
      <w:r w:rsidRPr="0086705F">
        <w:rPr>
          <w:rFonts w:ascii="Times New Roman" w:eastAsia="標楷體" w:hAnsi="Times New Roman"/>
          <w:sz w:val="28"/>
          <w:szCs w:val="28"/>
        </w:rPr>
        <w:tab/>
        <w:t>Exercise through appointment of a company conforming to Article 3, paragraph 2 of the Regulations Governing Handling of Stock Affairs by Public Companies;</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c.</w:t>
      </w:r>
      <w:r w:rsidRPr="0086705F">
        <w:rPr>
          <w:rFonts w:ascii="Times New Roman" w:eastAsia="標楷體" w:hAnsi="Times New Roman"/>
          <w:sz w:val="28"/>
          <w:szCs w:val="28"/>
        </w:rPr>
        <w:tab/>
        <w:t>Exercise through appointment of a domestic agent or representative to exercise voting rights at the shareholder meeting;</w:t>
      </w:r>
    </w:p>
    <w:p w:rsidR="0040687A" w:rsidRPr="0086705F" w:rsidRDefault="0040687A" w:rsidP="0040687A">
      <w:pPr>
        <w:snapToGrid w:val="0"/>
        <w:ind w:leftChars="256" w:left="858" w:rightChars="74" w:right="178" w:hangingChars="87" w:hanging="244"/>
        <w:jc w:val="both"/>
        <w:rPr>
          <w:rFonts w:ascii="Times New Roman" w:eastAsia="標楷體" w:hAnsi="Times New Roman"/>
          <w:sz w:val="28"/>
          <w:szCs w:val="28"/>
        </w:rPr>
      </w:pPr>
      <w:r w:rsidRPr="0086705F">
        <w:rPr>
          <w:rFonts w:ascii="Times New Roman" w:eastAsia="標楷體" w:hAnsi="Times New Roman"/>
          <w:sz w:val="28"/>
          <w:szCs w:val="28"/>
        </w:rPr>
        <w:t>d.</w:t>
      </w:r>
      <w:r w:rsidRPr="0086705F">
        <w:rPr>
          <w:rFonts w:ascii="Times New Roman" w:eastAsia="標楷體" w:hAnsi="Times New Roman"/>
          <w:sz w:val="28"/>
          <w:szCs w:val="28"/>
        </w:rPr>
        <w:tab/>
        <w:t>Exercise through an appointment by the domestic agent or representative, as authorized by the offshore foreign institutional investor, of a party other than the domestic agent or representative to exercise voting rights at the shareholder meeting.</w:t>
      </w:r>
    </w:p>
    <w:p w:rsidR="0040687A" w:rsidRPr="0086705F" w:rsidRDefault="0040687A" w:rsidP="0040687A">
      <w:pPr>
        <w:snapToGrid w:val="0"/>
        <w:ind w:leftChars="52" w:left="61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t>An offshore foreign institutional investor that appoints a company as indicated in item 2 of the preceding paragraph or a person as indicated in points 3 and 4 therein to exercise voting rights at a shareholder meeting shall in each case clearly indicate in the letter of appointment its instructions regarding the exercise of voting rights on each proposal.</w:t>
      </w:r>
    </w:p>
    <w:p w:rsidR="0040687A" w:rsidRPr="0086705F" w:rsidRDefault="0040687A" w:rsidP="0040687A">
      <w:pPr>
        <w:snapToGrid w:val="0"/>
        <w:ind w:leftChars="52" w:left="61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(3)</w:t>
      </w:r>
      <w:r w:rsidRPr="0086705F">
        <w:rPr>
          <w:rFonts w:ascii="Times New Roman" w:eastAsia="標楷體" w:hAnsi="Times New Roman"/>
          <w:sz w:val="28"/>
          <w:szCs w:val="28"/>
        </w:rPr>
        <w:tab/>
        <w:t xml:space="preserve">An offshore foreign institutional investor may not give a proxy form issued by the public company to a proxy solicitor or proxy agent. </w:t>
      </w:r>
    </w:p>
    <w:p w:rsidR="0040687A" w:rsidRPr="0086705F" w:rsidRDefault="0040687A" w:rsidP="0040687A">
      <w:pPr>
        <w:snapToGrid w:val="0"/>
        <w:ind w:leftChars="74" w:left="612" w:rightChars="74" w:right="178" w:hangingChars="155" w:hanging="434"/>
        <w:jc w:val="both"/>
        <w:rPr>
          <w:rFonts w:ascii="Times New Roman" w:eastAsia="標楷體" w:hAnsi="Times New Roman"/>
          <w:sz w:val="28"/>
          <w:szCs w:val="28"/>
        </w:rPr>
      </w:pPr>
      <w:r w:rsidRPr="0086705F">
        <w:rPr>
          <w:rFonts w:ascii="Times New Roman" w:eastAsia="標楷體" w:hAnsi="Times New Roman"/>
          <w:sz w:val="28"/>
          <w:szCs w:val="28"/>
        </w:rPr>
        <w:t xml:space="preserve">(4) An overseas fund, overseas financial institution, or overseas depository institution that meets the qualifying criteria set forth in Article 3 of the Regulations Governing the Operation of and Compliance Requirements for Split Voting by Shareholders of Public Companies may adopt split voting by submitting an </w:t>
      </w:r>
      <w:r w:rsidRPr="0086705F">
        <w:rPr>
          <w:rFonts w:ascii="Times New Roman" w:eastAsia="標楷體" w:hAnsi="Times New Roman"/>
          <w:sz w:val="28"/>
          <w:szCs w:val="28"/>
        </w:rPr>
        <w:lastRenderedPageBreak/>
        <w:t>application for the exercise of split voting to the company pursuant to those Regulations before 5 days before the shareholders meeting date.</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Restrictions on investment of money market instruments for offshore foreign investors </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sz w:val="28"/>
          <w:szCs w:val="28"/>
        </w:rPr>
        <w:t xml:space="preserve">The liberalization of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’s securities market for offshore foreign investors is primarily oriented toward drawing investment into securities on the centralized exchange market. Investing in money market instruments is mainly for short-term cash management needs. The cap of 30 percent should be sufficient for this purpose. Therefore, currently there are no plans to raise the ceiling.</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Disclosure of the investment positions of foreign investors</w:t>
      </w:r>
    </w:p>
    <w:p w:rsidR="0040687A" w:rsidRPr="0086705F" w:rsidRDefault="0040687A" w:rsidP="0040687A">
      <w:pPr>
        <w:snapToGrid w:val="0"/>
        <w:ind w:leftChars="160" w:left="384" w:rightChars="74" w:right="178"/>
        <w:jc w:val="both"/>
        <w:rPr>
          <w:rFonts w:ascii="Times New Roman" w:eastAsia="標楷體" w:hAnsi="Times New Roman"/>
          <w:sz w:val="28"/>
          <w:szCs w:val="28"/>
        </w:rPr>
      </w:pPr>
      <w:r w:rsidRPr="0086705F">
        <w:rPr>
          <w:rFonts w:ascii="Times New Roman" w:eastAsia="標楷體" w:hAnsi="Times New Roman"/>
          <w:sz w:val="28"/>
          <w:szCs w:val="28"/>
        </w:rPr>
        <w:t>The FSC does not disclose investment information of individual foreign investors, but foreign investors are nevertheless obligated to comply with reporting requirements.</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Lock-in period of stocks </w:t>
      </w:r>
    </w:p>
    <w:p w:rsidR="0040687A" w:rsidRPr="0090310C" w:rsidRDefault="0040687A" w:rsidP="0040687A">
      <w:pPr>
        <w:snapToGrid w:val="0"/>
        <w:ind w:leftChars="102" w:left="245" w:rightChars="74" w:right="178" w:firstLineChars="50" w:firstLine="140"/>
        <w:jc w:val="both"/>
        <w:rPr>
          <w:rFonts w:ascii="Times New Roman" w:eastAsia="標楷體" w:hAnsi="Times New Roman"/>
          <w:sz w:val="28"/>
          <w:szCs w:val="28"/>
        </w:rPr>
      </w:pPr>
      <w:r w:rsidRPr="0086705F">
        <w:rPr>
          <w:rFonts w:ascii="Times New Roman" w:eastAsia="標楷體" w:hAnsi="Times New Roman"/>
          <w:sz w:val="28"/>
          <w:szCs w:val="28"/>
        </w:rPr>
        <w:t>The trading of stocks held by foreign investors is not subject to a "lock-in period".</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Off-exchange transactions</w:t>
      </w:r>
    </w:p>
    <w:p w:rsidR="0040687A" w:rsidRPr="0086705F" w:rsidRDefault="0040687A" w:rsidP="0040687A">
      <w:pPr>
        <w:snapToGrid w:val="0"/>
        <w:ind w:leftChars="102" w:left="73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(1)</w:t>
      </w:r>
      <w:r w:rsidRPr="0086705F">
        <w:rPr>
          <w:rFonts w:ascii="Times New Roman" w:eastAsia="標楷體" w:hAnsi="Times New Roman"/>
          <w:sz w:val="28"/>
          <w:szCs w:val="28"/>
        </w:rPr>
        <w:tab/>
      </w:r>
      <w:r w:rsidRPr="006223BF">
        <w:rPr>
          <w:rFonts w:ascii="Times New Roman" w:eastAsia="標楷體" w:hAnsi="Times New Roman"/>
          <w:sz w:val="28"/>
          <w:szCs w:val="28"/>
        </w:rPr>
        <w:t>Article 150 of the Securities and Exchange Act provides that trading of listed securities shall be conducted on a centralized securities trading market operated by a stock exchange. However, paragraph 4 of the same Article empowers the Competent Authority to make provisions for permitting off-exchange transactions in certain situations. For example, a foreign investor who has received approval from the Investment Commission of the Ministry of Economic Affairs under the Act Governing Investment by Foreign Nationals to transfer assets to another foreign investor may do so through off-exchange trading. Many foreign investors have invested in Taiwan stocks through such off-exchange channels over the years</w:t>
      </w:r>
      <w:r w:rsidRPr="0086705F">
        <w:rPr>
          <w:rFonts w:ascii="Times New Roman" w:eastAsia="標楷體" w:hAnsi="Times New Roman"/>
          <w:sz w:val="28"/>
          <w:szCs w:val="28"/>
        </w:rPr>
        <w:t xml:space="preserve">. </w:t>
      </w:r>
    </w:p>
    <w:p w:rsidR="0040687A" w:rsidRPr="0086705F" w:rsidRDefault="0040687A" w:rsidP="0040687A">
      <w:pPr>
        <w:snapToGrid w:val="0"/>
        <w:ind w:leftChars="102" w:left="73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(2)</w:t>
      </w:r>
      <w:r w:rsidRPr="0086705F">
        <w:rPr>
          <w:rFonts w:ascii="Times New Roman" w:eastAsia="標楷體" w:hAnsi="Times New Roman"/>
          <w:sz w:val="28"/>
          <w:szCs w:val="28"/>
        </w:rPr>
        <w:tab/>
      </w:r>
      <w:r w:rsidRPr="006223BF">
        <w:rPr>
          <w:rFonts w:ascii="Times New Roman" w:eastAsia="標楷體" w:hAnsi="Times New Roman"/>
          <w:sz w:val="28"/>
          <w:szCs w:val="28"/>
        </w:rPr>
        <w:t xml:space="preserve">Under current law, securities listed on the </w:t>
      </w:r>
      <w:proofErr w:type="spellStart"/>
      <w:r w:rsidRPr="006223BF">
        <w:rPr>
          <w:rFonts w:ascii="Times New Roman" w:eastAsia="標楷體" w:hAnsi="Times New Roman"/>
          <w:sz w:val="28"/>
          <w:szCs w:val="28"/>
        </w:rPr>
        <w:t>TPEx</w:t>
      </w:r>
      <w:proofErr w:type="spellEnd"/>
      <w:r w:rsidRPr="006223BF">
        <w:rPr>
          <w:rFonts w:ascii="Times New Roman" w:eastAsia="標楷體" w:hAnsi="Times New Roman"/>
          <w:sz w:val="28"/>
          <w:szCs w:val="28"/>
        </w:rPr>
        <w:t xml:space="preserve"> can be traded off-market. But, in those cases of securities for which the relevant authorities have duly set a foreign investment ceiling in accordance with law, foreign investors (who must have obtained approval or registration in accordance with the Regulations Governing Securities Investment by Overseas Chinese and Foreign Investors) are required to trade such securities through the </w:t>
      </w:r>
      <w:proofErr w:type="spellStart"/>
      <w:r w:rsidRPr="006223BF">
        <w:rPr>
          <w:rFonts w:ascii="Times New Roman" w:eastAsia="標楷體" w:hAnsi="Times New Roman"/>
          <w:sz w:val="28"/>
          <w:szCs w:val="28"/>
        </w:rPr>
        <w:t>TPEx</w:t>
      </w:r>
      <w:proofErr w:type="spellEnd"/>
      <w:r w:rsidRPr="006223BF">
        <w:rPr>
          <w:rFonts w:ascii="Times New Roman" w:eastAsia="標楷體" w:hAnsi="Times New Roman"/>
          <w:sz w:val="28"/>
          <w:szCs w:val="28"/>
        </w:rPr>
        <w:t xml:space="preserve"> trading system. However, only very few </w:t>
      </w:r>
      <w:proofErr w:type="spellStart"/>
      <w:r w:rsidRPr="006223BF">
        <w:rPr>
          <w:rFonts w:ascii="Times New Roman" w:eastAsia="標楷體" w:hAnsi="Times New Roman"/>
          <w:sz w:val="28"/>
          <w:szCs w:val="28"/>
        </w:rPr>
        <w:t>TPEx</w:t>
      </w:r>
      <w:proofErr w:type="spellEnd"/>
      <w:r w:rsidRPr="006223BF">
        <w:rPr>
          <w:rFonts w:ascii="Times New Roman" w:eastAsia="標楷體" w:hAnsi="Times New Roman"/>
          <w:sz w:val="28"/>
          <w:szCs w:val="28"/>
        </w:rPr>
        <w:t xml:space="preserve">-listed stocks are subject to this requirement. Most </w:t>
      </w:r>
      <w:proofErr w:type="spellStart"/>
      <w:r w:rsidRPr="006223BF">
        <w:rPr>
          <w:rFonts w:ascii="Times New Roman" w:eastAsia="標楷體" w:hAnsi="Times New Roman"/>
          <w:sz w:val="28"/>
          <w:szCs w:val="28"/>
        </w:rPr>
        <w:t>TPEx</w:t>
      </w:r>
      <w:proofErr w:type="spellEnd"/>
      <w:r w:rsidRPr="006223BF">
        <w:rPr>
          <w:rFonts w:ascii="Times New Roman" w:eastAsia="標楷體" w:hAnsi="Times New Roman"/>
          <w:sz w:val="28"/>
          <w:szCs w:val="28"/>
        </w:rPr>
        <w:t xml:space="preserve">-listed stocks can also </w:t>
      </w:r>
      <w:r w:rsidRPr="006223BF">
        <w:rPr>
          <w:rFonts w:ascii="Times New Roman" w:eastAsia="標楷體" w:hAnsi="Times New Roman"/>
          <w:sz w:val="28"/>
          <w:szCs w:val="28"/>
        </w:rPr>
        <w:lastRenderedPageBreak/>
        <w:t>be traded by foreign investors via price negotiation at the business places of securities firms</w:t>
      </w:r>
      <w:r w:rsidRPr="0086705F">
        <w:rPr>
          <w:rFonts w:ascii="Times New Roman" w:eastAsia="標楷體" w:hAnsi="Times New Roman"/>
          <w:sz w:val="28"/>
          <w:szCs w:val="28"/>
        </w:rPr>
        <w:t>.</w:t>
      </w:r>
    </w:p>
    <w:p w:rsidR="0040687A" w:rsidRPr="0086705F" w:rsidRDefault="0040687A" w:rsidP="0040687A">
      <w:pPr>
        <w:snapToGrid w:val="0"/>
        <w:ind w:leftChars="102" w:left="735" w:rightChars="74" w:right="178" w:hangingChars="175" w:hanging="490"/>
        <w:jc w:val="both"/>
        <w:rPr>
          <w:rFonts w:ascii="Times New Roman" w:eastAsia="標楷體" w:hAnsi="Times New Roman"/>
          <w:sz w:val="28"/>
          <w:szCs w:val="28"/>
        </w:rPr>
      </w:pPr>
      <w:r w:rsidRPr="0086705F">
        <w:rPr>
          <w:rFonts w:ascii="Times New Roman" w:eastAsia="標楷體" w:hAnsi="Times New Roman"/>
          <w:sz w:val="28"/>
          <w:szCs w:val="28"/>
        </w:rPr>
        <w:t xml:space="preserve"> (3)</w:t>
      </w:r>
      <w:r w:rsidRPr="0086705F">
        <w:rPr>
          <w:rFonts w:ascii="Times New Roman" w:eastAsia="標楷體" w:hAnsi="Times New Roman"/>
          <w:sz w:val="28"/>
          <w:szCs w:val="28"/>
        </w:rPr>
        <w:tab/>
        <w:t xml:space="preserve">After each market close, the TWSE also provides paired block trades and auction and tender offer systems in which securities prices are negotiable to satisfy various investors’ demands. </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The latest changes to block trading system in Taiwan</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bCs/>
          <w:sz w:val="28"/>
          <w:szCs w:val="28"/>
        </w:rPr>
        <w:t xml:space="preserve">To simplify </w:t>
      </w:r>
      <w:smartTag w:uri="urn:schemas-microsoft-com:office:smarttags" w:element="PersonName">
        <w:smartTagPr>
          <w:attr w:name="ProductID" w:val="the management of"/>
        </w:smartTagPr>
        <w:r w:rsidRPr="0086705F">
          <w:rPr>
            <w:rFonts w:ascii="Times New Roman" w:eastAsia="標楷體" w:hAnsi="Times New Roman"/>
            <w:bCs/>
            <w:sz w:val="28"/>
            <w:szCs w:val="28"/>
          </w:rPr>
          <w:t>the management of</w:t>
        </w:r>
      </w:smartTag>
      <w:r w:rsidRPr="0086705F">
        <w:rPr>
          <w:rFonts w:ascii="Times New Roman" w:eastAsia="標楷體" w:hAnsi="Times New Roman"/>
          <w:bCs/>
          <w:sz w:val="28"/>
          <w:szCs w:val="28"/>
        </w:rPr>
        <w:t xml:space="preserve"> block trading and meet the needs of investors engaging in block trading, transaction-day delivery for block trades has been eliminated. Pursuant to this cancellation, when securities firms receive block trade orders to sell securities, they should verify regulations pertaining to the principal’s central depository accounts and to the suspension of block trading orders for listed securities on their ex-dividend and ex-rights dates and on the following business day. This measure was implemented on 19 December 2011.</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 xml:space="preserve">Foreign ownership restrictions </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lifted limits on total/individual foreign shareholding in public companies from 30 December 2000. Applicable acts and regulations may in few instances limit the percentage of equity holdings by foreign nationals and companies in certain industries (such as postal, telecommunications, and shipment industries) to meet national interests in the economic, social, or cultural spheres. Most developed countries have similar policies, and the practice in </w:t>
      </w:r>
      <w:smartTag w:uri="urn:schemas-microsoft-com:office:smarttags" w:element="country-region">
        <w:smartTag w:uri="urn:schemas-microsoft-com:office:smarttags" w:element="place">
          <w:r w:rsidRPr="0086705F">
            <w:rPr>
              <w:rFonts w:ascii="Times New Roman" w:eastAsia="標楷體" w:hAnsi="Times New Roman"/>
              <w:sz w:val="28"/>
              <w:szCs w:val="28"/>
            </w:rPr>
            <w:t>Taiwan</w:t>
          </w:r>
        </w:smartTag>
      </w:smartTag>
      <w:r w:rsidRPr="0086705F">
        <w:rPr>
          <w:rFonts w:ascii="Times New Roman" w:eastAsia="標楷體" w:hAnsi="Times New Roman"/>
          <w:sz w:val="28"/>
          <w:szCs w:val="28"/>
        </w:rPr>
        <w:t xml:space="preserve"> is in line with developed-market standards.</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Odd-lot trading</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sz w:val="28"/>
          <w:szCs w:val="28"/>
        </w:rPr>
        <w:t>In the past, offshore foreign investors were permitted to sell stocks in odd lots, but not to buy them. To meet the varied trading and investment demands of foreign investors, the FSC announced on 22 July 2005 that offshore foreign investors are also permitted to buy odd lots.</w:t>
      </w:r>
    </w:p>
    <w:p w:rsidR="0040687A" w:rsidRPr="0086705F" w:rsidRDefault="0040687A" w:rsidP="0040687A">
      <w:pPr>
        <w:widowControl/>
        <w:numPr>
          <w:ilvl w:val="0"/>
          <w:numId w:val="6"/>
        </w:numPr>
        <w:snapToGrid w:val="0"/>
        <w:spacing w:beforeLines="50" w:before="180"/>
        <w:ind w:rightChars="74" w:right="178"/>
        <w:jc w:val="both"/>
        <w:rPr>
          <w:rFonts w:ascii="Times New Roman" w:eastAsia="標楷體" w:hAnsi="Times New Roman"/>
          <w:b/>
          <w:sz w:val="28"/>
          <w:szCs w:val="28"/>
        </w:rPr>
      </w:pPr>
      <w:r w:rsidRPr="00801FF6">
        <w:rPr>
          <w:rFonts w:ascii="Times New Roman" w:eastAsia="標楷體" w:hAnsi="Times New Roman"/>
          <w:b/>
          <w:sz w:val="28"/>
          <w:szCs w:val="28"/>
        </w:rPr>
        <w:t xml:space="preserve">Agencies designated to accept and process individual investment cases in which an overseas Chinese or foreign national acquires 10 percent or more of the equity in an TWSE-listed, </w:t>
      </w:r>
      <w:proofErr w:type="spellStart"/>
      <w:r w:rsidRPr="00801FF6">
        <w:rPr>
          <w:rFonts w:ascii="Times New Roman" w:eastAsia="標楷體" w:hAnsi="Times New Roman"/>
          <w:b/>
          <w:sz w:val="28"/>
          <w:szCs w:val="28"/>
        </w:rPr>
        <w:t>TPEx</w:t>
      </w:r>
      <w:proofErr w:type="spellEnd"/>
      <w:r w:rsidRPr="00801FF6">
        <w:rPr>
          <w:rFonts w:ascii="Times New Roman" w:eastAsia="標楷體" w:hAnsi="Times New Roman"/>
          <w:b/>
          <w:sz w:val="28"/>
          <w:szCs w:val="28"/>
        </w:rPr>
        <w:t>-listed, or emerging stock company</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01FF6">
        <w:rPr>
          <w:rFonts w:ascii="Times New Roman" w:eastAsia="標楷體" w:hAnsi="Times New Roman"/>
          <w:sz w:val="28"/>
          <w:szCs w:val="28"/>
        </w:rPr>
        <w:t xml:space="preserve">As restrictions on fund transfer amounts no longer exist for overseas Chinese or foreign national investing in TWSE-listed, </w:t>
      </w:r>
      <w:proofErr w:type="spellStart"/>
      <w:r w:rsidRPr="00801FF6">
        <w:rPr>
          <w:rFonts w:ascii="Times New Roman" w:eastAsia="標楷體" w:hAnsi="Times New Roman"/>
          <w:sz w:val="28"/>
          <w:szCs w:val="28"/>
        </w:rPr>
        <w:t>TPEx</w:t>
      </w:r>
      <w:proofErr w:type="spellEnd"/>
      <w:r w:rsidRPr="00801FF6">
        <w:rPr>
          <w:rFonts w:ascii="Times New Roman" w:eastAsia="標楷體" w:hAnsi="Times New Roman"/>
          <w:sz w:val="28"/>
          <w:szCs w:val="28"/>
        </w:rPr>
        <w:t xml:space="preserve">-listed, or emerging stock companies, a resolution adopted at a meeting of the Securities and Futures Bureau and the Investment Commission of the Ministry of Economic Affairs abolish, beginning 1 April 2008, the existing requirement that an application be submitted to the </w:t>
      </w:r>
      <w:r w:rsidRPr="00801FF6">
        <w:rPr>
          <w:rFonts w:ascii="Times New Roman" w:eastAsia="標楷體" w:hAnsi="Times New Roman"/>
          <w:sz w:val="28"/>
          <w:szCs w:val="28"/>
        </w:rPr>
        <w:lastRenderedPageBreak/>
        <w:t>Investment Commission for any single case of an overseas Chinese or foreign national making an investment of US$50 million or more in such a company. Instead, after that date, an overseas Chinese or foreign national acquiring 10 percent or more of the equity rights of such a company will be required to submit an application to the Investment Commission, respective science park administration, or the Export Processing Zone Administration of the Ministry of Economic Affairs</w:t>
      </w:r>
      <w:r w:rsidRPr="0086705F">
        <w:rPr>
          <w:rFonts w:ascii="Times New Roman" w:eastAsia="標楷體" w:hAnsi="Times New Roman"/>
          <w:sz w:val="28"/>
          <w:szCs w:val="28"/>
        </w:rPr>
        <w:t>.</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Are offshore overseas Chinese and foreign nationals permitted to engage in bond reverse repo (resell; RS) trades?</w:t>
      </w:r>
    </w:p>
    <w:p w:rsidR="0040687A" w:rsidRPr="0086705F" w:rsidRDefault="0040687A" w:rsidP="0040687A">
      <w:pPr>
        <w:snapToGrid w:val="0"/>
        <w:ind w:leftChars="153" w:left="367" w:rightChars="74" w:right="178"/>
        <w:jc w:val="both"/>
        <w:rPr>
          <w:rFonts w:ascii="Times New Roman" w:eastAsia="標楷體" w:hAnsi="Times New Roman"/>
          <w:sz w:val="28"/>
          <w:szCs w:val="28"/>
        </w:rPr>
      </w:pPr>
      <w:r w:rsidRPr="0086705F">
        <w:rPr>
          <w:rFonts w:ascii="Times New Roman" w:eastAsia="標楷體" w:hAnsi="Times New Roman"/>
          <w:sz w:val="28"/>
          <w:szCs w:val="28"/>
        </w:rPr>
        <w:t xml:space="preserve">Bond reverse repo (resell; RS) trades involve using bonds as collateral for financing. This does not comply with Article 21, subparagraph 3 of the Regulations Governing Investment in Securities by Overseas Chinese and Foreign Nationals, which prohibits the provision of collateral by an offshore overseas Chinese or foreign national investing in domestic securities with inwardly remitted collateral. RS trading also does not fall within the permitted scope of use for inwardly remitted funds by offshore overseas Chinese and foreign nationals under Article 4, paragraph 2 of those Regulations. </w:t>
      </w:r>
    </w:p>
    <w:p w:rsidR="0040687A" w:rsidRPr="0086705F" w:rsidRDefault="0040687A" w:rsidP="0040687A">
      <w:pPr>
        <w:widowControl/>
        <w:numPr>
          <w:ilvl w:val="0"/>
          <w:numId w:val="6"/>
        </w:numPr>
        <w:tabs>
          <w:tab w:val="clear" w:pos="480"/>
          <w:tab w:val="num" w:pos="369"/>
        </w:tabs>
        <w:snapToGrid w:val="0"/>
        <w:spacing w:beforeLines="50" w:before="180"/>
        <w:ind w:left="369" w:rightChars="74" w:right="178" w:hanging="369"/>
        <w:jc w:val="both"/>
        <w:rPr>
          <w:rFonts w:ascii="Times New Roman" w:eastAsia="標楷體" w:hAnsi="Times New Roman"/>
          <w:b/>
          <w:sz w:val="28"/>
          <w:szCs w:val="28"/>
        </w:rPr>
      </w:pPr>
      <w:r w:rsidRPr="0086705F">
        <w:rPr>
          <w:rFonts w:ascii="Times New Roman" w:eastAsia="標楷體" w:hAnsi="Times New Roman"/>
          <w:b/>
          <w:sz w:val="28"/>
          <w:szCs w:val="28"/>
        </w:rPr>
        <w:t>Who is exempt from issuing a declaration to the effect that their capital is not from the mainland area?</w:t>
      </w:r>
    </w:p>
    <w:p w:rsidR="0040687A" w:rsidRDefault="0040687A" w:rsidP="0040687A">
      <w:pPr>
        <w:snapToGrid w:val="0"/>
        <w:ind w:leftChars="153" w:left="367" w:rightChars="74" w:right="178"/>
        <w:jc w:val="both"/>
        <w:rPr>
          <w:rFonts w:ascii="Times New Roman" w:eastAsia="標楷體" w:hAnsi="Times New Roman"/>
          <w:sz w:val="28"/>
          <w:szCs w:val="28"/>
        </w:rPr>
      </w:pPr>
      <w:r w:rsidRPr="000B4C79">
        <w:rPr>
          <w:rFonts w:ascii="Times New Roman" w:eastAsia="標楷體" w:hAnsi="Times New Roman"/>
          <w:sz w:val="28"/>
          <w:szCs w:val="28"/>
        </w:rPr>
        <w:t>A foreign institutional investor who is a fund management company is not required to issue a declaration stating that its capital is not from the mainland area. However, a non-fund type foreign investor must still declare on the registration form that their inwardly remitted funds for securities investments or futures trading do not come from the mainland area when registering with the Taiwan Stock Exchange Corporation (TWSE).</w:t>
      </w: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sz w:val="28"/>
          <w:szCs w:val="28"/>
        </w:rPr>
      </w:pPr>
    </w:p>
    <w:p w:rsidR="0040687A" w:rsidRDefault="0040687A" w:rsidP="0040687A">
      <w:pPr>
        <w:snapToGrid w:val="0"/>
        <w:ind w:leftChars="153" w:left="367" w:rightChars="74" w:right="178"/>
        <w:jc w:val="both"/>
        <w:rPr>
          <w:rFonts w:ascii="Times New Roman" w:eastAsia="標楷體" w:hAnsi="Times New Roman"/>
          <w:b/>
          <w:sz w:val="32"/>
        </w:rPr>
      </w:pPr>
    </w:p>
    <w:p w:rsidR="00EB5E9B" w:rsidRPr="00CA6EFA" w:rsidRDefault="00A633E7" w:rsidP="00DB796B">
      <w:pPr>
        <w:spacing w:line="500" w:lineRule="exact"/>
        <w:jc w:val="center"/>
        <w:rPr>
          <w:rFonts w:ascii="Times New Roman" w:eastAsia="標楷體" w:hAnsi="Times New Roman"/>
          <w:b/>
          <w:sz w:val="32"/>
        </w:rPr>
      </w:pPr>
      <w:r>
        <w:rPr>
          <w:rFonts w:ascii="Times New Roman" w:eastAsia="標楷體" w:hAnsi="Times New Roman" w:hint="eastAsia"/>
          <w:b/>
          <w:sz w:val="32"/>
        </w:rPr>
        <w:t>外資投資</w:t>
      </w:r>
      <w:r w:rsidR="00B97C0A" w:rsidRPr="00CA6EFA">
        <w:rPr>
          <w:rFonts w:ascii="Times New Roman" w:eastAsia="標楷體" w:hAnsi="Times New Roman" w:hint="eastAsia"/>
          <w:b/>
          <w:sz w:val="32"/>
        </w:rPr>
        <w:t>問答集</w:t>
      </w:r>
    </w:p>
    <w:p w:rsidR="00F5367C" w:rsidRDefault="00F5367C" w:rsidP="00DB796B">
      <w:pPr>
        <w:spacing w:line="500" w:lineRule="exact"/>
        <w:jc w:val="center"/>
        <w:rPr>
          <w:rFonts w:ascii="Times New Roman" w:eastAsia="標楷體" w:hAnsi="Times New Roman"/>
          <w:b/>
          <w:sz w:val="32"/>
        </w:rPr>
      </w:pP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不同</w:t>
      </w:r>
      <w:r w:rsidRPr="003F6AF4">
        <w:rPr>
          <w:rFonts w:ascii="Times New Roman" w:eastAsia="標楷體" w:hAnsi="Times New Roman"/>
          <w:b/>
          <w:bCs/>
          <w:sz w:val="28"/>
          <w:szCs w:val="28"/>
        </w:rPr>
        <w:t>ID</w:t>
      </w:r>
      <w:r w:rsidRPr="003F6AF4">
        <w:rPr>
          <w:rFonts w:ascii="Times New Roman" w:eastAsia="標楷體" w:hAnsi="Times New Roman"/>
          <w:b/>
          <w:bCs/>
          <w:sz w:val="28"/>
          <w:szCs w:val="28"/>
        </w:rPr>
        <w:t>之境外華僑及外國人得進行資產自由移轉</w:t>
      </w:r>
    </w:p>
    <w:p w:rsidR="003F6AF4" w:rsidRPr="003F6AF4" w:rsidRDefault="003F6AF4" w:rsidP="003F6AF4">
      <w:pPr>
        <w:snapToGrid w:val="0"/>
        <w:spacing w:beforeLines="50" w:before="180" w:afterLines="50" w:after="180" w:line="400" w:lineRule="exact"/>
        <w:ind w:leftChars="100" w:left="240" w:rightChars="74" w:right="178"/>
        <w:jc w:val="both"/>
        <w:rPr>
          <w:rFonts w:ascii="Times New Roman" w:eastAsia="標楷體" w:hAnsi="Times New Roman"/>
          <w:b/>
          <w:bCs/>
          <w:sz w:val="28"/>
          <w:szCs w:val="28"/>
        </w:rPr>
      </w:pPr>
      <w:r w:rsidRPr="003F6AF4">
        <w:rPr>
          <w:rFonts w:ascii="Times New Roman" w:eastAsia="標楷體" w:hAnsi="Times New Roman"/>
          <w:sz w:val="28"/>
          <w:szCs w:val="28"/>
        </w:rPr>
        <w:t>答：</w:t>
      </w:r>
    </w:p>
    <w:p w:rsidR="003F6AF4" w:rsidRPr="003F6AF4" w:rsidRDefault="003F6AF4" w:rsidP="003F6AF4">
      <w:pPr>
        <w:widowControl/>
        <w:numPr>
          <w:ilvl w:val="0"/>
          <w:numId w:val="7"/>
        </w:numPr>
        <w:tabs>
          <w:tab w:val="clear" w:pos="1392"/>
          <w:tab w:val="num" w:pos="1134"/>
        </w:tabs>
        <w:snapToGrid w:val="0"/>
        <w:spacing w:line="400" w:lineRule="exact"/>
        <w:ind w:leftChars="118" w:left="1110" w:rightChars="74" w:right="178" w:hanging="827"/>
        <w:jc w:val="both"/>
        <w:rPr>
          <w:rFonts w:ascii="Times New Roman" w:eastAsia="標楷體" w:hAnsi="Times New Roman"/>
          <w:sz w:val="28"/>
          <w:szCs w:val="28"/>
        </w:rPr>
      </w:pPr>
      <w:r w:rsidRPr="003F6AF4">
        <w:rPr>
          <w:rFonts w:ascii="Times New Roman" w:eastAsia="標楷體" w:hAnsi="Times New Roman"/>
          <w:sz w:val="28"/>
          <w:szCs w:val="28"/>
        </w:rPr>
        <w:t>現行資產移轉，在不變更最終受益人原則下，得進行資產移轉，例如：</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因基金或公司合併、分拆，或因組織內部調整、改變</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基於信託契約關係而須資產移轉</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因</w:t>
      </w:r>
      <w:r w:rsidRPr="003F6AF4">
        <w:rPr>
          <w:rFonts w:ascii="Times New Roman" w:eastAsia="標楷體" w:hAnsi="Times New Roman"/>
          <w:sz w:val="28"/>
          <w:szCs w:val="28"/>
        </w:rPr>
        <w:t>ETF</w:t>
      </w:r>
      <w:r w:rsidRPr="003F6AF4">
        <w:rPr>
          <w:rFonts w:ascii="Times New Roman" w:eastAsia="標楷體" w:hAnsi="Times New Roman"/>
          <w:sz w:val="28"/>
          <w:szCs w:val="28"/>
        </w:rPr>
        <w:t>實物申購</w:t>
      </w:r>
      <w:r w:rsidRPr="003F6AF4">
        <w:rPr>
          <w:rFonts w:ascii="Times New Roman" w:eastAsia="標楷體" w:hAnsi="Times New Roman"/>
          <w:sz w:val="28"/>
          <w:szCs w:val="28"/>
        </w:rPr>
        <w:t>/</w:t>
      </w:r>
      <w:r w:rsidRPr="003F6AF4">
        <w:rPr>
          <w:rFonts w:ascii="Times New Roman" w:eastAsia="標楷體" w:hAnsi="Times New Roman"/>
          <w:sz w:val="28"/>
          <w:szCs w:val="28"/>
        </w:rPr>
        <w:t>買回</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取得法院之命令或判決</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傘型基金旗下由主基金移轉至子基金</w:t>
      </w:r>
    </w:p>
    <w:p w:rsidR="003F6AF4" w:rsidRPr="003F6AF4" w:rsidRDefault="003F6AF4" w:rsidP="003F6AF4">
      <w:pPr>
        <w:numPr>
          <w:ilvl w:val="0"/>
          <w:numId w:val="9"/>
        </w:numPr>
        <w:tabs>
          <w:tab w:val="clear" w:pos="480"/>
          <w:tab w:val="num" w:pos="984"/>
        </w:tabs>
        <w:spacing w:line="400" w:lineRule="exact"/>
        <w:ind w:leftChars="356" w:left="1223" w:rightChars="74" w:right="178" w:hanging="369"/>
        <w:rPr>
          <w:rFonts w:ascii="Times New Roman" w:eastAsia="標楷體" w:hAnsi="Times New Roman"/>
          <w:sz w:val="28"/>
          <w:szCs w:val="28"/>
        </w:rPr>
      </w:pPr>
      <w:r w:rsidRPr="003F6AF4">
        <w:rPr>
          <w:rFonts w:ascii="Times New Roman" w:eastAsia="標楷體" w:hAnsi="Times New Roman"/>
          <w:sz w:val="28"/>
          <w:szCs w:val="28"/>
        </w:rPr>
        <w:t>不違反場外交易規定之「其他」資產移轉</w:t>
      </w:r>
    </w:p>
    <w:p w:rsidR="003F6AF4" w:rsidRPr="003F6AF4" w:rsidRDefault="003F6AF4" w:rsidP="003F6AF4">
      <w:pPr>
        <w:widowControl/>
        <w:numPr>
          <w:ilvl w:val="0"/>
          <w:numId w:val="7"/>
        </w:numPr>
        <w:tabs>
          <w:tab w:val="clear" w:pos="1392"/>
          <w:tab w:val="num" w:pos="1134"/>
        </w:tabs>
        <w:snapToGrid w:val="0"/>
        <w:spacing w:line="400" w:lineRule="exact"/>
        <w:ind w:leftChars="118" w:left="1110" w:rightChars="74" w:right="178" w:hanging="827"/>
        <w:jc w:val="both"/>
        <w:rPr>
          <w:rFonts w:ascii="Times New Roman" w:eastAsia="標楷體" w:hAnsi="Times New Roman"/>
          <w:sz w:val="28"/>
          <w:szCs w:val="28"/>
        </w:rPr>
      </w:pPr>
      <w:r w:rsidRPr="003F6AF4">
        <w:rPr>
          <w:rFonts w:ascii="Times New Roman" w:eastAsia="標楷體" w:hAnsi="Times New Roman"/>
          <w:sz w:val="28"/>
          <w:szCs w:val="28"/>
        </w:rPr>
        <w:t>同一</w:t>
      </w:r>
      <w:r w:rsidRPr="003F6AF4">
        <w:rPr>
          <w:rFonts w:ascii="Times New Roman" w:eastAsia="標楷體" w:hAnsi="Times New Roman"/>
          <w:sz w:val="28"/>
          <w:szCs w:val="28"/>
        </w:rPr>
        <w:t>ID</w:t>
      </w:r>
      <w:r w:rsidRPr="003F6AF4">
        <w:rPr>
          <w:rFonts w:ascii="Times New Roman" w:eastAsia="標楷體" w:hAnsi="Times New Roman"/>
          <w:sz w:val="28"/>
          <w:szCs w:val="28"/>
        </w:rPr>
        <w:t>之外資得開立多元帳戶，其資產亦得自由移轉而毋需透過買賣程序。</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sz w:val="28"/>
          <w:szCs w:val="28"/>
        </w:rPr>
      </w:pPr>
      <w:r w:rsidRPr="003F6AF4">
        <w:rPr>
          <w:rFonts w:ascii="Times New Roman" w:eastAsia="標楷體" w:hAnsi="標楷體"/>
          <w:b/>
          <w:bCs/>
          <w:sz w:val="28"/>
          <w:szCs w:val="28"/>
        </w:rPr>
        <w:t>目前在台灣面臨的預繳款項問題</w:t>
      </w:r>
      <w:r w:rsidRPr="003F6AF4">
        <w:rPr>
          <w:rFonts w:ascii="Times New Roman" w:eastAsia="標楷體" w:hAnsi="Times New Roman"/>
          <w:b/>
          <w:bCs/>
          <w:sz w:val="28"/>
          <w:szCs w:val="28"/>
        </w:rPr>
        <w:t xml:space="preserve"> </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r w:rsidRPr="003F6AF4">
        <w:rPr>
          <w:rFonts w:ascii="Times New Roman" w:eastAsia="標楷體" w:hAnsi="Times New Roman"/>
          <w:sz w:val="28"/>
          <w:szCs w:val="28"/>
        </w:rPr>
        <w:t xml:space="preserve"> </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證券商對外資客戶要求資金提前到位之情形，並非法規強制規定，係</w:t>
      </w:r>
      <w:r w:rsidRPr="003F6AF4">
        <w:rPr>
          <w:rFonts w:ascii="Times New Roman" w:eastAsia="標楷體" w:hAnsi="標楷體"/>
          <w:sz w:val="28"/>
          <w:szCs w:val="28"/>
        </w:rPr>
        <w:t>證券商對部分客戶的風險控管方式，以避免事後申報客戶違約，且部分證券商資本較小恐無能力代辦交割，故有事先查詢款券動作，此行為本屬證券商之自行判斷與風險控管，惟該項行為被部分外資投資人指稱我國市場對外資要求資金提前到位之情形。另因外資客戶所持有之部位均非常龐大，若申報其違約交割將使其蒙受信用風險及資金調度困擾等效應，致有部分外資客戶會授權或指示證券商於下單前洽保管機構查詢款券部位是否足敷交割之服務。</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我國已於</w:t>
      </w:r>
      <w:r w:rsidRPr="003F6AF4">
        <w:rPr>
          <w:rFonts w:ascii="Times New Roman" w:eastAsia="標楷體" w:hAnsi="Times New Roman"/>
          <w:sz w:val="28"/>
          <w:szCs w:val="28"/>
        </w:rPr>
        <w:t>2004</w:t>
      </w:r>
      <w:r w:rsidRPr="003F6AF4">
        <w:rPr>
          <w:rFonts w:ascii="Times New Roman" w:eastAsia="標楷體" w:hAnsi="Times New Roman"/>
          <w:sz w:val="28"/>
          <w:szCs w:val="28"/>
        </w:rPr>
        <w:t>年</w:t>
      </w:r>
      <w:r w:rsidRPr="003F6AF4">
        <w:rPr>
          <w:rFonts w:ascii="Times New Roman" w:eastAsia="標楷體" w:hAnsi="Times New Roman"/>
          <w:sz w:val="28"/>
          <w:szCs w:val="28"/>
        </w:rPr>
        <w:t>5</w:t>
      </w:r>
      <w:r w:rsidRPr="003F6AF4">
        <w:rPr>
          <w:rFonts w:ascii="Times New Roman" w:eastAsia="標楷體" w:hAnsi="Times New Roman"/>
          <w:sz w:val="28"/>
          <w:szCs w:val="28"/>
        </w:rPr>
        <w:t>月份開放國內金融機構得對外國投資人辦理「日中墊款」，以協助解決外國投資人因為時差原因，而未能及時匯入資金進行交割之問題。</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lastRenderedPageBreak/>
        <w:t>我國證券市場於</w:t>
      </w:r>
      <w:smartTag w:uri="urn:schemas-microsoft-com:office:smarttags" w:element="chsdate">
        <w:smartTagPr>
          <w:attr w:name="Year" w:val="2005"/>
          <w:attr w:name="Month" w:val="5"/>
          <w:attr w:name="Day" w:val="4"/>
          <w:attr w:name="IsLunarDate" w:val="False"/>
          <w:attr w:name="IsROCDate" w:val="False"/>
        </w:smartTagPr>
        <w:r w:rsidRPr="003F6AF4">
          <w:rPr>
            <w:rFonts w:ascii="Times New Roman" w:eastAsia="標楷體" w:hAnsi="Times New Roman"/>
            <w:sz w:val="28"/>
            <w:szCs w:val="28"/>
          </w:rPr>
          <w:t>2005</w:t>
        </w:r>
        <w:r w:rsidRPr="003F6AF4">
          <w:rPr>
            <w:rFonts w:ascii="Times New Roman" w:eastAsia="標楷體" w:hAnsi="Times New Roman"/>
            <w:sz w:val="28"/>
            <w:szCs w:val="28"/>
          </w:rPr>
          <w:t>年</w:t>
        </w:r>
        <w:r w:rsidRPr="003F6AF4">
          <w:rPr>
            <w:rFonts w:ascii="Times New Roman" w:eastAsia="標楷體" w:hAnsi="Times New Roman"/>
            <w:sz w:val="28"/>
            <w:szCs w:val="28"/>
          </w:rPr>
          <w:t>5</w:t>
        </w:r>
        <w:r w:rsidRPr="003F6AF4">
          <w:rPr>
            <w:rFonts w:ascii="Times New Roman" w:eastAsia="標楷體" w:hAnsi="Times New Roman"/>
            <w:sz w:val="28"/>
            <w:szCs w:val="28"/>
          </w:rPr>
          <w:t>月</w:t>
        </w:r>
        <w:r w:rsidRPr="003F6AF4">
          <w:rPr>
            <w:rFonts w:ascii="Times New Roman" w:eastAsia="標楷體" w:hAnsi="Times New Roman"/>
            <w:sz w:val="28"/>
            <w:szCs w:val="28"/>
          </w:rPr>
          <w:t>4</w:t>
        </w:r>
        <w:r w:rsidRPr="003F6AF4">
          <w:rPr>
            <w:rFonts w:ascii="Times New Roman" w:eastAsia="標楷體" w:hAnsi="Times New Roman"/>
            <w:sz w:val="28"/>
            <w:szCs w:val="28"/>
          </w:rPr>
          <w:t>日</w:t>
        </w:r>
      </w:smartTag>
      <w:r w:rsidRPr="003F6AF4">
        <w:rPr>
          <w:rFonts w:ascii="Times New Roman" w:eastAsia="標楷體" w:hAnsi="Times New Roman"/>
          <w:sz w:val="28"/>
          <w:szCs w:val="28"/>
        </w:rPr>
        <w:t>公布「遲延交割」方案，允許外資投資人若遇特定情況如假日交錯、電信中斷、天然災害，得申報遲延交割至成交日後第三營業日下午六時；或證券商申報違約之最後期限延後為成交日後第三營業日。</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臺灣證券交易所另於</w:t>
      </w:r>
      <w:smartTag w:uri="urn:schemas-microsoft-com:office:smarttags" w:element="chsdate">
        <w:smartTagPr>
          <w:attr w:name="Year" w:val="1994"/>
          <w:attr w:name="Month" w:val="8"/>
          <w:attr w:name="Day" w:val="1"/>
          <w:attr w:name="IsLunarDate" w:val="False"/>
          <w:attr w:name="IsROCDate" w:val="False"/>
        </w:smartTagPr>
        <w:r w:rsidRPr="003F6AF4">
          <w:rPr>
            <w:rFonts w:ascii="Times New Roman" w:eastAsia="標楷體" w:hAnsi="Times New Roman"/>
            <w:sz w:val="28"/>
            <w:szCs w:val="28"/>
          </w:rPr>
          <w:t>94</w:t>
        </w:r>
        <w:r w:rsidRPr="003F6AF4">
          <w:rPr>
            <w:rFonts w:ascii="Times New Roman" w:eastAsia="標楷體" w:hAnsi="Times New Roman"/>
            <w:sz w:val="28"/>
            <w:szCs w:val="28"/>
          </w:rPr>
          <w:t>年</w:t>
        </w:r>
        <w:r w:rsidRPr="003F6AF4">
          <w:rPr>
            <w:rFonts w:ascii="Times New Roman" w:eastAsia="標楷體" w:hAnsi="Times New Roman"/>
            <w:sz w:val="28"/>
            <w:szCs w:val="28"/>
          </w:rPr>
          <w:t>8</w:t>
        </w:r>
        <w:r w:rsidRPr="003F6AF4">
          <w:rPr>
            <w:rFonts w:ascii="Times New Roman" w:eastAsia="標楷體" w:hAnsi="Times New Roman"/>
            <w:sz w:val="28"/>
            <w:szCs w:val="28"/>
          </w:rPr>
          <w:t>月</w:t>
        </w:r>
        <w:r w:rsidRPr="003F6AF4">
          <w:rPr>
            <w:rFonts w:ascii="Times New Roman" w:eastAsia="標楷體" w:hAnsi="Times New Roman"/>
            <w:sz w:val="28"/>
            <w:szCs w:val="28"/>
          </w:rPr>
          <w:t>1</w:t>
        </w:r>
        <w:r w:rsidRPr="003F6AF4">
          <w:rPr>
            <w:rFonts w:ascii="Times New Roman" w:eastAsia="標楷體" w:hAnsi="Times New Roman"/>
            <w:sz w:val="28"/>
            <w:szCs w:val="28"/>
          </w:rPr>
          <w:t>日</w:t>
        </w:r>
      </w:smartTag>
      <w:r w:rsidRPr="003F6AF4">
        <w:rPr>
          <w:rFonts w:ascii="Times New Roman" w:eastAsia="標楷體" w:hAnsi="Times New Roman"/>
          <w:sz w:val="28"/>
          <w:szCs w:val="28"/>
        </w:rPr>
        <w:t>修正該公司「營業細則」第</w:t>
      </w:r>
      <w:r w:rsidRPr="003F6AF4">
        <w:rPr>
          <w:rFonts w:ascii="Times New Roman" w:eastAsia="標楷體" w:hAnsi="Times New Roman"/>
          <w:sz w:val="28"/>
          <w:szCs w:val="28"/>
        </w:rPr>
        <w:t>76</w:t>
      </w:r>
      <w:r w:rsidRPr="003F6AF4">
        <w:rPr>
          <w:rFonts w:ascii="Times New Roman" w:eastAsia="標楷體" w:hAnsi="Times New Roman"/>
          <w:sz w:val="28"/>
          <w:szCs w:val="28"/>
        </w:rPr>
        <w:t>條，廢止投資人違約交割已結案未滿</w:t>
      </w:r>
      <w:r w:rsidRPr="003F6AF4">
        <w:rPr>
          <w:rFonts w:ascii="Times New Roman" w:eastAsia="標楷體" w:hAnsi="Times New Roman"/>
          <w:sz w:val="28"/>
          <w:szCs w:val="28"/>
        </w:rPr>
        <w:t>3</w:t>
      </w:r>
      <w:r w:rsidRPr="003F6AF4">
        <w:rPr>
          <w:rFonts w:ascii="Times New Roman" w:eastAsia="標楷體" w:hAnsi="Times New Roman"/>
          <w:sz w:val="28"/>
          <w:szCs w:val="28"/>
        </w:rPr>
        <w:t>年不得開戶買賣之規定。</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金管會分別於</w:t>
      </w:r>
      <w:r w:rsidRPr="003F6AF4">
        <w:rPr>
          <w:rFonts w:ascii="Times New Roman" w:eastAsia="標楷體" w:hAnsi="Times New Roman"/>
          <w:sz w:val="28"/>
          <w:szCs w:val="28"/>
        </w:rPr>
        <w:t>95</w:t>
      </w:r>
      <w:r w:rsidRPr="003F6AF4">
        <w:rPr>
          <w:rFonts w:ascii="Times New Roman" w:eastAsia="標楷體" w:hAnsi="Times New Roman"/>
          <w:sz w:val="28"/>
          <w:szCs w:val="28"/>
        </w:rPr>
        <w:t>年</w:t>
      </w:r>
      <w:r w:rsidRPr="003F6AF4">
        <w:rPr>
          <w:rFonts w:ascii="Times New Roman" w:eastAsia="標楷體" w:hAnsi="Times New Roman"/>
          <w:sz w:val="28"/>
          <w:szCs w:val="28"/>
        </w:rPr>
        <w:t>6</w:t>
      </w:r>
      <w:r w:rsidRPr="003F6AF4">
        <w:rPr>
          <w:rFonts w:ascii="Times New Roman" w:eastAsia="標楷體" w:hAnsi="Times New Roman"/>
          <w:sz w:val="28"/>
          <w:szCs w:val="28"/>
        </w:rPr>
        <w:t>月</w:t>
      </w:r>
      <w:r w:rsidRPr="003F6AF4">
        <w:rPr>
          <w:rFonts w:ascii="Times New Roman" w:eastAsia="標楷體" w:hAnsi="Times New Roman"/>
          <w:sz w:val="28"/>
          <w:szCs w:val="28"/>
        </w:rPr>
        <w:t>20</w:t>
      </w:r>
      <w:r w:rsidRPr="003F6AF4">
        <w:rPr>
          <w:rFonts w:ascii="Times New Roman" w:eastAsia="標楷體" w:hAnsi="Times New Roman"/>
          <w:sz w:val="28"/>
          <w:szCs w:val="28"/>
        </w:rPr>
        <w:t>日、</w:t>
      </w:r>
      <w:smartTag w:uri="urn:schemas-microsoft-com:office:smarttags" w:element="chsdate">
        <w:smartTagPr>
          <w:attr w:name="Year" w:val="2009"/>
          <w:attr w:name="Month" w:val="9"/>
          <w:attr w:name="Day" w:val="13"/>
          <w:attr w:name="IsLunarDate" w:val="False"/>
          <w:attr w:name="IsROCDate" w:val="False"/>
        </w:smartTagPr>
        <w:r w:rsidRPr="003F6AF4">
          <w:rPr>
            <w:rFonts w:ascii="Times New Roman" w:eastAsia="標楷體" w:hAnsi="Times New Roman"/>
            <w:sz w:val="28"/>
            <w:szCs w:val="28"/>
          </w:rPr>
          <w:t>9</w:t>
        </w:r>
        <w:r w:rsidRPr="003F6AF4">
          <w:rPr>
            <w:rFonts w:ascii="Times New Roman" w:eastAsia="標楷體" w:hAnsi="Times New Roman"/>
            <w:sz w:val="28"/>
            <w:szCs w:val="28"/>
          </w:rPr>
          <w:t>月</w:t>
        </w:r>
        <w:r w:rsidRPr="003F6AF4">
          <w:rPr>
            <w:rFonts w:ascii="Times New Roman" w:eastAsia="標楷體" w:hAnsi="Times New Roman"/>
            <w:sz w:val="28"/>
            <w:szCs w:val="28"/>
          </w:rPr>
          <w:t>13</w:t>
        </w:r>
        <w:r w:rsidRPr="003F6AF4">
          <w:rPr>
            <w:rFonts w:ascii="Times New Roman" w:eastAsia="標楷體" w:hAnsi="Times New Roman"/>
            <w:sz w:val="28"/>
            <w:szCs w:val="28"/>
          </w:rPr>
          <w:t>日</w:t>
        </w:r>
      </w:smartTag>
      <w:r w:rsidRPr="003F6AF4">
        <w:rPr>
          <w:rFonts w:ascii="Times New Roman" w:eastAsia="標楷體" w:hAnsi="Times New Roman"/>
          <w:sz w:val="28"/>
          <w:szCs w:val="28"/>
        </w:rPr>
        <w:t>及</w:t>
      </w:r>
      <w:smartTag w:uri="urn:schemas-microsoft-com:office:smarttags" w:element="chsdate">
        <w:smartTagPr>
          <w:attr w:name="Year" w:val="2009"/>
          <w:attr w:name="Month" w:val="11"/>
          <w:attr w:name="Day" w:val="15"/>
          <w:attr w:name="IsLunarDate" w:val="False"/>
          <w:attr w:name="IsROCDate" w:val="False"/>
        </w:smartTagPr>
        <w:r w:rsidRPr="003F6AF4">
          <w:rPr>
            <w:rFonts w:ascii="Times New Roman" w:eastAsia="標楷體" w:hAnsi="Times New Roman"/>
            <w:sz w:val="28"/>
            <w:szCs w:val="28"/>
          </w:rPr>
          <w:t>11</w:t>
        </w:r>
        <w:r w:rsidRPr="003F6AF4">
          <w:rPr>
            <w:rFonts w:ascii="Times New Roman" w:eastAsia="標楷體" w:hAnsi="Times New Roman"/>
            <w:sz w:val="28"/>
            <w:szCs w:val="28"/>
          </w:rPr>
          <w:t>月</w:t>
        </w:r>
        <w:r w:rsidRPr="003F6AF4">
          <w:rPr>
            <w:rFonts w:ascii="Times New Roman" w:eastAsia="標楷體" w:hAnsi="Times New Roman"/>
            <w:sz w:val="28"/>
            <w:szCs w:val="28"/>
          </w:rPr>
          <w:t>15</w:t>
        </w:r>
        <w:r w:rsidRPr="003F6AF4">
          <w:rPr>
            <w:rFonts w:ascii="Times New Roman" w:eastAsia="標楷體" w:hAnsi="Times New Roman"/>
            <w:sz w:val="28"/>
            <w:szCs w:val="28"/>
          </w:rPr>
          <w:t>日</w:t>
        </w:r>
      </w:smartTag>
      <w:r w:rsidRPr="003F6AF4">
        <w:rPr>
          <w:rFonts w:ascii="Times New Roman" w:eastAsia="標楷體" w:hAnsi="Times New Roman"/>
          <w:sz w:val="28"/>
          <w:szCs w:val="28"/>
        </w:rPr>
        <w:t>開放境外華僑及外國人得因購買上市、櫃有價證券交割需求，向證券商、證券金融事業及國內金融機構辦理資金融通。</w:t>
      </w:r>
    </w:p>
    <w:p w:rsidR="003F6AF4" w:rsidRPr="003F6AF4" w:rsidRDefault="003F6AF4" w:rsidP="003F6AF4">
      <w:pPr>
        <w:widowControl/>
        <w:numPr>
          <w:ilvl w:val="0"/>
          <w:numId w:val="10"/>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金管會業自</w:t>
      </w:r>
      <w:smartTag w:uri="urn:schemas-microsoft-com:office:smarttags" w:element="chsdate">
        <w:smartTagPr>
          <w:attr w:name="Year" w:val="1998"/>
          <w:attr w:name="Month" w:val="2"/>
          <w:attr w:name="Day" w:val="2"/>
          <w:attr w:name="IsLunarDate" w:val="False"/>
          <w:attr w:name="IsROCDate" w:val="False"/>
        </w:smartTagPr>
        <w:r w:rsidRPr="003F6AF4">
          <w:rPr>
            <w:rFonts w:ascii="Times New Roman" w:eastAsia="標楷體" w:hAnsi="Times New Roman"/>
            <w:sz w:val="28"/>
            <w:szCs w:val="28"/>
          </w:rPr>
          <w:t>98</w:t>
        </w:r>
        <w:r w:rsidRPr="003F6AF4">
          <w:rPr>
            <w:rFonts w:ascii="Times New Roman" w:eastAsia="標楷體" w:hAnsi="Times New Roman"/>
            <w:sz w:val="28"/>
            <w:szCs w:val="28"/>
          </w:rPr>
          <w:t>年</w:t>
        </w:r>
        <w:r w:rsidRPr="003F6AF4">
          <w:rPr>
            <w:rFonts w:ascii="Times New Roman" w:eastAsia="標楷體" w:hAnsi="Times New Roman"/>
            <w:sz w:val="28"/>
            <w:szCs w:val="28"/>
          </w:rPr>
          <w:t>2</w:t>
        </w:r>
        <w:r w:rsidRPr="003F6AF4">
          <w:rPr>
            <w:rFonts w:ascii="Times New Roman" w:eastAsia="標楷體" w:hAnsi="Times New Roman"/>
            <w:sz w:val="28"/>
            <w:szCs w:val="28"/>
          </w:rPr>
          <w:t>月</w:t>
        </w:r>
        <w:r w:rsidRPr="003F6AF4">
          <w:rPr>
            <w:rFonts w:ascii="Times New Roman" w:eastAsia="標楷體" w:hAnsi="Times New Roman"/>
            <w:sz w:val="28"/>
            <w:szCs w:val="28"/>
          </w:rPr>
          <w:t>2</w:t>
        </w:r>
        <w:r w:rsidRPr="003F6AF4">
          <w:rPr>
            <w:rFonts w:ascii="Times New Roman" w:eastAsia="標楷體" w:hAnsi="Times New Roman"/>
            <w:sz w:val="28"/>
            <w:szCs w:val="28"/>
          </w:rPr>
          <w:t>日</w:t>
        </w:r>
      </w:smartTag>
      <w:r w:rsidRPr="003F6AF4">
        <w:rPr>
          <w:rFonts w:ascii="Times New Roman" w:eastAsia="標楷體" w:hAnsi="Times New Roman"/>
          <w:sz w:val="28"/>
          <w:szCs w:val="28"/>
        </w:rPr>
        <w:t>起開始實施</w:t>
      </w:r>
      <w:r w:rsidRPr="003F6AF4">
        <w:rPr>
          <w:rFonts w:ascii="Times New Roman" w:eastAsia="標楷體" w:hAnsi="Times New Roman"/>
          <w:sz w:val="28"/>
          <w:szCs w:val="28"/>
        </w:rPr>
        <w:t>T+2</w:t>
      </w:r>
      <w:r w:rsidRPr="003F6AF4">
        <w:rPr>
          <w:rFonts w:ascii="Times New Roman" w:eastAsia="標楷體" w:hAnsi="Times New Roman"/>
          <w:sz w:val="28"/>
          <w:szCs w:val="28"/>
        </w:rPr>
        <w:t>款券同步交割（</w:t>
      </w:r>
      <w:r w:rsidRPr="003F6AF4">
        <w:rPr>
          <w:rFonts w:ascii="Times New Roman" w:eastAsia="標楷體" w:hAnsi="Times New Roman"/>
          <w:sz w:val="28"/>
          <w:szCs w:val="28"/>
        </w:rPr>
        <w:t>DVP</w:t>
      </w:r>
      <w:r w:rsidRPr="003F6AF4">
        <w:rPr>
          <w:rFonts w:ascii="Times New Roman" w:eastAsia="標楷體" w:hAnsi="Times New Roman"/>
          <w:sz w:val="28"/>
          <w:szCs w:val="28"/>
        </w:rPr>
        <w:t>）制度。</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w:t>
      </w:r>
      <w:r w:rsidRPr="003F6AF4">
        <w:rPr>
          <w:rFonts w:ascii="Times New Roman" w:eastAsia="標楷體" w:hAnsi="標楷體"/>
          <w:b/>
          <w:bCs/>
          <w:sz w:val="28"/>
          <w:szCs w:val="28"/>
        </w:rPr>
        <w:t>申請</w:t>
      </w:r>
      <w:r w:rsidRPr="003F6AF4">
        <w:rPr>
          <w:rFonts w:ascii="Times New Roman" w:eastAsia="標楷體" w:hAnsi="Times New Roman"/>
          <w:b/>
          <w:bCs/>
          <w:sz w:val="28"/>
          <w:szCs w:val="28"/>
        </w:rPr>
        <w:t>投資證券之限額及持股比例</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答：依「華僑及外國人投資證券管理辦法」，外國投資人區分為境外自然人及境外機構投資人二類。金管會已於</w:t>
      </w:r>
      <w:r w:rsidRPr="003F6AF4">
        <w:rPr>
          <w:rFonts w:ascii="Times New Roman" w:eastAsia="標楷體" w:hAnsi="Times New Roman"/>
          <w:sz w:val="28"/>
          <w:szCs w:val="28"/>
        </w:rPr>
        <w:t>97</w:t>
      </w:r>
      <w:r w:rsidRPr="003F6AF4">
        <w:rPr>
          <w:rFonts w:ascii="Times New Roman" w:eastAsia="標楷體" w:hAnsi="Times New Roman"/>
          <w:sz w:val="28"/>
          <w:szCs w:val="28"/>
        </w:rPr>
        <w:t>年</w:t>
      </w:r>
      <w:r w:rsidRPr="003F6AF4">
        <w:rPr>
          <w:rFonts w:ascii="Times New Roman" w:eastAsia="標楷體" w:hAnsi="Times New Roman"/>
          <w:sz w:val="28"/>
          <w:szCs w:val="28"/>
        </w:rPr>
        <w:t>10</w:t>
      </w:r>
      <w:r w:rsidRPr="003F6AF4">
        <w:rPr>
          <w:rFonts w:ascii="Times New Roman" w:eastAsia="標楷體" w:hAnsi="Times New Roman"/>
          <w:sz w:val="28"/>
          <w:szCs w:val="28"/>
        </w:rPr>
        <w:t>月</w:t>
      </w:r>
      <w:r w:rsidRPr="003F6AF4">
        <w:rPr>
          <w:rFonts w:ascii="Times New Roman" w:eastAsia="標楷體" w:hAnsi="Times New Roman"/>
          <w:sz w:val="28"/>
          <w:szCs w:val="28"/>
        </w:rPr>
        <w:t>20</w:t>
      </w:r>
      <w:r w:rsidRPr="003F6AF4">
        <w:rPr>
          <w:rFonts w:ascii="Times New Roman" w:eastAsia="標楷體" w:hAnsi="Times New Roman"/>
          <w:sz w:val="28"/>
          <w:szCs w:val="28"/>
        </w:rPr>
        <w:t>日公告取消境外華僑及外國自然人投資國內證券之限額規定。至外資持股比例限制，目前僅少數特定產業依法律規定仍然對外資持股有上限限制。</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外資之投資範圍</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答：外資投資台灣證券市場之投資範圍以下列為限：</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上市、上櫃公司及興櫃股票公司發行或私募之股票、債券換股權利證書及台灣存託憑證。</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證券投資信託基金受益憑證。</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政府債券、金融債券、普通公司債、轉換公司債及附認股權公司債。</w:t>
      </w:r>
      <w:r w:rsidRPr="003F6AF4">
        <w:rPr>
          <w:rFonts w:ascii="Times New Roman" w:eastAsia="標楷體" w:hAnsi="Times New Roman"/>
          <w:sz w:val="28"/>
          <w:szCs w:val="28"/>
        </w:rPr>
        <w:t xml:space="preserve"> </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受託機構公開招募或私募受益證券、特殊目的公司公開招募或私募資產基礎證券。</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認購</w:t>
      </w:r>
      <w:r w:rsidRPr="003F6AF4">
        <w:rPr>
          <w:rFonts w:ascii="Times New Roman" w:eastAsia="標楷體" w:hAnsi="Times New Roman"/>
          <w:sz w:val="28"/>
          <w:szCs w:val="28"/>
        </w:rPr>
        <w:t>(</w:t>
      </w:r>
      <w:r w:rsidRPr="003F6AF4">
        <w:rPr>
          <w:rFonts w:ascii="Times New Roman" w:eastAsia="標楷體" w:hAnsi="Times New Roman"/>
          <w:sz w:val="28"/>
          <w:szCs w:val="28"/>
        </w:rPr>
        <w:t>售</w:t>
      </w:r>
      <w:r w:rsidRPr="003F6AF4">
        <w:rPr>
          <w:rFonts w:ascii="Times New Roman" w:eastAsia="標楷體" w:hAnsi="Times New Roman"/>
          <w:sz w:val="28"/>
          <w:szCs w:val="28"/>
        </w:rPr>
        <w:t>)</w:t>
      </w:r>
      <w:r w:rsidRPr="003F6AF4">
        <w:rPr>
          <w:rFonts w:ascii="Times New Roman" w:eastAsia="標楷體" w:hAnsi="Times New Roman"/>
          <w:sz w:val="28"/>
          <w:szCs w:val="28"/>
        </w:rPr>
        <w:t>權證。</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其他經證券主管機關核定之有價證券，如初次上市前承銷之認購（售）權證、公開招募或私募之不動產投資信託及資產信託受益證券、期貨信託基金受益憑證、初次上市</w:t>
      </w:r>
      <w:r w:rsidRPr="003F6AF4">
        <w:rPr>
          <w:rFonts w:ascii="Times New Roman" w:eastAsia="標楷體" w:hAnsi="Times New Roman"/>
          <w:sz w:val="28"/>
          <w:szCs w:val="28"/>
        </w:rPr>
        <w:t>(</w:t>
      </w:r>
      <w:r w:rsidRPr="003F6AF4">
        <w:rPr>
          <w:rFonts w:ascii="Times New Roman" w:eastAsia="標楷體" w:hAnsi="Times New Roman"/>
          <w:sz w:val="28"/>
          <w:szCs w:val="28"/>
        </w:rPr>
        <w:t>櫃</w:t>
      </w:r>
      <w:r w:rsidRPr="003F6AF4">
        <w:rPr>
          <w:rFonts w:ascii="Times New Roman" w:eastAsia="標楷體" w:hAnsi="Times New Roman"/>
          <w:sz w:val="28"/>
          <w:szCs w:val="28"/>
        </w:rPr>
        <w:t>)</w:t>
      </w:r>
      <w:r w:rsidRPr="003F6AF4">
        <w:rPr>
          <w:rFonts w:ascii="Times New Roman" w:eastAsia="標楷體" w:hAnsi="Times New Roman"/>
          <w:sz w:val="28"/>
          <w:szCs w:val="28"/>
        </w:rPr>
        <w:lastRenderedPageBreak/>
        <w:t>前承銷、現金增資承銷股票、國際金融組織來台發行之新臺幣債券、上市或上櫃公司發行之特別股及外國企業來臺第一、第二上市（櫃）、興櫃公司發行之有價證券、外國企業來臺第一上市（櫃）公司及第二上市（櫃）公司上市（櫃）前承銷之股票或臺灣存託憑證，以及前揭公司現金增資承銷股票或再次發行之臺灣存託憑證、及外幣計價國際債券。</w:t>
      </w:r>
    </w:p>
    <w:p w:rsidR="003F6AF4" w:rsidRPr="003F6AF4" w:rsidRDefault="003F6AF4" w:rsidP="003F6AF4">
      <w:pPr>
        <w:widowControl/>
        <w:numPr>
          <w:ilvl w:val="0"/>
          <w:numId w:val="11"/>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另，依規定期限內匯入資金尚未投資於國內證券之運用（總額度上限不得超過其匯入資金之百分之三十）：</w:t>
      </w:r>
    </w:p>
    <w:p w:rsidR="003F6AF4" w:rsidRPr="003F6AF4" w:rsidRDefault="003F6AF4" w:rsidP="004F4AD8">
      <w:pPr>
        <w:pStyle w:val="2"/>
        <w:numPr>
          <w:ilvl w:val="1"/>
          <w:numId w:val="18"/>
        </w:numPr>
        <w:tabs>
          <w:tab w:val="left" w:pos="1418"/>
        </w:tabs>
        <w:spacing w:line="400" w:lineRule="exact"/>
        <w:ind w:leftChars="0" w:left="1418" w:rightChars="74" w:right="178" w:firstLineChars="0"/>
        <w:rPr>
          <w:rFonts w:ascii="Times New Roman" w:eastAsia="標楷體" w:hAnsi="Times New Roman"/>
          <w:sz w:val="28"/>
          <w:szCs w:val="28"/>
        </w:rPr>
      </w:pPr>
      <w:r w:rsidRPr="003F6AF4">
        <w:rPr>
          <w:rFonts w:ascii="Times New Roman" w:eastAsia="標楷體" w:hAnsi="Times New Roman"/>
          <w:sz w:val="28"/>
          <w:szCs w:val="28"/>
        </w:rPr>
        <w:t>投資於公債、</w:t>
      </w:r>
      <w:r w:rsidRPr="003F6AF4">
        <w:rPr>
          <w:rFonts w:ascii="Times New Roman" w:eastAsia="標楷體" w:hAnsi="Times New Roman" w:hint="eastAsia"/>
          <w:sz w:val="28"/>
          <w:szCs w:val="28"/>
        </w:rPr>
        <w:t>公司債、金融債券、</w:t>
      </w:r>
      <w:r w:rsidRPr="003F6AF4">
        <w:rPr>
          <w:rFonts w:ascii="Times New Roman" w:eastAsia="標楷體" w:hAnsi="Times New Roman"/>
          <w:sz w:val="28"/>
          <w:szCs w:val="28"/>
        </w:rPr>
        <w:t>貨幣市場工具、貨幣市場基金之總額度，</w:t>
      </w:r>
      <w:proofErr w:type="gramStart"/>
      <w:r w:rsidRPr="003F6AF4">
        <w:rPr>
          <w:rFonts w:ascii="Times New Roman" w:eastAsia="標楷體" w:hAnsi="Times New Roman"/>
          <w:sz w:val="28"/>
          <w:szCs w:val="28"/>
        </w:rPr>
        <w:t>併</w:t>
      </w:r>
      <w:proofErr w:type="gramEnd"/>
      <w:r w:rsidRPr="003F6AF4">
        <w:rPr>
          <w:rFonts w:ascii="Times New Roman" w:eastAsia="標楷體" w:hAnsi="Times New Roman"/>
          <w:sz w:val="28"/>
          <w:szCs w:val="28"/>
        </w:rPr>
        <w:t>計從事店頭新臺幣利率衍生性商品、店頭股權衍生性商品及轉換公司債資產交換</w:t>
      </w:r>
      <w:proofErr w:type="gramStart"/>
      <w:r w:rsidRPr="003F6AF4">
        <w:rPr>
          <w:rFonts w:ascii="Times New Roman" w:eastAsia="標楷體" w:hAnsi="Times New Roman"/>
          <w:sz w:val="28"/>
          <w:szCs w:val="28"/>
        </w:rPr>
        <w:t>選擇權端交易所</w:t>
      </w:r>
      <w:proofErr w:type="gramEnd"/>
      <w:r w:rsidRPr="003F6AF4">
        <w:rPr>
          <w:rFonts w:ascii="Times New Roman" w:eastAsia="標楷體" w:hAnsi="Times New Roman"/>
          <w:sz w:val="28"/>
          <w:szCs w:val="28"/>
        </w:rPr>
        <w:t>支付之新臺幣權利金、店頭結構型商品及交換結算差價淨支付金額。</w:t>
      </w:r>
      <w:r w:rsidR="004F4AD8" w:rsidRPr="004F4AD8">
        <w:rPr>
          <w:rFonts w:ascii="Times New Roman" w:eastAsia="標楷體" w:hAnsi="Times New Roman" w:hint="eastAsia"/>
          <w:color w:val="FF0000"/>
          <w:sz w:val="28"/>
          <w:szCs w:val="28"/>
          <w:u w:val="single"/>
        </w:rPr>
        <w:t>但投資私募轉換公司債不計入前揭總額度。</w:t>
      </w:r>
    </w:p>
    <w:p w:rsidR="003F6AF4" w:rsidRPr="003F6AF4" w:rsidRDefault="003F6AF4" w:rsidP="003F6AF4">
      <w:pPr>
        <w:pStyle w:val="2"/>
        <w:numPr>
          <w:ilvl w:val="1"/>
          <w:numId w:val="18"/>
        </w:numPr>
        <w:tabs>
          <w:tab w:val="left" w:pos="1418"/>
        </w:tabs>
        <w:spacing w:line="400" w:lineRule="exact"/>
        <w:ind w:leftChars="0" w:left="1418" w:rightChars="74" w:right="178" w:firstLineChars="0"/>
        <w:rPr>
          <w:rFonts w:ascii="Times New Roman" w:eastAsia="標楷體" w:hAnsi="Times New Roman"/>
          <w:sz w:val="28"/>
          <w:szCs w:val="28"/>
        </w:rPr>
      </w:pPr>
      <w:r w:rsidRPr="003F6AF4">
        <w:rPr>
          <w:rFonts w:ascii="Times New Roman" w:eastAsia="標楷體" w:hAnsi="Times New Roman"/>
          <w:sz w:val="28"/>
          <w:szCs w:val="28"/>
        </w:rPr>
        <w:t>投資於貨幣市場信用工具者，以距到期日九十天以內之票</w:t>
      </w:r>
      <w:proofErr w:type="gramStart"/>
      <w:r w:rsidRPr="003F6AF4">
        <w:rPr>
          <w:rFonts w:ascii="Times New Roman" w:eastAsia="標楷體" w:hAnsi="Times New Roman"/>
          <w:sz w:val="28"/>
          <w:szCs w:val="28"/>
        </w:rPr>
        <w:t>券</w:t>
      </w:r>
      <w:proofErr w:type="gramEnd"/>
      <w:r w:rsidRPr="003F6AF4">
        <w:rPr>
          <w:rFonts w:ascii="Times New Roman" w:eastAsia="標楷體" w:hAnsi="Times New Roman"/>
          <w:sz w:val="28"/>
          <w:szCs w:val="28"/>
        </w:rPr>
        <w:t>為限。</w:t>
      </w:r>
    </w:p>
    <w:p w:rsidR="003F6AF4" w:rsidRPr="003F6AF4" w:rsidRDefault="003F6AF4" w:rsidP="003F6AF4">
      <w:pPr>
        <w:pStyle w:val="2"/>
        <w:numPr>
          <w:ilvl w:val="1"/>
          <w:numId w:val="18"/>
        </w:numPr>
        <w:tabs>
          <w:tab w:val="left" w:pos="1418"/>
        </w:tabs>
        <w:spacing w:line="400" w:lineRule="exact"/>
        <w:ind w:leftChars="0" w:left="1418" w:rightChars="74" w:right="178" w:firstLineChars="0"/>
        <w:jc w:val="left"/>
        <w:rPr>
          <w:rFonts w:ascii="Times New Roman" w:eastAsia="標楷體" w:hAnsi="Times New Roman"/>
          <w:sz w:val="28"/>
          <w:szCs w:val="28"/>
        </w:rPr>
      </w:pPr>
      <w:r w:rsidRPr="003F6AF4">
        <w:rPr>
          <w:rFonts w:ascii="Times New Roman" w:eastAsia="標楷體" w:hAnsi="Times New Roman"/>
          <w:sz w:val="28"/>
          <w:szCs w:val="28"/>
        </w:rPr>
        <w:t>店頭新臺幣利率衍生性商品包括新臺幣遠期利率協定、利率交換及利率選擇權；店頭股權衍生性商品包括以新臺幣或外幣計價涉及臺股股權之選擇權及股權交換，暨以新臺幣或外幣計價涉及外國股權之選擇權及股權交換；店頭結構型商品包括以新臺幣或外幣計價連結國內、外股權與利率之商品。</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外資之本金、資本利得及其他投資收益之匯出規定</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依規定，外資經許可投資國內證券，其投資本金及投資收益，得申請結匯。外資投資國內證券所得之收益申請結匯，其資本利得及股票股利部分以已實現者為限。</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外資投資本金及收益申請結匯，應依管理外匯條例（中央銀行法規）等有關規定辦理結匯。</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t>外資投資收益之結匯，應檢附經稽徵機關核准委託代理申報及繳納稅捐之證明文件，依管理外匯條例等有關規定辦理結匯。</w:t>
      </w:r>
    </w:p>
    <w:p w:rsidR="003F6AF4" w:rsidRPr="003F6AF4" w:rsidRDefault="003F6AF4" w:rsidP="0040687A">
      <w:pPr>
        <w:widowControl/>
        <w:numPr>
          <w:ilvl w:val="0"/>
          <w:numId w:val="13"/>
        </w:numPr>
        <w:tabs>
          <w:tab w:val="clear" w:pos="1392"/>
          <w:tab w:val="num" w:pos="1134"/>
        </w:tabs>
        <w:snapToGrid w:val="0"/>
        <w:spacing w:line="400" w:lineRule="exact"/>
        <w:ind w:left="1134" w:rightChars="74" w:right="178" w:hanging="852"/>
        <w:jc w:val="both"/>
        <w:rPr>
          <w:rFonts w:ascii="Times New Roman" w:eastAsia="標楷體" w:hAnsi="Times New Roman"/>
          <w:sz w:val="28"/>
          <w:szCs w:val="28"/>
        </w:rPr>
      </w:pPr>
      <w:r w:rsidRPr="003F6AF4">
        <w:rPr>
          <w:rFonts w:ascii="Times New Roman" w:eastAsia="標楷體" w:hAnsi="Times New Roman"/>
          <w:sz w:val="28"/>
          <w:szCs w:val="28"/>
        </w:rPr>
        <w:lastRenderedPageBreak/>
        <w:t>外資向國內金融機構辦理新臺幣借款限供支付國內有價證券交割款項之用，不得申請結匯。</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上市、上櫃公司及興櫃股票公司海外員工出售配股是否需向何單位申請？國外員工出售配股後匯出時應提供何文件供銀行確認？</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bCs/>
          <w:sz w:val="28"/>
          <w:szCs w:val="28"/>
        </w:rPr>
      </w:pPr>
      <w:r w:rsidRPr="003F6AF4">
        <w:rPr>
          <w:rFonts w:ascii="Times New Roman" w:eastAsia="標楷體" w:hAnsi="Times New Roman"/>
          <w:bCs/>
          <w:sz w:val="28"/>
          <w:szCs w:val="28"/>
        </w:rPr>
        <w:t>答：</w:t>
      </w:r>
    </w:p>
    <w:p w:rsidR="003F6AF4" w:rsidRPr="003F6AF4" w:rsidRDefault="003F6AF4" w:rsidP="0040687A">
      <w:pPr>
        <w:widowControl/>
        <w:numPr>
          <w:ilvl w:val="0"/>
          <w:numId w:val="12"/>
        </w:numPr>
        <w:tabs>
          <w:tab w:val="clear" w:pos="1392"/>
          <w:tab w:val="num" w:pos="1080"/>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有關上市、上櫃公司及興櫃股票公司海外員工配股及出售配股事宜，無須向證券期貨局或經濟部投審會申請；上市公司部分，依「臺灣證券交易所股份有限公司營業細則」第</w:t>
      </w:r>
      <w:r w:rsidRPr="003F6AF4">
        <w:rPr>
          <w:rFonts w:ascii="Times New Roman" w:eastAsia="標楷體" w:hAnsi="Times New Roman"/>
          <w:sz w:val="28"/>
          <w:szCs w:val="28"/>
        </w:rPr>
        <w:t>77</w:t>
      </w:r>
      <w:r w:rsidRPr="003F6AF4">
        <w:rPr>
          <w:rFonts w:ascii="Times New Roman" w:eastAsia="標楷體" w:hAnsi="Times New Roman"/>
          <w:sz w:val="28"/>
          <w:szCs w:val="28"/>
        </w:rPr>
        <w:t>條第</w:t>
      </w:r>
      <w:r w:rsidRPr="003F6AF4">
        <w:rPr>
          <w:rFonts w:ascii="Times New Roman" w:eastAsia="標楷體" w:hAnsi="Times New Roman"/>
          <w:sz w:val="28"/>
          <w:szCs w:val="28"/>
        </w:rPr>
        <w:t>1</w:t>
      </w:r>
      <w:r w:rsidRPr="003F6AF4">
        <w:rPr>
          <w:rFonts w:ascii="Times New Roman" w:eastAsia="標楷體" w:hAnsi="Times New Roman"/>
          <w:sz w:val="28"/>
          <w:szCs w:val="28"/>
        </w:rPr>
        <w:t>項第</w:t>
      </w:r>
      <w:r w:rsidRPr="003F6AF4">
        <w:rPr>
          <w:rFonts w:ascii="Times New Roman" w:eastAsia="標楷體" w:hAnsi="Times New Roman"/>
          <w:sz w:val="28"/>
          <w:szCs w:val="28"/>
        </w:rPr>
        <w:t>2</w:t>
      </w:r>
      <w:r w:rsidRPr="003F6AF4">
        <w:rPr>
          <w:rFonts w:ascii="Times New Roman" w:eastAsia="標楷體" w:hAnsi="Times New Roman"/>
          <w:sz w:val="28"/>
          <w:szCs w:val="28"/>
        </w:rPr>
        <w:t>款規定，上櫃公司及興櫃股票公司部分，依「財團法人中華民國證券櫃檯買賣中心證券商營業處所買賣有價證券業務規則」第</w:t>
      </w:r>
      <w:r w:rsidRPr="003F6AF4">
        <w:rPr>
          <w:rFonts w:ascii="Times New Roman" w:eastAsia="標楷體" w:hAnsi="Times New Roman"/>
          <w:sz w:val="28"/>
          <w:szCs w:val="28"/>
        </w:rPr>
        <w:t>46</w:t>
      </w:r>
      <w:r w:rsidRPr="003F6AF4">
        <w:rPr>
          <w:rFonts w:ascii="Times New Roman" w:eastAsia="標楷體" w:hAnsi="Times New Roman"/>
          <w:sz w:val="28"/>
          <w:szCs w:val="28"/>
        </w:rPr>
        <w:t>條第</w:t>
      </w:r>
      <w:r w:rsidRPr="003F6AF4">
        <w:rPr>
          <w:rFonts w:ascii="Times New Roman" w:eastAsia="標楷體" w:hAnsi="Times New Roman"/>
          <w:sz w:val="28"/>
          <w:szCs w:val="28"/>
        </w:rPr>
        <w:t>1</w:t>
      </w:r>
      <w:r w:rsidRPr="003F6AF4">
        <w:rPr>
          <w:rFonts w:ascii="Times New Roman" w:eastAsia="標楷體" w:hAnsi="Times New Roman"/>
          <w:sz w:val="28"/>
          <w:szCs w:val="28"/>
        </w:rPr>
        <w:t>項第</w:t>
      </w:r>
      <w:r w:rsidRPr="003F6AF4">
        <w:rPr>
          <w:rFonts w:ascii="Times New Roman" w:eastAsia="標楷體" w:hAnsi="Times New Roman"/>
          <w:sz w:val="28"/>
          <w:szCs w:val="28"/>
        </w:rPr>
        <w:t>2</w:t>
      </w:r>
      <w:r w:rsidRPr="003F6AF4">
        <w:rPr>
          <w:rFonts w:ascii="Times New Roman" w:eastAsia="標楷體" w:hAnsi="Times New Roman"/>
          <w:sz w:val="28"/>
          <w:szCs w:val="28"/>
        </w:rPr>
        <w:t>款規定，檢具本人護照影本及相關文件向證券商開戶賣出股票。</w:t>
      </w:r>
    </w:p>
    <w:p w:rsidR="003F6AF4" w:rsidRPr="003F6AF4" w:rsidRDefault="003F6AF4" w:rsidP="0040687A">
      <w:pPr>
        <w:widowControl/>
        <w:numPr>
          <w:ilvl w:val="0"/>
          <w:numId w:val="12"/>
        </w:numPr>
        <w:tabs>
          <w:tab w:val="clear" w:pos="1392"/>
          <w:tab w:val="num" w:pos="1080"/>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至於售出配股匯出及應檢附文件乙節，應依據中央銀行外匯局「銀行業輔導客戶申報外匯收支或交易應注意事項」第</w:t>
      </w:r>
      <w:r w:rsidRPr="003F6AF4">
        <w:rPr>
          <w:rFonts w:ascii="Times New Roman" w:eastAsia="標楷體" w:hAnsi="Times New Roman"/>
          <w:sz w:val="28"/>
          <w:szCs w:val="28"/>
        </w:rPr>
        <w:t>5</w:t>
      </w:r>
      <w:r w:rsidRPr="003F6AF4">
        <w:rPr>
          <w:rFonts w:ascii="Times New Roman" w:eastAsia="標楷體" w:hAnsi="Times New Roman"/>
          <w:sz w:val="28"/>
          <w:szCs w:val="28"/>
        </w:rPr>
        <w:t>點第</w:t>
      </w:r>
      <w:r w:rsidRPr="003F6AF4">
        <w:rPr>
          <w:rFonts w:ascii="Times New Roman" w:eastAsia="標楷體" w:hAnsi="Times New Roman"/>
          <w:sz w:val="28"/>
          <w:szCs w:val="28"/>
        </w:rPr>
        <w:t>5</w:t>
      </w:r>
      <w:r w:rsidRPr="003F6AF4">
        <w:rPr>
          <w:rFonts w:ascii="Times New Roman" w:eastAsia="標楷體" w:hAnsi="Times New Roman"/>
          <w:sz w:val="28"/>
          <w:szCs w:val="28"/>
        </w:rPr>
        <w:t>項規定，由上開公司填報申報書及出售股票清冊後辦理匯出出售公司股票價款。</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外資如何行使股東權利</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境外外國機構投資人持有公開發行公司之股份者，其表決權之行使方式如下：</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依公司法第</w:t>
      </w:r>
      <w:r w:rsidRPr="003F6AF4">
        <w:rPr>
          <w:rFonts w:ascii="Times New Roman" w:eastAsia="標楷體" w:hAnsi="Times New Roman"/>
          <w:sz w:val="28"/>
          <w:szCs w:val="28"/>
        </w:rPr>
        <w:t>177</w:t>
      </w:r>
      <w:r w:rsidRPr="003F6AF4">
        <w:rPr>
          <w:rFonts w:ascii="Times New Roman" w:eastAsia="標楷體" w:hAnsi="Times New Roman"/>
          <w:sz w:val="28"/>
          <w:szCs w:val="28"/>
        </w:rPr>
        <w:t>條之</w:t>
      </w:r>
      <w:r w:rsidRPr="003F6AF4">
        <w:rPr>
          <w:rFonts w:ascii="Times New Roman" w:eastAsia="標楷體" w:hAnsi="Times New Roman"/>
          <w:sz w:val="28"/>
          <w:szCs w:val="28"/>
        </w:rPr>
        <w:t>1</w:t>
      </w:r>
      <w:r w:rsidRPr="003F6AF4">
        <w:rPr>
          <w:rFonts w:ascii="Times New Roman" w:eastAsia="標楷體" w:hAnsi="Times New Roman"/>
          <w:sz w:val="28"/>
          <w:szCs w:val="28"/>
        </w:rPr>
        <w:t>規定以書面或電子方式行使；</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指派符合「公開發行股票公司股務處理準則」第</w:t>
      </w:r>
      <w:r w:rsidRPr="003F6AF4">
        <w:rPr>
          <w:rFonts w:ascii="Times New Roman" w:eastAsia="標楷體" w:hAnsi="Times New Roman"/>
          <w:sz w:val="28"/>
          <w:szCs w:val="28"/>
        </w:rPr>
        <w:t>3</w:t>
      </w:r>
      <w:r w:rsidRPr="003F6AF4">
        <w:rPr>
          <w:rFonts w:ascii="Times New Roman" w:eastAsia="標楷體" w:hAnsi="Times New Roman"/>
          <w:sz w:val="28"/>
          <w:szCs w:val="28"/>
        </w:rPr>
        <w:t>條第</w:t>
      </w:r>
      <w:r w:rsidRPr="003F6AF4">
        <w:rPr>
          <w:rFonts w:ascii="Times New Roman" w:eastAsia="標楷體" w:hAnsi="Times New Roman"/>
          <w:sz w:val="28"/>
          <w:szCs w:val="28"/>
        </w:rPr>
        <w:t>2</w:t>
      </w:r>
      <w:r w:rsidRPr="003F6AF4">
        <w:rPr>
          <w:rFonts w:ascii="Times New Roman" w:eastAsia="標楷體" w:hAnsi="Times New Roman"/>
          <w:sz w:val="28"/>
          <w:szCs w:val="28"/>
        </w:rPr>
        <w:t>項規定條件之公司行使之；</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指派國內代理人或代表人出席行使之；</w:t>
      </w:r>
    </w:p>
    <w:p w:rsidR="003F6AF4" w:rsidRPr="003F6AF4" w:rsidRDefault="003F6AF4" w:rsidP="0040687A">
      <w:pPr>
        <w:numPr>
          <w:ilvl w:val="3"/>
          <w:numId w:val="14"/>
        </w:numPr>
        <w:tabs>
          <w:tab w:val="clear" w:pos="1920"/>
          <w:tab w:val="num" w:pos="1418"/>
        </w:tabs>
        <w:spacing w:line="400" w:lineRule="exact"/>
        <w:ind w:left="1418" w:rightChars="74" w:right="178" w:hanging="482"/>
        <w:rPr>
          <w:rFonts w:ascii="Times New Roman" w:eastAsia="標楷體" w:hAnsi="Times New Roman"/>
          <w:sz w:val="28"/>
          <w:szCs w:val="28"/>
        </w:rPr>
      </w:pPr>
      <w:r w:rsidRPr="003F6AF4">
        <w:rPr>
          <w:rFonts w:ascii="Times New Roman" w:eastAsia="標楷體" w:hAnsi="Times New Roman"/>
          <w:sz w:val="28"/>
          <w:szCs w:val="28"/>
        </w:rPr>
        <w:t>由指定之國內代理人或代表人依境外外國機構投資人之授權，指派國內代理人或代表人以外之人出席行使之。</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境外外國機構投資人指派符合前項</w:t>
      </w:r>
      <w:r w:rsidRPr="003F6AF4">
        <w:rPr>
          <w:rFonts w:ascii="Times New Roman" w:eastAsia="標楷體" w:hAnsi="Times New Roman"/>
          <w:sz w:val="28"/>
          <w:szCs w:val="28"/>
        </w:rPr>
        <w:t>2</w:t>
      </w:r>
      <w:r w:rsidRPr="003F6AF4">
        <w:rPr>
          <w:rFonts w:ascii="Times New Roman" w:eastAsia="標楷體" w:hAnsi="Times New Roman"/>
          <w:sz w:val="28"/>
          <w:szCs w:val="28"/>
        </w:rPr>
        <w:t>之公司或</w:t>
      </w:r>
      <w:r w:rsidRPr="003F6AF4">
        <w:rPr>
          <w:rFonts w:ascii="Times New Roman" w:eastAsia="標楷體" w:hAnsi="Times New Roman"/>
          <w:sz w:val="28"/>
          <w:szCs w:val="28"/>
        </w:rPr>
        <w:t>3</w:t>
      </w:r>
      <w:r w:rsidRPr="003F6AF4">
        <w:rPr>
          <w:rFonts w:ascii="Times New Roman" w:eastAsia="標楷體" w:hAnsi="Times New Roman"/>
          <w:sz w:val="28"/>
          <w:szCs w:val="28"/>
        </w:rPr>
        <w:t>、</w:t>
      </w:r>
      <w:r w:rsidRPr="003F6AF4">
        <w:rPr>
          <w:rFonts w:ascii="Times New Roman" w:eastAsia="標楷體" w:hAnsi="Times New Roman"/>
          <w:sz w:val="28"/>
          <w:szCs w:val="28"/>
        </w:rPr>
        <w:t>4</w:t>
      </w:r>
      <w:r w:rsidRPr="003F6AF4">
        <w:rPr>
          <w:rFonts w:ascii="Times New Roman" w:eastAsia="標楷體" w:hAnsi="Times New Roman"/>
          <w:sz w:val="28"/>
          <w:szCs w:val="28"/>
        </w:rPr>
        <w:t>之人員出席股東會，均應於指派書上就各項議案行使表決權之指示予以明確載明。</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境外外國機構投資人不得將公司印發之委託書交付徵求人或受託代理人。</w:t>
      </w:r>
    </w:p>
    <w:p w:rsidR="003F6AF4" w:rsidRPr="003F6AF4" w:rsidRDefault="003F6AF4" w:rsidP="0040687A">
      <w:pPr>
        <w:widowControl/>
        <w:numPr>
          <w:ilvl w:val="0"/>
          <w:numId w:val="14"/>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lastRenderedPageBreak/>
        <w:t>國外各類基金、國外金融機構或存託機構，符合「公開發行公司股東分別行使表決權作業及遵行事項辦法」第</w:t>
      </w:r>
      <w:r w:rsidRPr="003F6AF4">
        <w:rPr>
          <w:rFonts w:ascii="Times New Roman" w:eastAsia="標楷體" w:hAnsi="Times New Roman"/>
          <w:sz w:val="28"/>
          <w:szCs w:val="28"/>
        </w:rPr>
        <w:t>3</w:t>
      </w:r>
      <w:r w:rsidRPr="003F6AF4">
        <w:rPr>
          <w:rFonts w:ascii="Times New Roman" w:eastAsia="標楷體" w:hAnsi="Times New Roman"/>
          <w:sz w:val="28"/>
          <w:szCs w:val="28"/>
        </w:rPr>
        <w:t>條規定之資格條件者，得依該辦法規定於股東會開會</w:t>
      </w:r>
      <w:r w:rsidRPr="003F6AF4">
        <w:rPr>
          <w:rFonts w:ascii="Times New Roman" w:eastAsia="標楷體" w:hAnsi="Times New Roman"/>
          <w:sz w:val="28"/>
          <w:szCs w:val="28"/>
        </w:rPr>
        <w:t>5</w:t>
      </w:r>
      <w:r w:rsidRPr="003F6AF4">
        <w:rPr>
          <w:rFonts w:ascii="Times New Roman" w:eastAsia="標楷體" w:hAnsi="Times New Roman"/>
          <w:sz w:val="28"/>
          <w:szCs w:val="28"/>
        </w:rPr>
        <w:t>日前向公司提出分別行使表決權申請後採分割投票。</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外資投資貨幣市場工具之限制</w:t>
      </w:r>
    </w:p>
    <w:p w:rsidR="003F6AF4" w:rsidRPr="003F6AF4" w:rsidRDefault="003F6AF4" w:rsidP="0040687A">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答：政府開放外資投資國內證券市場是希望外資以投資集中交易市場證券為主，投資於短期貨幣市場工具為短期資金調度需要（詳見第二題）。</w:t>
      </w:r>
      <w:r w:rsidRPr="003F6AF4">
        <w:rPr>
          <w:rFonts w:ascii="Times New Roman" w:eastAsia="標楷體" w:hAnsi="Times New Roman"/>
          <w:sz w:val="28"/>
          <w:szCs w:val="28"/>
        </w:rPr>
        <w:t>30%</w:t>
      </w:r>
      <w:r w:rsidRPr="003F6AF4">
        <w:rPr>
          <w:rFonts w:ascii="Times New Roman" w:eastAsia="標楷體" w:hAnsi="Times New Roman"/>
          <w:sz w:val="28"/>
          <w:szCs w:val="28"/>
        </w:rPr>
        <w:t>上限投資於短期貨幣市場工具應足以因應資金調度需要，故目前暫無提高</w:t>
      </w:r>
      <w:r w:rsidRPr="003F6AF4">
        <w:rPr>
          <w:rFonts w:ascii="Times New Roman" w:eastAsia="標楷體" w:hAnsi="Times New Roman"/>
          <w:sz w:val="28"/>
          <w:szCs w:val="28"/>
        </w:rPr>
        <w:t>30%</w:t>
      </w:r>
      <w:r w:rsidRPr="003F6AF4">
        <w:rPr>
          <w:rFonts w:ascii="Times New Roman" w:eastAsia="標楷體" w:hAnsi="Times New Roman"/>
          <w:sz w:val="28"/>
          <w:szCs w:val="28"/>
        </w:rPr>
        <w:t>上限的計畫。</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外資投資資料之揭露</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答：個別外資投資之資料，係屬投資人之投資行為，金管會不對外揭露，但外資仍有申報之義務。</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外資投資當地股票有無閉鎖期之限制</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sz w:val="28"/>
          <w:szCs w:val="28"/>
        </w:rPr>
      </w:pPr>
      <w:r w:rsidRPr="003F6AF4">
        <w:rPr>
          <w:rFonts w:ascii="Times New Roman" w:eastAsia="標楷體" w:hAnsi="Times New Roman"/>
          <w:sz w:val="28"/>
          <w:szCs w:val="28"/>
        </w:rPr>
        <w:t>答：現行規定，外資投資台灣證券市場，所持有股票之買賣並無須持有一定期限之限制。</w:t>
      </w:r>
    </w:p>
    <w:p w:rsidR="003F6AF4" w:rsidRPr="003F6AF4" w:rsidRDefault="003F6AF4" w:rsidP="003F6AF4">
      <w:pPr>
        <w:widowControl/>
        <w:numPr>
          <w:ilvl w:val="1"/>
          <w:numId w:val="8"/>
        </w:numPr>
        <w:tabs>
          <w:tab w:val="clear" w:pos="1200"/>
          <w:tab w:val="num" w:pos="738"/>
        </w:tabs>
        <w:snapToGrid w:val="0"/>
        <w:spacing w:beforeLines="50" w:before="180" w:line="400" w:lineRule="exact"/>
        <w:ind w:left="737" w:rightChars="74" w:right="178" w:hanging="737"/>
        <w:jc w:val="both"/>
        <w:rPr>
          <w:rFonts w:ascii="Times New Roman" w:eastAsia="標楷體" w:hAnsi="Times New Roman"/>
          <w:b/>
          <w:bCs/>
          <w:sz w:val="28"/>
          <w:szCs w:val="28"/>
        </w:rPr>
      </w:pPr>
      <w:r w:rsidRPr="003F6AF4">
        <w:rPr>
          <w:rFonts w:ascii="Times New Roman" w:eastAsia="標楷體" w:hAnsi="Times New Roman"/>
          <w:b/>
          <w:bCs/>
          <w:sz w:val="28"/>
          <w:szCs w:val="28"/>
        </w:rPr>
        <w:t>場外交易</w:t>
      </w:r>
      <w:r w:rsidRPr="003F6AF4">
        <w:rPr>
          <w:rFonts w:ascii="Times New Roman" w:eastAsia="標楷體" w:hAnsi="Times New Roman"/>
          <w:b/>
          <w:bCs/>
          <w:sz w:val="28"/>
          <w:szCs w:val="28"/>
        </w:rPr>
        <w:t xml:space="preserve"> </w:t>
      </w:r>
    </w:p>
    <w:p w:rsidR="003F6AF4" w:rsidRPr="003F6AF4" w:rsidRDefault="003F6AF4" w:rsidP="003F6AF4">
      <w:pPr>
        <w:snapToGrid w:val="0"/>
        <w:spacing w:line="400" w:lineRule="exact"/>
        <w:ind w:leftChars="100" w:left="240" w:rightChars="74" w:right="178"/>
        <w:jc w:val="both"/>
        <w:rPr>
          <w:rFonts w:ascii="Times New Roman" w:eastAsia="標楷體" w:hAnsi="Times New Roman"/>
          <w:sz w:val="28"/>
          <w:szCs w:val="28"/>
        </w:rPr>
      </w:pPr>
      <w:r w:rsidRPr="003F6AF4">
        <w:rPr>
          <w:rFonts w:ascii="Times New Roman" w:eastAsia="標楷體" w:hAnsi="Times New Roman"/>
          <w:sz w:val="28"/>
          <w:szCs w:val="28"/>
        </w:rPr>
        <w:t>答：</w:t>
      </w:r>
      <w:r w:rsidRPr="003F6AF4">
        <w:rPr>
          <w:rFonts w:ascii="Times New Roman" w:eastAsia="標楷體" w:hAnsi="Times New Roman"/>
          <w:sz w:val="28"/>
          <w:szCs w:val="28"/>
        </w:rPr>
        <w:t xml:space="preserve"> </w:t>
      </w:r>
    </w:p>
    <w:p w:rsidR="003F6AF4" w:rsidRPr="003F6AF4" w:rsidRDefault="003F6AF4" w:rsidP="0040687A">
      <w:pPr>
        <w:widowControl/>
        <w:numPr>
          <w:ilvl w:val="0"/>
          <w:numId w:val="15"/>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證交法第一五０條規定，上市有價證券之買賣，應於證券交易所開設之有價證券集中交易市場為之。但該條文第四款亦授權主管機關得規範允許場外交易之例外情況，例如經濟部投審會依外國人投資條例核准讓售予其他外國人之外資亦可採場外交易。歷年來已有多家外資藉此管道投資台股。</w:t>
      </w:r>
    </w:p>
    <w:p w:rsidR="003F6AF4" w:rsidRPr="003F6AF4" w:rsidRDefault="003F6AF4" w:rsidP="0040687A">
      <w:pPr>
        <w:widowControl/>
        <w:numPr>
          <w:ilvl w:val="0"/>
          <w:numId w:val="15"/>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t>現行規定，上櫃股票可進行場外交易，但經依華僑及外國人投資證券管理辦法核准或登記之華僑及外國人，其所買賣之上櫃股票為依法經各該目的事業主管機關訂有投資比例上限者，應透過櫃檯買賣中心之交易系統買賣。惟受此規範之上櫃股票為數甚少，大部分之上櫃股票，外資亦可與證券商以議價之方式進行交易。</w:t>
      </w:r>
    </w:p>
    <w:p w:rsidR="003F6AF4" w:rsidRPr="003F6AF4" w:rsidRDefault="003F6AF4" w:rsidP="0040687A">
      <w:pPr>
        <w:widowControl/>
        <w:numPr>
          <w:ilvl w:val="0"/>
          <w:numId w:val="15"/>
        </w:numPr>
        <w:tabs>
          <w:tab w:val="clear" w:pos="1392"/>
          <w:tab w:val="num" w:pos="1134"/>
        </w:tabs>
        <w:snapToGrid w:val="0"/>
        <w:spacing w:line="400" w:lineRule="exact"/>
        <w:ind w:leftChars="102" w:left="1133" w:rightChars="74" w:right="178" w:hanging="888"/>
        <w:jc w:val="both"/>
        <w:rPr>
          <w:rFonts w:ascii="Times New Roman" w:eastAsia="標楷體" w:hAnsi="Times New Roman"/>
          <w:sz w:val="28"/>
          <w:szCs w:val="28"/>
        </w:rPr>
      </w:pPr>
      <w:r w:rsidRPr="003F6AF4">
        <w:rPr>
          <w:rFonts w:ascii="Times New Roman" w:eastAsia="標楷體" w:hAnsi="Times New Roman"/>
          <w:sz w:val="28"/>
          <w:szCs w:val="28"/>
        </w:rPr>
        <w:lastRenderedPageBreak/>
        <w:t>目前集中交易市場收盤後，尚提供鉅額配對、拍賣、標購等交易制度，其交易價格具有相當彈性，可滿足投資人之需求。</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我國鉅額交易制度之近期主要調整內容</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sz w:val="28"/>
          <w:szCs w:val="28"/>
        </w:rPr>
      </w:pPr>
      <w:r w:rsidRPr="003F6AF4">
        <w:rPr>
          <w:rFonts w:ascii="Times New Roman" w:eastAsia="標楷體" w:hAnsi="Times New Roman"/>
          <w:sz w:val="28"/>
          <w:szCs w:val="28"/>
        </w:rPr>
        <w:t>答：為簡化鉅額買賣之控管，符合鉅額買賣投資人需求，取消鉅額交易成交日交割期，並配合刪除證券商受託以鉅額買賣申報賣出有價證券時，應檢核委託人之集保帳戶之規定，及上市證券除息或除權交易日暨次一營業日暫停鉅額交易買賣申報之限制，該措施自</w:t>
      </w:r>
      <w:r w:rsidRPr="003F6AF4">
        <w:rPr>
          <w:rFonts w:ascii="Times New Roman" w:eastAsia="標楷體" w:hAnsi="Times New Roman"/>
          <w:sz w:val="28"/>
          <w:szCs w:val="28"/>
        </w:rPr>
        <w:t>100</w:t>
      </w:r>
      <w:r w:rsidRPr="003F6AF4">
        <w:rPr>
          <w:rFonts w:ascii="Times New Roman" w:eastAsia="標楷體" w:hAnsi="Times New Roman"/>
          <w:sz w:val="28"/>
          <w:szCs w:val="28"/>
        </w:rPr>
        <w:t>年</w:t>
      </w:r>
      <w:r w:rsidRPr="003F6AF4">
        <w:rPr>
          <w:rFonts w:ascii="Times New Roman" w:eastAsia="標楷體" w:hAnsi="Times New Roman"/>
          <w:sz w:val="28"/>
          <w:szCs w:val="28"/>
        </w:rPr>
        <w:t>12</w:t>
      </w:r>
      <w:r w:rsidRPr="003F6AF4">
        <w:rPr>
          <w:rFonts w:ascii="Times New Roman" w:eastAsia="標楷體" w:hAnsi="Times New Roman"/>
          <w:sz w:val="28"/>
          <w:szCs w:val="28"/>
        </w:rPr>
        <w:t>月</w:t>
      </w:r>
      <w:r w:rsidRPr="003F6AF4">
        <w:rPr>
          <w:rFonts w:ascii="Times New Roman" w:eastAsia="標楷體" w:hAnsi="Times New Roman"/>
          <w:sz w:val="28"/>
          <w:szCs w:val="28"/>
        </w:rPr>
        <w:t>19</w:t>
      </w:r>
      <w:r w:rsidRPr="003F6AF4">
        <w:rPr>
          <w:rFonts w:ascii="Times New Roman" w:eastAsia="標楷體" w:hAnsi="Times New Roman"/>
          <w:sz w:val="28"/>
          <w:szCs w:val="28"/>
        </w:rPr>
        <w:t>日實施。</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有關外資持股比例之限制</w:t>
      </w:r>
    </w:p>
    <w:p w:rsidR="003F6AF4" w:rsidRPr="003F6AF4" w:rsidRDefault="003F6AF4" w:rsidP="003F6AF4">
      <w:pPr>
        <w:snapToGrid w:val="0"/>
        <w:spacing w:line="400" w:lineRule="exact"/>
        <w:ind w:leftChars="100" w:left="800" w:rightChars="74" w:right="178" w:hangingChars="200" w:hanging="560"/>
        <w:jc w:val="both"/>
        <w:rPr>
          <w:rFonts w:ascii="Times New Roman" w:eastAsia="標楷體" w:hAnsi="Times New Roman"/>
          <w:sz w:val="28"/>
          <w:szCs w:val="28"/>
        </w:rPr>
      </w:pPr>
      <w:r w:rsidRPr="003F6AF4">
        <w:rPr>
          <w:rFonts w:ascii="Times New Roman" w:eastAsia="標楷體" w:hAnsi="Times New Roman"/>
          <w:sz w:val="28"/>
          <w:szCs w:val="28"/>
        </w:rPr>
        <w:t>答：我國已於</w:t>
      </w:r>
      <w:smartTag w:uri="urn:schemas-microsoft-com:office:smarttags" w:element="chsdate">
        <w:smartTagPr>
          <w:attr w:name="IsROCDate" w:val="False"/>
          <w:attr w:name="IsLunarDate" w:val="False"/>
          <w:attr w:name="Day" w:val="30"/>
          <w:attr w:name="Month" w:val="12"/>
          <w:attr w:name="Year" w:val="1989"/>
        </w:smartTagPr>
        <w:r w:rsidRPr="003F6AF4">
          <w:rPr>
            <w:rFonts w:ascii="Times New Roman" w:eastAsia="標楷體" w:hAnsi="Times New Roman"/>
            <w:sz w:val="28"/>
            <w:szCs w:val="28"/>
          </w:rPr>
          <w:t>89</w:t>
        </w:r>
        <w:r w:rsidRPr="003F6AF4">
          <w:rPr>
            <w:rFonts w:ascii="Times New Roman" w:eastAsia="標楷體" w:hAnsi="Times New Roman"/>
            <w:sz w:val="28"/>
            <w:szCs w:val="28"/>
          </w:rPr>
          <w:t>年</w:t>
        </w:r>
        <w:r w:rsidRPr="003F6AF4">
          <w:rPr>
            <w:rFonts w:ascii="Times New Roman" w:eastAsia="標楷體" w:hAnsi="Times New Roman"/>
            <w:sz w:val="28"/>
            <w:szCs w:val="28"/>
          </w:rPr>
          <w:t>12</w:t>
        </w:r>
        <w:r w:rsidRPr="003F6AF4">
          <w:rPr>
            <w:rFonts w:ascii="Times New Roman" w:eastAsia="標楷體" w:hAnsi="Times New Roman"/>
            <w:sz w:val="28"/>
            <w:szCs w:val="28"/>
          </w:rPr>
          <w:t>月</w:t>
        </w:r>
        <w:r w:rsidRPr="003F6AF4">
          <w:rPr>
            <w:rFonts w:ascii="Times New Roman" w:eastAsia="標楷體" w:hAnsi="Times New Roman"/>
            <w:sz w:val="28"/>
            <w:szCs w:val="28"/>
          </w:rPr>
          <w:t>30</w:t>
        </w:r>
        <w:r w:rsidRPr="003F6AF4">
          <w:rPr>
            <w:rFonts w:ascii="Times New Roman" w:eastAsia="標楷體" w:hAnsi="Times New Roman"/>
            <w:sz w:val="28"/>
            <w:szCs w:val="28"/>
          </w:rPr>
          <w:t>日</w:t>
        </w:r>
      </w:smartTag>
      <w:r w:rsidRPr="003F6AF4">
        <w:rPr>
          <w:rFonts w:ascii="Times New Roman" w:eastAsia="標楷體" w:hAnsi="Times New Roman"/>
          <w:sz w:val="28"/>
          <w:szCs w:val="28"/>
        </w:rPr>
        <w:t>取消華僑及外國人對發行公司股票之整體暨個別投資比例限制，惟少數產業（例如郵政、電信、航運）基於民生、經濟、社會及文化政策考量，依其主管機關之法令仍存在對外資投資之比例限制。鑒於其他已開發國家亦有基於類似考量及政策需求，設定類似之限制，我國情形應符合已開發市場國家之標準。</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零股交易</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答：過去境外華僑及外國人僅得賣出、不得買入零股，為滿足外資各種交易及投資需求，本會已於</w:t>
      </w:r>
      <w:smartTag w:uri="urn:schemas-microsoft-com:office:smarttags" w:element="chsdate">
        <w:smartTagPr>
          <w:attr w:name="IsROCDate" w:val="False"/>
          <w:attr w:name="IsLunarDate" w:val="False"/>
          <w:attr w:name="Day" w:val="22"/>
          <w:attr w:name="Month" w:val="7"/>
          <w:attr w:name="Year" w:val="2005"/>
        </w:smartTagPr>
        <w:r w:rsidRPr="003F6AF4">
          <w:rPr>
            <w:rFonts w:ascii="Times New Roman" w:eastAsia="標楷體" w:hAnsi="Times New Roman"/>
            <w:sz w:val="28"/>
            <w:szCs w:val="28"/>
          </w:rPr>
          <w:t>2005</w:t>
        </w:r>
        <w:r w:rsidRPr="003F6AF4">
          <w:rPr>
            <w:rFonts w:ascii="Times New Roman" w:eastAsia="標楷體" w:hAnsi="Times New Roman"/>
            <w:sz w:val="28"/>
            <w:szCs w:val="28"/>
          </w:rPr>
          <w:t>年</w:t>
        </w:r>
        <w:r w:rsidRPr="003F6AF4">
          <w:rPr>
            <w:rFonts w:ascii="Times New Roman" w:eastAsia="標楷體" w:hAnsi="Times New Roman"/>
            <w:sz w:val="28"/>
            <w:szCs w:val="28"/>
          </w:rPr>
          <w:t>7</w:t>
        </w:r>
        <w:r w:rsidRPr="003F6AF4">
          <w:rPr>
            <w:rFonts w:ascii="Times New Roman" w:eastAsia="標楷體" w:hAnsi="Times New Roman"/>
            <w:sz w:val="28"/>
            <w:szCs w:val="28"/>
          </w:rPr>
          <w:t>月</w:t>
        </w:r>
        <w:r w:rsidRPr="003F6AF4">
          <w:rPr>
            <w:rFonts w:ascii="Times New Roman" w:eastAsia="標楷體" w:hAnsi="Times New Roman"/>
            <w:sz w:val="28"/>
            <w:szCs w:val="28"/>
          </w:rPr>
          <w:t>22</w:t>
        </w:r>
        <w:r w:rsidRPr="003F6AF4">
          <w:rPr>
            <w:rFonts w:ascii="Times New Roman" w:eastAsia="標楷體" w:hAnsi="Times New Roman"/>
            <w:sz w:val="28"/>
            <w:szCs w:val="28"/>
          </w:rPr>
          <w:t>日</w:t>
        </w:r>
      </w:smartTag>
      <w:r w:rsidRPr="003F6AF4">
        <w:rPr>
          <w:rFonts w:ascii="Times New Roman" w:eastAsia="標楷體" w:hAnsi="Times New Roman"/>
          <w:sz w:val="28"/>
          <w:szCs w:val="28"/>
        </w:rPr>
        <w:t>發函開放境外華僑及外國人得買賣零股股票。</w:t>
      </w:r>
    </w:p>
    <w:p w:rsidR="003F6AF4" w:rsidRPr="003F6AF4" w:rsidRDefault="003F6AF4" w:rsidP="003F6AF4">
      <w:pPr>
        <w:widowControl/>
        <w:numPr>
          <w:ilvl w:val="1"/>
          <w:numId w:val="8"/>
        </w:numPr>
        <w:tabs>
          <w:tab w:val="clear" w:pos="1200"/>
          <w:tab w:val="num" w:pos="738"/>
        </w:tabs>
        <w:snapToGrid w:val="0"/>
        <w:spacing w:afterLines="50" w:after="180" w:line="400" w:lineRule="exact"/>
        <w:ind w:left="737" w:rightChars="74" w:right="178" w:hanging="737"/>
        <w:jc w:val="both"/>
        <w:rPr>
          <w:rFonts w:ascii="Times New Roman" w:eastAsia="標楷體" w:hAnsi="Times New Roman"/>
          <w:b/>
          <w:bCs/>
          <w:sz w:val="28"/>
          <w:szCs w:val="28"/>
        </w:rPr>
      </w:pPr>
      <w:r w:rsidRPr="003F6AF4">
        <w:rPr>
          <w:rFonts w:ascii="Times New Roman" w:eastAsia="標楷體" w:hAnsi="Times New Roman"/>
          <w:b/>
          <w:bCs/>
          <w:sz w:val="28"/>
          <w:szCs w:val="28"/>
        </w:rPr>
        <w:t>有關華僑及外國人投資上市（櫃）及興櫃公司單次投資取得投資事業</w:t>
      </w:r>
      <w:r w:rsidRPr="003F6AF4">
        <w:rPr>
          <w:rFonts w:ascii="Times New Roman" w:eastAsia="標楷體" w:hAnsi="Times New Roman"/>
          <w:b/>
          <w:bCs/>
          <w:sz w:val="28"/>
          <w:szCs w:val="28"/>
        </w:rPr>
        <w:t>10%</w:t>
      </w:r>
      <w:r w:rsidRPr="003F6AF4">
        <w:rPr>
          <w:rFonts w:ascii="Times New Roman" w:eastAsia="標楷體" w:hAnsi="Times New Roman"/>
          <w:b/>
          <w:bCs/>
          <w:sz w:val="28"/>
          <w:szCs w:val="28"/>
        </w:rPr>
        <w:t>以上股權案件之受理單位</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t>答：由於華僑及外國人投資上市（櫃）及興櫃公司已無匯款額度限制，經證券期貨局與經濟部投資審議委員會開會決議，自本（</w:t>
      </w:r>
      <w:r w:rsidRPr="003F6AF4">
        <w:rPr>
          <w:rFonts w:ascii="Times New Roman" w:eastAsia="標楷體" w:hAnsi="Times New Roman"/>
          <w:sz w:val="28"/>
          <w:szCs w:val="28"/>
        </w:rPr>
        <w:t>97</w:t>
      </w:r>
      <w:r w:rsidRPr="003F6AF4">
        <w:rPr>
          <w:rFonts w:ascii="Times New Roman" w:eastAsia="標楷體" w:hAnsi="Times New Roman"/>
          <w:sz w:val="28"/>
          <w:szCs w:val="28"/>
        </w:rPr>
        <w:t>）年</w:t>
      </w:r>
      <w:smartTag w:uri="urn:schemas-microsoft-com:office:smarttags" w:element="chsdate">
        <w:smartTagPr>
          <w:attr w:name="IsROCDate" w:val="False"/>
          <w:attr w:name="IsLunarDate" w:val="False"/>
          <w:attr w:name="Day" w:val="1"/>
          <w:attr w:name="Month" w:val="4"/>
          <w:attr w:name="Year" w:val="2009"/>
        </w:smartTagPr>
        <w:r w:rsidRPr="003F6AF4">
          <w:rPr>
            <w:rFonts w:ascii="Times New Roman" w:eastAsia="標楷體" w:hAnsi="Times New Roman"/>
            <w:sz w:val="28"/>
            <w:szCs w:val="28"/>
          </w:rPr>
          <w:t>4</w:t>
        </w:r>
        <w:r w:rsidRPr="003F6AF4">
          <w:rPr>
            <w:rFonts w:ascii="Times New Roman" w:eastAsia="標楷體" w:hAnsi="Times New Roman"/>
            <w:sz w:val="28"/>
            <w:szCs w:val="28"/>
          </w:rPr>
          <w:t>月</w:t>
        </w:r>
        <w:r w:rsidRPr="003F6AF4">
          <w:rPr>
            <w:rFonts w:ascii="Times New Roman" w:eastAsia="標楷體" w:hAnsi="Times New Roman"/>
            <w:sz w:val="28"/>
            <w:szCs w:val="28"/>
          </w:rPr>
          <w:t>1</w:t>
        </w:r>
        <w:r w:rsidRPr="003F6AF4">
          <w:rPr>
            <w:rFonts w:ascii="Times New Roman" w:eastAsia="標楷體" w:hAnsi="Times New Roman"/>
            <w:sz w:val="28"/>
            <w:szCs w:val="28"/>
          </w:rPr>
          <w:t>日</w:t>
        </w:r>
      </w:smartTag>
      <w:r w:rsidRPr="003F6AF4">
        <w:rPr>
          <w:rFonts w:ascii="Times New Roman" w:eastAsia="標楷體" w:hAnsi="Times New Roman"/>
          <w:sz w:val="28"/>
          <w:szCs w:val="28"/>
        </w:rPr>
        <w:t>起，取消現行僑外人投資上市（櫃）及興櫃公司單次投資金額達</w:t>
      </w:r>
      <w:r w:rsidRPr="003F6AF4">
        <w:rPr>
          <w:rFonts w:ascii="Times New Roman" w:eastAsia="標楷體" w:hAnsi="Times New Roman"/>
          <w:sz w:val="28"/>
          <w:szCs w:val="28"/>
        </w:rPr>
        <w:t>5</w:t>
      </w:r>
      <w:r w:rsidRPr="003F6AF4">
        <w:rPr>
          <w:rFonts w:ascii="Times New Roman" w:eastAsia="標楷體" w:hAnsi="Times New Roman"/>
          <w:sz w:val="28"/>
          <w:szCs w:val="28"/>
        </w:rPr>
        <w:t>千萬美元以上須向投審會提出申請之規定，改為華僑及外國人投資上市（櫃）及興櫃公司單次投資取得投資事業</w:t>
      </w:r>
      <w:r w:rsidRPr="003F6AF4">
        <w:rPr>
          <w:rFonts w:ascii="Times New Roman" w:eastAsia="標楷體" w:hAnsi="Times New Roman"/>
          <w:sz w:val="28"/>
          <w:szCs w:val="28"/>
        </w:rPr>
        <w:t>10</w:t>
      </w:r>
      <w:r w:rsidRPr="003F6AF4">
        <w:rPr>
          <w:rFonts w:ascii="Times New Roman" w:eastAsia="標楷體" w:hAnsi="Times New Roman"/>
          <w:sz w:val="28"/>
          <w:szCs w:val="28"/>
        </w:rPr>
        <w:t>％以上股權，須向投審會、各科學工業園區管理局或經濟部加工出口區管理處提出申請。</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7" w:rightChars="74" w:right="178" w:hanging="737"/>
        <w:jc w:val="both"/>
        <w:rPr>
          <w:rFonts w:ascii="Times New Roman" w:eastAsia="標楷體" w:hAnsi="Times New Roman"/>
          <w:b/>
          <w:bCs/>
          <w:sz w:val="28"/>
          <w:szCs w:val="28"/>
        </w:rPr>
      </w:pPr>
      <w:r w:rsidRPr="003F6AF4">
        <w:rPr>
          <w:rFonts w:ascii="Times New Roman" w:eastAsia="標楷體" w:hAnsi="Times New Roman"/>
          <w:b/>
          <w:bCs/>
          <w:sz w:val="28"/>
          <w:szCs w:val="28"/>
        </w:rPr>
        <w:t>境外華僑及外國人可否從事債券附賣回交易（</w:t>
      </w:r>
      <w:r w:rsidRPr="003F6AF4">
        <w:rPr>
          <w:rFonts w:ascii="Times New Roman" w:eastAsia="標楷體" w:hAnsi="Times New Roman"/>
          <w:b/>
          <w:bCs/>
          <w:sz w:val="28"/>
          <w:szCs w:val="28"/>
        </w:rPr>
        <w:t>RS</w:t>
      </w:r>
      <w:r w:rsidRPr="003F6AF4">
        <w:rPr>
          <w:rFonts w:ascii="Times New Roman" w:eastAsia="標楷體" w:hAnsi="Times New Roman"/>
          <w:b/>
          <w:bCs/>
          <w:sz w:val="28"/>
          <w:szCs w:val="28"/>
        </w:rPr>
        <w:t>）</w:t>
      </w:r>
    </w:p>
    <w:p w:rsidR="003F6AF4" w:rsidRPr="003F6AF4" w:rsidRDefault="003F6AF4" w:rsidP="003F6AF4">
      <w:pPr>
        <w:snapToGrid w:val="0"/>
        <w:spacing w:line="400" w:lineRule="exact"/>
        <w:ind w:leftChars="100" w:left="778" w:rightChars="74" w:right="178" w:hangingChars="192" w:hanging="538"/>
        <w:jc w:val="both"/>
        <w:rPr>
          <w:rFonts w:ascii="Times New Roman" w:eastAsia="標楷體" w:hAnsi="Times New Roman"/>
          <w:sz w:val="28"/>
          <w:szCs w:val="28"/>
        </w:rPr>
      </w:pPr>
      <w:r w:rsidRPr="003F6AF4">
        <w:rPr>
          <w:rFonts w:ascii="Times New Roman" w:eastAsia="標楷體" w:hAnsi="Times New Roman"/>
          <w:sz w:val="28"/>
          <w:szCs w:val="28"/>
        </w:rPr>
        <w:lastRenderedPageBreak/>
        <w:t>答：從事債券附賣回交易（</w:t>
      </w:r>
      <w:r w:rsidRPr="003F6AF4">
        <w:rPr>
          <w:rFonts w:ascii="Times New Roman" w:eastAsia="標楷體" w:hAnsi="Times New Roman"/>
          <w:sz w:val="28"/>
          <w:szCs w:val="28"/>
        </w:rPr>
        <w:t>RS</w:t>
      </w:r>
      <w:r w:rsidRPr="003F6AF4">
        <w:rPr>
          <w:rFonts w:ascii="Times New Roman" w:eastAsia="標楷體" w:hAnsi="Times New Roman"/>
          <w:sz w:val="28"/>
          <w:szCs w:val="28"/>
        </w:rPr>
        <w:t>）涉及以債券作為擔保融資，與「華僑及外國人投資證券管理辦法」第</w:t>
      </w:r>
      <w:r w:rsidRPr="003F6AF4">
        <w:rPr>
          <w:rFonts w:ascii="Times New Roman" w:eastAsia="標楷體" w:hAnsi="Times New Roman"/>
          <w:sz w:val="28"/>
          <w:szCs w:val="28"/>
        </w:rPr>
        <w:t>21</w:t>
      </w:r>
      <w:r w:rsidRPr="003F6AF4">
        <w:rPr>
          <w:rFonts w:ascii="Times New Roman" w:eastAsia="標楷體" w:hAnsi="Times New Roman"/>
          <w:sz w:val="28"/>
          <w:szCs w:val="28"/>
        </w:rPr>
        <w:t>條第</w:t>
      </w:r>
      <w:r w:rsidRPr="003F6AF4">
        <w:rPr>
          <w:rFonts w:ascii="Times New Roman" w:eastAsia="標楷體" w:hAnsi="Times New Roman"/>
          <w:sz w:val="28"/>
          <w:szCs w:val="28"/>
        </w:rPr>
        <w:t>3</w:t>
      </w:r>
      <w:r w:rsidRPr="003F6AF4">
        <w:rPr>
          <w:rFonts w:ascii="Times New Roman" w:eastAsia="標楷體" w:hAnsi="Times New Roman"/>
          <w:sz w:val="28"/>
          <w:szCs w:val="28"/>
        </w:rPr>
        <w:t>款，境外華僑及外國人匯入投資資金投資國內證券不得提供擔保之規定不符，亦非屬上述管理辦法第</w:t>
      </w:r>
      <w:r w:rsidRPr="003F6AF4">
        <w:rPr>
          <w:rFonts w:ascii="Times New Roman" w:eastAsia="標楷體" w:hAnsi="Times New Roman"/>
          <w:sz w:val="28"/>
          <w:szCs w:val="28"/>
        </w:rPr>
        <w:t>4</w:t>
      </w:r>
      <w:r w:rsidRPr="003F6AF4">
        <w:rPr>
          <w:rFonts w:ascii="Times New Roman" w:eastAsia="標楷體" w:hAnsi="Times New Roman"/>
          <w:sz w:val="28"/>
          <w:szCs w:val="28"/>
        </w:rPr>
        <w:t>條第</w:t>
      </w:r>
      <w:r w:rsidRPr="003F6AF4">
        <w:rPr>
          <w:rFonts w:ascii="Times New Roman" w:eastAsia="標楷體" w:hAnsi="Times New Roman"/>
          <w:sz w:val="28"/>
          <w:szCs w:val="28"/>
        </w:rPr>
        <w:t>2</w:t>
      </w:r>
      <w:r w:rsidRPr="003F6AF4">
        <w:rPr>
          <w:rFonts w:ascii="Times New Roman" w:eastAsia="標楷體" w:hAnsi="Times New Roman"/>
          <w:sz w:val="28"/>
          <w:szCs w:val="28"/>
        </w:rPr>
        <w:t>項規定，境外華僑及外國人匯入資金之運用範圍。</w:t>
      </w:r>
    </w:p>
    <w:p w:rsidR="003F6AF4" w:rsidRPr="003F6AF4" w:rsidRDefault="003F6AF4" w:rsidP="003F6AF4">
      <w:pPr>
        <w:widowControl/>
        <w:numPr>
          <w:ilvl w:val="1"/>
          <w:numId w:val="8"/>
        </w:numPr>
        <w:tabs>
          <w:tab w:val="clear" w:pos="1200"/>
          <w:tab w:val="num" w:pos="738"/>
        </w:tabs>
        <w:snapToGrid w:val="0"/>
        <w:spacing w:beforeLines="50" w:before="180" w:afterLines="50" w:after="180" w:line="400" w:lineRule="exact"/>
        <w:ind w:left="738" w:rightChars="74" w:right="178" w:hanging="738"/>
        <w:jc w:val="both"/>
        <w:rPr>
          <w:rFonts w:ascii="Times New Roman" w:eastAsia="標楷體" w:hAnsi="Times New Roman"/>
          <w:b/>
          <w:bCs/>
          <w:sz w:val="28"/>
          <w:szCs w:val="28"/>
        </w:rPr>
      </w:pPr>
      <w:r w:rsidRPr="003F6AF4">
        <w:rPr>
          <w:rFonts w:ascii="Times New Roman" w:eastAsia="標楷體" w:hAnsi="Times New Roman"/>
          <w:b/>
          <w:bCs/>
          <w:sz w:val="28"/>
          <w:szCs w:val="28"/>
        </w:rPr>
        <w:t>何者得免出具資金非來自大陸地區之聲明</w:t>
      </w:r>
    </w:p>
    <w:p w:rsidR="003F6AF4" w:rsidRDefault="003F6AF4" w:rsidP="0040687A">
      <w:pPr>
        <w:snapToGrid w:val="0"/>
        <w:spacing w:line="400" w:lineRule="exact"/>
        <w:ind w:leftChars="100" w:left="778" w:rightChars="74" w:right="178" w:hangingChars="192" w:hanging="538"/>
        <w:jc w:val="both"/>
        <w:rPr>
          <w:rFonts w:ascii="Times New Roman" w:eastAsia="標楷體" w:hAnsi="Times New Roman"/>
          <w:sz w:val="28"/>
        </w:rPr>
      </w:pPr>
      <w:r w:rsidRPr="003F6AF4">
        <w:rPr>
          <w:rFonts w:ascii="Times New Roman" w:eastAsia="標楷體" w:hAnsi="Times New Roman"/>
          <w:sz w:val="28"/>
          <w:szCs w:val="28"/>
        </w:rPr>
        <w:t>答：基金型態之外國機構投資人免出具資金非來自大陸地區之聲明，至於非基金型態之外資於向臺灣證券交易所辦理登記時，仍須於登記表聲明擬匯入投資有價證券或從事期貨交易之資金非來自大陸地</w:t>
      </w:r>
      <w:r w:rsidRPr="0086705F">
        <w:rPr>
          <w:rFonts w:ascii="Times New Roman" w:eastAsia="標楷體" w:hAnsi="Times New Roman"/>
          <w:sz w:val="28"/>
          <w:szCs w:val="28"/>
        </w:rPr>
        <w:t>區</w:t>
      </w:r>
      <w:r w:rsidRPr="0086705F">
        <w:rPr>
          <w:rFonts w:ascii="Times New Roman" w:eastAsia="標楷體" w:hAnsi="Times New Roman"/>
          <w:sz w:val="28"/>
        </w:rPr>
        <w:t>。</w:t>
      </w:r>
    </w:p>
    <w:p w:rsidR="0040687A" w:rsidRDefault="0040687A" w:rsidP="0040687A">
      <w:pPr>
        <w:snapToGrid w:val="0"/>
        <w:spacing w:line="400" w:lineRule="exact"/>
        <w:ind w:leftChars="100" w:left="854" w:rightChars="74" w:right="178" w:hangingChars="192" w:hanging="614"/>
        <w:jc w:val="both"/>
        <w:rPr>
          <w:rFonts w:ascii="Times New Roman" w:eastAsia="標楷體" w:hAnsi="Times New Roman"/>
          <w:sz w:val="32"/>
        </w:rPr>
      </w:pPr>
    </w:p>
    <w:sectPr w:rsidR="0040687A" w:rsidSect="00F5367C">
      <w:footerReference w:type="default" r:id="rId9"/>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E6" w:rsidRDefault="008537E6" w:rsidP="00756F62">
      <w:r>
        <w:separator/>
      </w:r>
    </w:p>
  </w:endnote>
  <w:endnote w:type="continuationSeparator" w:id="0">
    <w:p w:rsidR="008537E6" w:rsidRDefault="008537E6" w:rsidP="0075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85092"/>
      <w:docPartObj>
        <w:docPartGallery w:val="Page Numbers (Bottom of Page)"/>
        <w:docPartUnique/>
      </w:docPartObj>
    </w:sdtPr>
    <w:sdtEndPr/>
    <w:sdtContent>
      <w:p w:rsidR="009F4F2A" w:rsidRDefault="004043FD">
        <w:pPr>
          <w:pStyle w:val="aa"/>
          <w:jc w:val="center"/>
        </w:pPr>
        <w:r>
          <w:fldChar w:fldCharType="begin"/>
        </w:r>
        <w:r w:rsidR="009F4F2A">
          <w:instrText>PAGE   \* MERGEFORMAT</w:instrText>
        </w:r>
        <w:r>
          <w:fldChar w:fldCharType="separate"/>
        </w:r>
        <w:r w:rsidR="00217EAF" w:rsidRPr="00217EAF">
          <w:rPr>
            <w:noProof/>
            <w:lang w:val="zh-TW"/>
          </w:rPr>
          <w:t>15</w:t>
        </w:r>
        <w:r>
          <w:fldChar w:fldCharType="end"/>
        </w:r>
      </w:p>
    </w:sdtContent>
  </w:sdt>
  <w:p w:rsidR="00F5367C" w:rsidRPr="00F5367C" w:rsidRDefault="00F5367C" w:rsidP="00F5367C">
    <w:pPr>
      <w:pStyle w:val="aa"/>
      <w:spacing w:line="220" w:lineRule="exact"/>
      <w:jc w:val="center"/>
      <w:rPr>
        <w:rFonts w:hAnsi="Times New Roman" w:cs="新細明體"/>
        <w:sz w:val="18"/>
        <w:szCs w:val="18"/>
      </w:rPr>
    </w:pPr>
    <w:r w:rsidRPr="00F5367C">
      <w:rPr>
        <w:rFonts w:hAnsi="Times New Roman" w:cs="新細明體"/>
        <w:sz w:val="18"/>
        <w:szCs w:val="18"/>
      </w:rPr>
      <w:t>*</w:t>
    </w:r>
    <w:r w:rsidRPr="00F5367C">
      <w:rPr>
        <w:rFonts w:hAnsi="Times New Roman" w:cs="新細明體"/>
        <w:sz w:val="18"/>
        <w:szCs w:val="18"/>
      </w:rPr>
      <w:t>中英文版如有出入，以中文版為</w:t>
    </w:r>
    <w:proofErr w:type="gramStart"/>
    <w:r w:rsidRPr="00F5367C">
      <w:rPr>
        <w:rFonts w:hAnsi="Times New Roman" w:cs="新細明體"/>
        <w:sz w:val="18"/>
        <w:szCs w:val="18"/>
      </w:rPr>
      <w:t>準</w:t>
    </w:r>
    <w:proofErr w:type="gramEnd"/>
  </w:p>
  <w:p w:rsidR="009F4F2A" w:rsidRPr="00F5367C" w:rsidRDefault="00F5367C" w:rsidP="00F5367C">
    <w:pPr>
      <w:pStyle w:val="aa"/>
      <w:spacing w:line="220" w:lineRule="exact"/>
      <w:jc w:val="center"/>
      <w:rPr>
        <w:rFonts w:ascii="Times New Roman"/>
        <w:sz w:val="18"/>
        <w:szCs w:val="18"/>
      </w:rPr>
    </w:pPr>
    <w:r w:rsidRPr="00F5367C">
      <w:rPr>
        <w:rFonts w:ascii="Times New Roman" w:hAnsi="Times New Roman" w:cs="新細明體"/>
        <w:sz w:val="18"/>
        <w:szCs w:val="18"/>
      </w:rPr>
      <w:t>*The Chinese version rules if any contradiction in meaning exists between the Chinese version and English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E6" w:rsidRDefault="008537E6" w:rsidP="00756F62">
      <w:r>
        <w:separator/>
      </w:r>
    </w:p>
  </w:footnote>
  <w:footnote w:type="continuationSeparator" w:id="0">
    <w:p w:rsidR="008537E6" w:rsidRDefault="008537E6" w:rsidP="00756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685C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2314B36"/>
    <w:multiLevelType w:val="hybridMultilevel"/>
    <w:tmpl w:val="5BE003CA"/>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275675D"/>
    <w:multiLevelType w:val="hybridMultilevel"/>
    <w:tmpl w:val="EB4A309C"/>
    <w:lvl w:ilvl="0" w:tplc="BEAC4018">
      <w:start w:val="1"/>
      <w:numFmt w:val="taiwaneseCountingThousand"/>
      <w:lvlText w:val="(%1)"/>
      <w:lvlJc w:val="left"/>
      <w:pPr>
        <w:tabs>
          <w:tab w:val="num" w:pos="720"/>
        </w:tabs>
        <w:ind w:left="720" w:hanging="720"/>
      </w:pPr>
      <w:rPr>
        <w:rFonts w:hint="eastAsia"/>
      </w:rPr>
    </w:lvl>
    <w:lvl w:ilvl="1" w:tplc="175803C0">
      <w:start w:val="1"/>
      <w:numFmt w:val="taiwaneseCountingThousand"/>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65C1FB6"/>
    <w:multiLevelType w:val="hybridMultilevel"/>
    <w:tmpl w:val="D046886A"/>
    <w:lvl w:ilvl="0" w:tplc="86480B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0F24E2"/>
    <w:multiLevelType w:val="hybridMultilevel"/>
    <w:tmpl w:val="C6600D44"/>
    <w:lvl w:ilvl="0" w:tplc="29109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58470D7"/>
    <w:multiLevelType w:val="hybridMultilevel"/>
    <w:tmpl w:val="F69E9C08"/>
    <w:lvl w:ilvl="0" w:tplc="4C04BB7C">
      <w:start w:val="1"/>
      <w:numFmt w:val="taiwaneseCountingThousand"/>
      <w:lvlText w:val="（%1）"/>
      <w:lvlJc w:val="left"/>
      <w:pPr>
        <w:ind w:left="1094" w:hanging="1080"/>
      </w:pPr>
      <w:rPr>
        <w:rFonts w:ascii="標楷體" w:hAnsi="標楷體" w:hint="default"/>
        <w:lang w:val="en-US"/>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6">
    <w:nsid w:val="2E077402"/>
    <w:multiLevelType w:val="multilevel"/>
    <w:tmpl w:val="A558B9D8"/>
    <w:lvl w:ilvl="0">
      <w:start w:val="1"/>
      <w:numFmt w:val="taiwaneseCountingThousand"/>
      <w:pStyle w:val="a0"/>
      <w:suff w:val="nothing"/>
      <w:lvlText w:val="%1、"/>
      <w:lvlJc w:val="left"/>
      <w:pPr>
        <w:ind w:left="964" w:hanging="652"/>
      </w:pPr>
      <w:rPr>
        <w:rFonts w:ascii="標楷體" w:eastAsia="標楷體" w:hint="eastAsia"/>
        <w:b w:val="0"/>
        <w:i w:val="0"/>
        <w:sz w:val="32"/>
        <w:lang w:val="en-US"/>
      </w:rPr>
    </w:lvl>
    <w:lvl w:ilvl="1">
      <w:start w:val="1"/>
      <w:numFmt w:val="taiwaneseCountingThousand"/>
      <w:suff w:val="nothing"/>
      <w:lvlText w:val="(%2)"/>
      <w:lvlJc w:val="left"/>
      <w:pPr>
        <w:ind w:left="1287" w:hanging="652"/>
      </w:pPr>
      <w:rPr>
        <w:rFonts w:ascii="標楷體" w:eastAsia="標楷體" w:hint="eastAsia"/>
        <w:b w:val="0"/>
        <w:i w:val="0"/>
        <w:sz w:val="32"/>
      </w:rPr>
    </w:lvl>
    <w:lvl w:ilvl="2">
      <w:start w:val="1"/>
      <w:numFmt w:val="decimalFullWidth"/>
      <w:suff w:val="nothing"/>
      <w:lvlText w:val="%3、"/>
      <w:lvlJc w:val="left"/>
      <w:pPr>
        <w:ind w:left="1605" w:hanging="641"/>
      </w:pPr>
      <w:rPr>
        <w:rFonts w:ascii="標楷體" w:eastAsia="標楷體" w:hint="eastAsia"/>
        <w:b w:val="0"/>
        <w:i w:val="0"/>
        <w:sz w:val="32"/>
        <w:lang w:val="en-US"/>
      </w:rPr>
    </w:lvl>
    <w:lvl w:ilvl="3">
      <w:start w:val="1"/>
      <w:numFmt w:val="decimalFullWidth"/>
      <w:suff w:val="nothing"/>
      <w:lvlText w:val="(%4)"/>
      <w:lvlJc w:val="left"/>
      <w:pPr>
        <w:ind w:left="1928" w:hanging="641"/>
      </w:pPr>
      <w:rPr>
        <w:rFonts w:ascii="標楷體" w:eastAsia="標楷體" w:hint="eastAsia"/>
        <w:b w:val="0"/>
        <w:i w:val="0"/>
        <w:sz w:val="32"/>
      </w:rPr>
    </w:lvl>
    <w:lvl w:ilvl="4">
      <w:start w:val="1"/>
      <w:numFmt w:val="ideographTraditional"/>
      <w:suff w:val="nothing"/>
      <w:lvlText w:val="%5、"/>
      <w:lvlJc w:val="left"/>
      <w:pPr>
        <w:ind w:left="2240" w:hanging="635"/>
      </w:pPr>
      <w:rPr>
        <w:rFonts w:ascii="標楷體" w:eastAsia="標楷體" w:hint="eastAsia"/>
        <w:b w:val="0"/>
        <w:i w:val="0"/>
        <w:sz w:val="32"/>
      </w:rPr>
    </w:lvl>
    <w:lvl w:ilvl="5">
      <w:start w:val="5"/>
      <w:numFmt w:val="taiwaneseCountingThousand"/>
      <w:lvlText w:val="（%6)、"/>
      <w:lvlJc w:val="left"/>
      <w:pPr>
        <w:tabs>
          <w:tab w:val="num" w:pos="3912"/>
        </w:tabs>
        <w:ind w:left="3912" w:hanging="3061"/>
      </w:pPr>
      <w:rPr>
        <w:rFonts w:hint="eastAsia"/>
      </w:rPr>
    </w:lvl>
    <w:lvl w:ilvl="6">
      <w:start w:val="1"/>
      <w:numFmt w:val="none"/>
      <w:lvlText w:val=""/>
      <w:lvlJc w:val="left"/>
      <w:pPr>
        <w:tabs>
          <w:tab w:val="num" w:pos="3912"/>
        </w:tabs>
        <w:ind w:left="3912" w:hanging="3061"/>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
    <w:nsid w:val="2F4C409E"/>
    <w:multiLevelType w:val="hybridMultilevel"/>
    <w:tmpl w:val="A21A2EB0"/>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2FD5A30"/>
    <w:multiLevelType w:val="hybridMultilevel"/>
    <w:tmpl w:val="5FF22516"/>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2492399"/>
    <w:multiLevelType w:val="hybridMultilevel"/>
    <w:tmpl w:val="AC92E8E0"/>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CCF47BF"/>
    <w:multiLevelType w:val="hybridMultilevel"/>
    <w:tmpl w:val="7C00934A"/>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E1C326A"/>
    <w:multiLevelType w:val="hybridMultilevel"/>
    <w:tmpl w:val="A11C353C"/>
    <w:lvl w:ilvl="0" w:tplc="0409000F">
      <w:start w:val="1"/>
      <w:numFmt w:val="decimal"/>
      <w:lvlText w:val="%1."/>
      <w:lvlJc w:val="left"/>
      <w:pPr>
        <w:tabs>
          <w:tab w:val="num" w:pos="480"/>
        </w:tabs>
        <w:ind w:left="480" w:hanging="480"/>
      </w:pPr>
      <w:rPr>
        <w:rFont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F6C6434"/>
    <w:multiLevelType w:val="hybridMultilevel"/>
    <w:tmpl w:val="37C4B606"/>
    <w:lvl w:ilvl="0" w:tplc="14A8E932">
      <w:start w:val="1"/>
      <w:numFmt w:val="decimal"/>
      <w:lvlText w:val="%1."/>
      <w:lvlJc w:val="left"/>
      <w:pPr>
        <w:ind w:left="1286" w:hanging="480"/>
      </w:pPr>
      <w:rPr>
        <w:rFonts w:hint="eastAsia"/>
        <w:b w:val="0"/>
        <w:i w:val="0"/>
      </w:rPr>
    </w:lvl>
    <w:lvl w:ilvl="1" w:tplc="80720048">
      <w:start w:val="1"/>
      <w:numFmt w:val="decimal"/>
      <w:lvlText w:val="%2."/>
      <w:lvlJc w:val="left"/>
      <w:pPr>
        <w:ind w:left="1766" w:hanging="480"/>
      </w:pPr>
      <w:rPr>
        <w:rFonts w:hint="eastAsia"/>
        <w:b w:val="0"/>
        <w:i w:val="0"/>
        <w:sz w:val="28"/>
      </w:r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3">
    <w:nsid w:val="70E25ABB"/>
    <w:multiLevelType w:val="hybridMultilevel"/>
    <w:tmpl w:val="5096F8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1F63B2D"/>
    <w:multiLevelType w:val="hybridMultilevel"/>
    <w:tmpl w:val="F85A2B90"/>
    <w:lvl w:ilvl="0" w:tplc="7DB647F6">
      <w:start w:val="1"/>
      <w:numFmt w:val="taiwaneseCountingThousand"/>
      <w:lvlText w:val="（%1）"/>
      <w:lvlJc w:val="left"/>
      <w:pPr>
        <w:tabs>
          <w:tab w:val="num" w:pos="1392"/>
        </w:tabs>
        <w:ind w:left="1392" w:hanging="108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76863540"/>
    <w:multiLevelType w:val="hybridMultilevel"/>
    <w:tmpl w:val="455656F6"/>
    <w:lvl w:ilvl="0" w:tplc="7DB647F6">
      <w:start w:val="1"/>
      <w:numFmt w:val="taiwaneseCountingThousand"/>
      <w:lvlText w:val="（%1）"/>
      <w:lvlJc w:val="left"/>
      <w:pPr>
        <w:tabs>
          <w:tab w:val="num" w:pos="1392"/>
        </w:tabs>
        <w:ind w:left="1392" w:hanging="1080"/>
      </w:pPr>
      <w:rPr>
        <w:rFonts w:hint="eastAsia"/>
        <w:u w:val="none"/>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7C76762"/>
    <w:multiLevelType w:val="hybridMultilevel"/>
    <w:tmpl w:val="AE2E9D3E"/>
    <w:lvl w:ilvl="0" w:tplc="14A8E932">
      <w:start w:val="1"/>
      <w:numFmt w:val="decimal"/>
      <w:lvlText w:val="%1."/>
      <w:lvlJc w:val="left"/>
      <w:pPr>
        <w:ind w:left="1286" w:hanging="480"/>
      </w:pPr>
      <w:rPr>
        <w:rFonts w:hint="eastAsia"/>
        <w:b w:val="0"/>
        <w:i w:val="0"/>
      </w:rPr>
    </w:lvl>
    <w:lvl w:ilvl="1" w:tplc="F7A87A16">
      <w:start w:val="1"/>
      <w:numFmt w:val="decimal"/>
      <w:lvlText w:val="%2."/>
      <w:lvlJc w:val="left"/>
      <w:pPr>
        <w:ind w:left="1766" w:hanging="480"/>
      </w:pPr>
      <w:rPr>
        <w:rFonts w:hint="eastAsia"/>
        <w:b w:val="0"/>
        <w:i w:val="0"/>
        <w:sz w:val="32"/>
      </w:r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abstractNum w:abstractNumId="17">
    <w:nsid w:val="7FF356DF"/>
    <w:multiLevelType w:val="hybridMultilevel"/>
    <w:tmpl w:val="FC46AA38"/>
    <w:lvl w:ilvl="0" w:tplc="14A8E932">
      <w:start w:val="1"/>
      <w:numFmt w:val="decimal"/>
      <w:lvlText w:val="%1."/>
      <w:lvlJc w:val="left"/>
      <w:pPr>
        <w:ind w:left="1286" w:hanging="480"/>
      </w:pPr>
      <w:rPr>
        <w:rFonts w:hint="eastAsia"/>
        <w:b w:val="0"/>
        <w:i w:val="0"/>
      </w:rPr>
    </w:lvl>
    <w:lvl w:ilvl="1" w:tplc="04090019">
      <w:start w:val="1"/>
      <w:numFmt w:val="ideographTraditional"/>
      <w:lvlText w:val="%2、"/>
      <w:lvlJc w:val="left"/>
      <w:pPr>
        <w:ind w:left="1766" w:hanging="480"/>
      </w:pPr>
    </w:lvl>
    <w:lvl w:ilvl="2" w:tplc="0409001B" w:tentative="1">
      <w:start w:val="1"/>
      <w:numFmt w:val="lowerRoman"/>
      <w:lvlText w:val="%3."/>
      <w:lvlJc w:val="right"/>
      <w:pPr>
        <w:ind w:left="2246" w:hanging="480"/>
      </w:pPr>
    </w:lvl>
    <w:lvl w:ilvl="3" w:tplc="0409000F" w:tentative="1">
      <w:start w:val="1"/>
      <w:numFmt w:val="decimal"/>
      <w:lvlText w:val="%4."/>
      <w:lvlJc w:val="left"/>
      <w:pPr>
        <w:ind w:left="2726" w:hanging="480"/>
      </w:pPr>
    </w:lvl>
    <w:lvl w:ilvl="4" w:tplc="04090019" w:tentative="1">
      <w:start w:val="1"/>
      <w:numFmt w:val="ideographTraditional"/>
      <w:lvlText w:val="%5、"/>
      <w:lvlJc w:val="left"/>
      <w:pPr>
        <w:ind w:left="3206" w:hanging="480"/>
      </w:pPr>
    </w:lvl>
    <w:lvl w:ilvl="5" w:tplc="0409001B" w:tentative="1">
      <w:start w:val="1"/>
      <w:numFmt w:val="lowerRoman"/>
      <w:lvlText w:val="%6."/>
      <w:lvlJc w:val="right"/>
      <w:pPr>
        <w:ind w:left="3686" w:hanging="480"/>
      </w:pPr>
    </w:lvl>
    <w:lvl w:ilvl="6" w:tplc="0409000F" w:tentative="1">
      <w:start w:val="1"/>
      <w:numFmt w:val="decimal"/>
      <w:lvlText w:val="%7."/>
      <w:lvlJc w:val="left"/>
      <w:pPr>
        <w:ind w:left="4166" w:hanging="480"/>
      </w:pPr>
    </w:lvl>
    <w:lvl w:ilvl="7" w:tplc="04090019" w:tentative="1">
      <w:start w:val="1"/>
      <w:numFmt w:val="ideographTraditional"/>
      <w:lvlText w:val="%8、"/>
      <w:lvlJc w:val="left"/>
      <w:pPr>
        <w:ind w:left="4646" w:hanging="480"/>
      </w:pPr>
    </w:lvl>
    <w:lvl w:ilvl="8" w:tplc="0409001B" w:tentative="1">
      <w:start w:val="1"/>
      <w:numFmt w:val="lowerRoman"/>
      <w:lvlText w:val="%9."/>
      <w:lvlJc w:val="right"/>
      <w:pPr>
        <w:ind w:left="5126" w:hanging="480"/>
      </w:pPr>
    </w:lvl>
  </w:abstractNum>
  <w:num w:numId="1">
    <w:abstractNumId w:val="0"/>
  </w:num>
  <w:num w:numId="2">
    <w:abstractNumId w:val="4"/>
  </w:num>
  <w:num w:numId="3">
    <w:abstractNumId w:val="3"/>
  </w:num>
  <w:num w:numId="4">
    <w:abstractNumId w:val="6"/>
  </w:num>
  <w:num w:numId="5">
    <w:abstractNumId w:val="5"/>
  </w:num>
  <w:num w:numId="6">
    <w:abstractNumId w:val="13"/>
  </w:num>
  <w:num w:numId="7">
    <w:abstractNumId w:val="9"/>
  </w:num>
  <w:num w:numId="8">
    <w:abstractNumId w:val="2"/>
  </w:num>
  <w:num w:numId="9">
    <w:abstractNumId w:val="11"/>
  </w:num>
  <w:num w:numId="10">
    <w:abstractNumId w:val="7"/>
  </w:num>
  <w:num w:numId="11">
    <w:abstractNumId w:val="1"/>
  </w:num>
  <w:num w:numId="12">
    <w:abstractNumId w:val="14"/>
  </w:num>
  <w:num w:numId="13">
    <w:abstractNumId w:val="10"/>
  </w:num>
  <w:num w:numId="14">
    <w:abstractNumId w:val="15"/>
  </w:num>
  <w:num w:numId="15">
    <w:abstractNumId w:val="8"/>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D7"/>
    <w:rsid w:val="00000A7A"/>
    <w:rsid w:val="00020F05"/>
    <w:rsid w:val="000479AA"/>
    <w:rsid w:val="00064A18"/>
    <w:rsid w:val="0007117F"/>
    <w:rsid w:val="000804D5"/>
    <w:rsid w:val="000958F1"/>
    <w:rsid w:val="000960B3"/>
    <w:rsid w:val="000C6381"/>
    <w:rsid w:val="000D2468"/>
    <w:rsid w:val="000D2DE6"/>
    <w:rsid w:val="00115BCB"/>
    <w:rsid w:val="001260E5"/>
    <w:rsid w:val="00144005"/>
    <w:rsid w:val="00154E97"/>
    <w:rsid w:val="001601D6"/>
    <w:rsid w:val="001602DF"/>
    <w:rsid w:val="00162BFC"/>
    <w:rsid w:val="00166DD7"/>
    <w:rsid w:val="00182AF2"/>
    <w:rsid w:val="0019414E"/>
    <w:rsid w:val="001946E1"/>
    <w:rsid w:val="00194932"/>
    <w:rsid w:val="001D6A77"/>
    <w:rsid w:val="001E0C0E"/>
    <w:rsid w:val="00201F8C"/>
    <w:rsid w:val="002140E0"/>
    <w:rsid w:val="00217EAF"/>
    <w:rsid w:val="0022488C"/>
    <w:rsid w:val="00243A8A"/>
    <w:rsid w:val="0026744A"/>
    <w:rsid w:val="002B5002"/>
    <w:rsid w:val="002D3EED"/>
    <w:rsid w:val="002E753C"/>
    <w:rsid w:val="00304C97"/>
    <w:rsid w:val="00312A44"/>
    <w:rsid w:val="00312D21"/>
    <w:rsid w:val="00345DF6"/>
    <w:rsid w:val="00355B0E"/>
    <w:rsid w:val="00375C5E"/>
    <w:rsid w:val="00384C7E"/>
    <w:rsid w:val="00394721"/>
    <w:rsid w:val="003A3872"/>
    <w:rsid w:val="003A586B"/>
    <w:rsid w:val="003B4D2D"/>
    <w:rsid w:val="003B66D2"/>
    <w:rsid w:val="003C1FE0"/>
    <w:rsid w:val="003D33C9"/>
    <w:rsid w:val="003D7ED8"/>
    <w:rsid w:val="003F6AF4"/>
    <w:rsid w:val="004043FD"/>
    <w:rsid w:val="0040687A"/>
    <w:rsid w:val="00463AFA"/>
    <w:rsid w:val="00467854"/>
    <w:rsid w:val="00475EDD"/>
    <w:rsid w:val="00481D79"/>
    <w:rsid w:val="004938B7"/>
    <w:rsid w:val="004A1EFC"/>
    <w:rsid w:val="004B6A3D"/>
    <w:rsid w:val="004C4695"/>
    <w:rsid w:val="004C650D"/>
    <w:rsid w:val="004D4C26"/>
    <w:rsid w:val="004E0030"/>
    <w:rsid w:val="004F3BEB"/>
    <w:rsid w:val="004F4AD8"/>
    <w:rsid w:val="00532A8D"/>
    <w:rsid w:val="00567CD6"/>
    <w:rsid w:val="00576612"/>
    <w:rsid w:val="00581F2B"/>
    <w:rsid w:val="00584D14"/>
    <w:rsid w:val="005932AD"/>
    <w:rsid w:val="005D5DAE"/>
    <w:rsid w:val="005E2DB3"/>
    <w:rsid w:val="00601FB0"/>
    <w:rsid w:val="006056DD"/>
    <w:rsid w:val="00606E76"/>
    <w:rsid w:val="00611A23"/>
    <w:rsid w:val="006209A9"/>
    <w:rsid w:val="00635F57"/>
    <w:rsid w:val="006511A6"/>
    <w:rsid w:val="00657ED5"/>
    <w:rsid w:val="00661531"/>
    <w:rsid w:val="00695642"/>
    <w:rsid w:val="006A5861"/>
    <w:rsid w:val="006C0068"/>
    <w:rsid w:val="006F05A3"/>
    <w:rsid w:val="0071301C"/>
    <w:rsid w:val="007271BA"/>
    <w:rsid w:val="007442B3"/>
    <w:rsid w:val="007558DA"/>
    <w:rsid w:val="00756F62"/>
    <w:rsid w:val="00781FB4"/>
    <w:rsid w:val="0079701D"/>
    <w:rsid w:val="007C709B"/>
    <w:rsid w:val="007D2CF3"/>
    <w:rsid w:val="007D2F5A"/>
    <w:rsid w:val="007D48E3"/>
    <w:rsid w:val="007F152A"/>
    <w:rsid w:val="007F1FD7"/>
    <w:rsid w:val="00825696"/>
    <w:rsid w:val="0082786C"/>
    <w:rsid w:val="0085018B"/>
    <w:rsid w:val="008537E6"/>
    <w:rsid w:val="00864B1B"/>
    <w:rsid w:val="00866527"/>
    <w:rsid w:val="008A05FD"/>
    <w:rsid w:val="008A05FF"/>
    <w:rsid w:val="008E52E0"/>
    <w:rsid w:val="008F1EB2"/>
    <w:rsid w:val="00915AB9"/>
    <w:rsid w:val="0091670E"/>
    <w:rsid w:val="00930C86"/>
    <w:rsid w:val="009339DC"/>
    <w:rsid w:val="00945F77"/>
    <w:rsid w:val="0096254F"/>
    <w:rsid w:val="00964851"/>
    <w:rsid w:val="009660D3"/>
    <w:rsid w:val="00983F0E"/>
    <w:rsid w:val="009903A8"/>
    <w:rsid w:val="009A2C5C"/>
    <w:rsid w:val="009C1341"/>
    <w:rsid w:val="009D21AF"/>
    <w:rsid w:val="009D4A50"/>
    <w:rsid w:val="009E1256"/>
    <w:rsid w:val="009E299B"/>
    <w:rsid w:val="009E2B25"/>
    <w:rsid w:val="009E2EF6"/>
    <w:rsid w:val="009F4F2A"/>
    <w:rsid w:val="00A21BB4"/>
    <w:rsid w:val="00A25FC1"/>
    <w:rsid w:val="00A34A7D"/>
    <w:rsid w:val="00A35842"/>
    <w:rsid w:val="00A42FAE"/>
    <w:rsid w:val="00A57E97"/>
    <w:rsid w:val="00A633E7"/>
    <w:rsid w:val="00A94268"/>
    <w:rsid w:val="00AA4F85"/>
    <w:rsid w:val="00AB6EAD"/>
    <w:rsid w:val="00AC57E0"/>
    <w:rsid w:val="00B0164D"/>
    <w:rsid w:val="00B027B9"/>
    <w:rsid w:val="00B03EF4"/>
    <w:rsid w:val="00B06478"/>
    <w:rsid w:val="00B2091D"/>
    <w:rsid w:val="00B24F22"/>
    <w:rsid w:val="00B356E1"/>
    <w:rsid w:val="00B50036"/>
    <w:rsid w:val="00B5317E"/>
    <w:rsid w:val="00B63E57"/>
    <w:rsid w:val="00B6413C"/>
    <w:rsid w:val="00B717E1"/>
    <w:rsid w:val="00B74D22"/>
    <w:rsid w:val="00B91BDA"/>
    <w:rsid w:val="00B97C0A"/>
    <w:rsid w:val="00BB3032"/>
    <w:rsid w:val="00BF0EFF"/>
    <w:rsid w:val="00C25AEE"/>
    <w:rsid w:val="00C264E0"/>
    <w:rsid w:val="00C53A63"/>
    <w:rsid w:val="00C54D64"/>
    <w:rsid w:val="00C563DA"/>
    <w:rsid w:val="00C813CA"/>
    <w:rsid w:val="00CA6EFA"/>
    <w:rsid w:val="00CA707F"/>
    <w:rsid w:val="00CA7B08"/>
    <w:rsid w:val="00CB3756"/>
    <w:rsid w:val="00CB7D1D"/>
    <w:rsid w:val="00CD0A34"/>
    <w:rsid w:val="00CD2B49"/>
    <w:rsid w:val="00D1543B"/>
    <w:rsid w:val="00D20AFF"/>
    <w:rsid w:val="00D53084"/>
    <w:rsid w:val="00D54682"/>
    <w:rsid w:val="00D76FAA"/>
    <w:rsid w:val="00D77580"/>
    <w:rsid w:val="00D90976"/>
    <w:rsid w:val="00D90E86"/>
    <w:rsid w:val="00DB796B"/>
    <w:rsid w:val="00DE243A"/>
    <w:rsid w:val="00DE25CC"/>
    <w:rsid w:val="00DF5107"/>
    <w:rsid w:val="00E268E7"/>
    <w:rsid w:val="00E35290"/>
    <w:rsid w:val="00E41BEB"/>
    <w:rsid w:val="00E614F3"/>
    <w:rsid w:val="00E81679"/>
    <w:rsid w:val="00EA1739"/>
    <w:rsid w:val="00EB5E9B"/>
    <w:rsid w:val="00EC5F4C"/>
    <w:rsid w:val="00EC7E3B"/>
    <w:rsid w:val="00EE0946"/>
    <w:rsid w:val="00F35278"/>
    <w:rsid w:val="00F5367C"/>
    <w:rsid w:val="00F87903"/>
    <w:rsid w:val="00F95FBA"/>
    <w:rsid w:val="00FB3E09"/>
    <w:rsid w:val="00FC7F90"/>
    <w:rsid w:val="00FD19C8"/>
    <w:rsid w:val="00FE5296"/>
    <w:rsid w:val="00FF1E8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9"/>
    <w:unhideWhenUsed/>
    <w:rsid w:val="002B5002"/>
    <w:pPr>
      <w:numPr>
        <w:numId w:val="1"/>
      </w:numPr>
      <w:contextualSpacing/>
    </w:pPr>
  </w:style>
  <w:style w:type="paragraph" w:styleId="a5">
    <w:name w:val="List Paragraph"/>
    <w:basedOn w:val="a1"/>
    <w:uiPriority w:val="34"/>
    <w:qFormat/>
    <w:rsid w:val="003A3872"/>
    <w:pPr>
      <w:ind w:leftChars="200" w:left="480"/>
    </w:pPr>
  </w:style>
  <w:style w:type="paragraph" w:styleId="a6">
    <w:name w:val="Balloon Text"/>
    <w:basedOn w:val="a1"/>
    <w:link w:val="a7"/>
    <w:uiPriority w:val="99"/>
    <w:semiHidden/>
    <w:unhideWhenUsed/>
    <w:rsid w:val="00B74D22"/>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B74D22"/>
    <w:rPr>
      <w:rFonts w:asciiTheme="majorHAnsi" w:eastAsiaTheme="majorEastAsia" w:hAnsiTheme="majorHAnsi" w:cstheme="majorBidi"/>
      <w:sz w:val="18"/>
      <w:szCs w:val="18"/>
    </w:rPr>
  </w:style>
  <w:style w:type="paragraph" w:styleId="a8">
    <w:name w:val="header"/>
    <w:basedOn w:val="a1"/>
    <w:link w:val="a9"/>
    <w:uiPriority w:val="99"/>
    <w:unhideWhenUsed/>
    <w:rsid w:val="00756F62"/>
    <w:pPr>
      <w:tabs>
        <w:tab w:val="center" w:pos="4153"/>
        <w:tab w:val="right" w:pos="8306"/>
      </w:tabs>
      <w:snapToGrid w:val="0"/>
    </w:pPr>
    <w:rPr>
      <w:sz w:val="20"/>
      <w:szCs w:val="20"/>
    </w:rPr>
  </w:style>
  <w:style w:type="character" w:customStyle="1" w:styleId="a9">
    <w:name w:val="頁首 字元"/>
    <w:basedOn w:val="a2"/>
    <w:link w:val="a8"/>
    <w:uiPriority w:val="99"/>
    <w:rsid w:val="00756F62"/>
    <w:rPr>
      <w:sz w:val="20"/>
      <w:szCs w:val="20"/>
    </w:rPr>
  </w:style>
  <w:style w:type="paragraph" w:styleId="aa">
    <w:name w:val="footer"/>
    <w:basedOn w:val="a1"/>
    <w:link w:val="ab"/>
    <w:uiPriority w:val="99"/>
    <w:unhideWhenUsed/>
    <w:rsid w:val="00756F62"/>
    <w:pPr>
      <w:tabs>
        <w:tab w:val="center" w:pos="4153"/>
        <w:tab w:val="right" w:pos="8306"/>
      </w:tabs>
      <w:snapToGrid w:val="0"/>
    </w:pPr>
    <w:rPr>
      <w:sz w:val="20"/>
      <w:szCs w:val="20"/>
    </w:rPr>
  </w:style>
  <w:style w:type="character" w:customStyle="1" w:styleId="ab">
    <w:name w:val="頁尾 字元"/>
    <w:basedOn w:val="a2"/>
    <w:link w:val="aa"/>
    <w:uiPriority w:val="99"/>
    <w:rsid w:val="00756F62"/>
    <w:rPr>
      <w:sz w:val="20"/>
      <w:szCs w:val="20"/>
    </w:rPr>
  </w:style>
  <w:style w:type="character" w:styleId="ac">
    <w:name w:val="Hyperlink"/>
    <w:basedOn w:val="a2"/>
    <w:uiPriority w:val="99"/>
    <w:semiHidden/>
    <w:unhideWhenUsed/>
    <w:rsid w:val="0079701D"/>
    <w:rPr>
      <w:color w:val="0000FF"/>
      <w:u w:val="single"/>
    </w:rPr>
  </w:style>
  <w:style w:type="character" w:styleId="ad">
    <w:name w:val="FollowedHyperlink"/>
    <w:basedOn w:val="a2"/>
    <w:uiPriority w:val="99"/>
    <w:semiHidden/>
    <w:unhideWhenUsed/>
    <w:rsid w:val="00201F8C"/>
    <w:rPr>
      <w:color w:val="954F72" w:themeColor="followedHyperlink"/>
      <w:u w:val="single"/>
    </w:rPr>
  </w:style>
  <w:style w:type="paragraph" w:customStyle="1" w:styleId="ae">
    <w:name w:val="問題"/>
    <w:basedOn w:val="a1"/>
    <w:qFormat/>
    <w:rsid w:val="00DB796B"/>
    <w:pPr>
      <w:spacing w:line="500" w:lineRule="exact"/>
      <w:ind w:left="614" w:hangingChars="256" w:hanging="614"/>
      <w:jc w:val="both"/>
    </w:pPr>
    <w:rPr>
      <w:rFonts w:ascii="Times New Roman" w:eastAsia="標楷體" w:hAnsi="Times New Roman"/>
      <w:sz w:val="32"/>
    </w:rPr>
  </w:style>
  <w:style w:type="paragraph" w:customStyle="1" w:styleId="af">
    <w:name w:val="答案"/>
    <w:basedOn w:val="ae"/>
    <w:qFormat/>
    <w:rsid w:val="00DB796B"/>
    <w:pPr>
      <w:ind w:left="627" w:hangingChars="196" w:hanging="627"/>
    </w:pPr>
  </w:style>
  <w:style w:type="paragraph" w:customStyle="1" w:styleId="a0">
    <w:name w:val="分項段落"/>
    <w:basedOn w:val="a1"/>
    <w:rsid w:val="00C54D64"/>
    <w:pPr>
      <w:numPr>
        <w:numId w:val="4"/>
      </w:numPr>
      <w:snapToGrid w:val="0"/>
      <w:ind w:left="1009" w:hanging="697"/>
    </w:pPr>
    <w:rPr>
      <w:rFonts w:ascii="Times New Roman" w:eastAsia="標楷體" w:hAnsi="Times New Roman" w:cs="Times New Roman"/>
      <w:sz w:val="32"/>
      <w:szCs w:val="20"/>
    </w:rPr>
  </w:style>
  <w:style w:type="paragraph" w:customStyle="1" w:styleId="af0">
    <w:name w:val="自用內文"/>
    <w:basedOn w:val="a0"/>
    <w:qFormat/>
    <w:rsid w:val="00C54D64"/>
    <w:pPr>
      <w:spacing w:line="500" w:lineRule="exact"/>
      <w:jc w:val="both"/>
    </w:pPr>
  </w:style>
  <w:style w:type="character" w:styleId="af1">
    <w:name w:val="Strong"/>
    <w:qFormat/>
    <w:rsid w:val="00F5367C"/>
    <w:rPr>
      <w:b/>
      <w:bCs/>
    </w:rPr>
  </w:style>
  <w:style w:type="paragraph" w:styleId="2">
    <w:name w:val="Body Text Indent 2"/>
    <w:basedOn w:val="a1"/>
    <w:link w:val="20"/>
    <w:rsid w:val="003F6AF4"/>
    <w:pPr>
      <w:widowControl/>
      <w:adjustRightInd w:val="0"/>
      <w:snapToGrid w:val="0"/>
      <w:ind w:leftChars="247" w:left="953" w:hangingChars="150" w:hanging="360"/>
      <w:jc w:val="both"/>
    </w:pPr>
    <w:rPr>
      <w:rFonts w:ascii="新細明體" w:eastAsia="新細明體" w:hAnsi="新細明體" w:cs="Times New Roman"/>
      <w:kern w:val="0"/>
      <w:szCs w:val="24"/>
    </w:rPr>
  </w:style>
  <w:style w:type="character" w:customStyle="1" w:styleId="20">
    <w:name w:val="本文縮排 2 字元"/>
    <w:basedOn w:val="a2"/>
    <w:link w:val="2"/>
    <w:rsid w:val="003F6AF4"/>
    <w:rPr>
      <w:rFonts w:ascii="新細明體" w:eastAsia="新細明體" w:hAnsi="新細明體"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List Bullet"/>
    <w:basedOn w:val="a1"/>
    <w:uiPriority w:val="99"/>
    <w:unhideWhenUsed/>
    <w:rsid w:val="002B5002"/>
    <w:pPr>
      <w:numPr>
        <w:numId w:val="1"/>
      </w:numPr>
      <w:contextualSpacing/>
    </w:pPr>
  </w:style>
  <w:style w:type="paragraph" w:styleId="a5">
    <w:name w:val="List Paragraph"/>
    <w:basedOn w:val="a1"/>
    <w:uiPriority w:val="34"/>
    <w:qFormat/>
    <w:rsid w:val="003A3872"/>
    <w:pPr>
      <w:ind w:leftChars="200" w:left="480"/>
    </w:pPr>
  </w:style>
  <w:style w:type="paragraph" w:styleId="a6">
    <w:name w:val="Balloon Text"/>
    <w:basedOn w:val="a1"/>
    <w:link w:val="a7"/>
    <w:uiPriority w:val="99"/>
    <w:semiHidden/>
    <w:unhideWhenUsed/>
    <w:rsid w:val="00B74D22"/>
    <w:rPr>
      <w:rFonts w:asciiTheme="majorHAnsi" w:eastAsiaTheme="majorEastAsia" w:hAnsiTheme="majorHAnsi" w:cstheme="majorBidi"/>
      <w:sz w:val="18"/>
      <w:szCs w:val="18"/>
    </w:rPr>
  </w:style>
  <w:style w:type="character" w:customStyle="1" w:styleId="a7">
    <w:name w:val="註解方塊文字 字元"/>
    <w:basedOn w:val="a2"/>
    <w:link w:val="a6"/>
    <w:uiPriority w:val="99"/>
    <w:semiHidden/>
    <w:rsid w:val="00B74D22"/>
    <w:rPr>
      <w:rFonts w:asciiTheme="majorHAnsi" w:eastAsiaTheme="majorEastAsia" w:hAnsiTheme="majorHAnsi" w:cstheme="majorBidi"/>
      <w:sz w:val="18"/>
      <w:szCs w:val="18"/>
    </w:rPr>
  </w:style>
  <w:style w:type="paragraph" w:styleId="a8">
    <w:name w:val="header"/>
    <w:basedOn w:val="a1"/>
    <w:link w:val="a9"/>
    <w:uiPriority w:val="99"/>
    <w:unhideWhenUsed/>
    <w:rsid w:val="00756F62"/>
    <w:pPr>
      <w:tabs>
        <w:tab w:val="center" w:pos="4153"/>
        <w:tab w:val="right" w:pos="8306"/>
      </w:tabs>
      <w:snapToGrid w:val="0"/>
    </w:pPr>
    <w:rPr>
      <w:sz w:val="20"/>
      <w:szCs w:val="20"/>
    </w:rPr>
  </w:style>
  <w:style w:type="character" w:customStyle="1" w:styleId="a9">
    <w:name w:val="頁首 字元"/>
    <w:basedOn w:val="a2"/>
    <w:link w:val="a8"/>
    <w:uiPriority w:val="99"/>
    <w:rsid w:val="00756F62"/>
    <w:rPr>
      <w:sz w:val="20"/>
      <w:szCs w:val="20"/>
    </w:rPr>
  </w:style>
  <w:style w:type="paragraph" w:styleId="aa">
    <w:name w:val="footer"/>
    <w:basedOn w:val="a1"/>
    <w:link w:val="ab"/>
    <w:uiPriority w:val="99"/>
    <w:unhideWhenUsed/>
    <w:rsid w:val="00756F62"/>
    <w:pPr>
      <w:tabs>
        <w:tab w:val="center" w:pos="4153"/>
        <w:tab w:val="right" w:pos="8306"/>
      </w:tabs>
      <w:snapToGrid w:val="0"/>
    </w:pPr>
    <w:rPr>
      <w:sz w:val="20"/>
      <w:szCs w:val="20"/>
    </w:rPr>
  </w:style>
  <w:style w:type="character" w:customStyle="1" w:styleId="ab">
    <w:name w:val="頁尾 字元"/>
    <w:basedOn w:val="a2"/>
    <w:link w:val="aa"/>
    <w:uiPriority w:val="99"/>
    <w:rsid w:val="00756F62"/>
    <w:rPr>
      <w:sz w:val="20"/>
      <w:szCs w:val="20"/>
    </w:rPr>
  </w:style>
  <w:style w:type="character" w:styleId="ac">
    <w:name w:val="Hyperlink"/>
    <w:basedOn w:val="a2"/>
    <w:uiPriority w:val="99"/>
    <w:semiHidden/>
    <w:unhideWhenUsed/>
    <w:rsid w:val="0079701D"/>
    <w:rPr>
      <w:color w:val="0000FF"/>
      <w:u w:val="single"/>
    </w:rPr>
  </w:style>
  <w:style w:type="character" w:styleId="ad">
    <w:name w:val="FollowedHyperlink"/>
    <w:basedOn w:val="a2"/>
    <w:uiPriority w:val="99"/>
    <w:semiHidden/>
    <w:unhideWhenUsed/>
    <w:rsid w:val="00201F8C"/>
    <w:rPr>
      <w:color w:val="954F72" w:themeColor="followedHyperlink"/>
      <w:u w:val="single"/>
    </w:rPr>
  </w:style>
  <w:style w:type="paragraph" w:customStyle="1" w:styleId="ae">
    <w:name w:val="問題"/>
    <w:basedOn w:val="a1"/>
    <w:qFormat/>
    <w:rsid w:val="00DB796B"/>
    <w:pPr>
      <w:spacing w:line="500" w:lineRule="exact"/>
      <w:ind w:left="614" w:hangingChars="256" w:hanging="614"/>
      <w:jc w:val="both"/>
    </w:pPr>
    <w:rPr>
      <w:rFonts w:ascii="Times New Roman" w:eastAsia="標楷體" w:hAnsi="Times New Roman"/>
      <w:sz w:val="32"/>
    </w:rPr>
  </w:style>
  <w:style w:type="paragraph" w:customStyle="1" w:styleId="af">
    <w:name w:val="答案"/>
    <w:basedOn w:val="ae"/>
    <w:qFormat/>
    <w:rsid w:val="00DB796B"/>
    <w:pPr>
      <w:ind w:left="627" w:hangingChars="196" w:hanging="627"/>
    </w:pPr>
  </w:style>
  <w:style w:type="paragraph" w:customStyle="1" w:styleId="a0">
    <w:name w:val="分項段落"/>
    <w:basedOn w:val="a1"/>
    <w:rsid w:val="00C54D64"/>
    <w:pPr>
      <w:numPr>
        <w:numId w:val="4"/>
      </w:numPr>
      <w:snapToGrid w:val="0"/>
      <w:ind w:left="1009" w:hanging="697"/>
    </w:pPr>
    <w:rPr>
      <w:rFonts w:ascii="Times New Roman" w:eastAsia="標楷體" w:hAnsi="Times New Roman" w:cs="Times New Roman"/>
      <w:sz w:val="32"/>
      <w:szCs w:val="20"/>
    </w:rPr>
  </w:style>
  <w:style w:type="paragraph" w:customStyle="1" w:styleId="af0">
    <w:name w:val="自用內文"/>
    <w:basedOn w:val="a0"/>
    <w:qFormat/>
    <w:rsid w:val="00C54D64"/>
    <w:pPr>
      <w:spacing w:line="500" w:lineRule="exact"/>
      <w:jc w:val="both"/>
    </w:pPr>
  </w:style>
  <w:style w:type="character" w:styleId="af1">
    <w:name w:val="Strong"/>
    <w:qFormat/>
    <w:rsid w:val="00F5367C"/>
    <w:rPr>
      <w:b/>
      <w:bCs/>
    </w:rPr>
  </w:style>
  <w:style w:type="paragraph" w:styleId="2">
    <w:name w:val="Body Text Indent 2"/>
    <w:basedOn w:val="a1"/>
    <w:link w:val="20"/>
    <w:rsid w:val="003F6AF4"/>
    <w:pPr>
      <w:widowControl/>
      <w:adjustRightInd w:val="0"/>
      <w:snapToGrid w:val="0"/>
      <w:ind w:leftChars="247" w:left="953" w:hangingChars="150" w:hanging="360"/>
      <w:jc w:val="both"/>
    </w:pPr>
    <w:rPr>
      <w:rFonts w:ascii="新細明體" w:eastAsia="新細明體" w:hAnsi="新細明體" w:cs="Times New Roman"/>
      <w:kern w:val="0"/>
      <w:szCs w:val="24"/>
    </w:rPr>
  </w:style>
  <w:style w:type="character" w:customStyle="1" w:styleId="20">
    <w:name w:val="本文縮排 2 字元"/>
    <w:basedOn w:val="a2"/>
    <w:link w:val="2"/>
    <w:rsid w:val="003F6AF4"/>
    <w:rPr>
      <w:rFonts w:ascii="新細明體" w:eastAsia="新細明體" w:hAnsi="新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637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7F71-11C3-4A23-8674-3A309BD1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3323</Words>
  <Characters>18944</Characters>
  <Application>Microsoft Office Word</Application>
  <DocSecurity>0</DocSecurity>
  <Lines>157</Lines>
  <Paragraphs>44</Paragraphs>
  <ScaleCrop>false</ScaleCrop>
  <Company>Hewlett-Packard Company</Company>
  <LinksUpToDate>false</LinksUpToDate>
  <CharactersWithSpaces>22223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邱之駿</dc:creator>
  <cp:lastModifiedBy>李智雯leejrwen</cp:lastModifiedBy>
  <cp:revision>3</cp:revision>
  <cp:lastPrinted>2017-05-16T08:14:00Z</cp:lastPrinted>
  <dcterms:created xsi:type="dcterms:W3CDTF">2017-05-16T08:04:00Z</dcterms:created>
  <dcterms:modified xsi:type="dcterms:W3CDTF">2017-05-16T08:16:00Z</dcterms:modified>
</cp:coreProperties>
</file>