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CE" w:rsidRPr="00D758A0" w:rsidRDefault="00EA28CE" w:rsidP="00EA28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D758A0">
        <w:rPr>
          <w:rFonts w:ascii="標楷體" w:eastAsia="標楷體" w:hAnsi="標楷體" w:cs="細明體"/>
          <w:kern w:val="0"/>
          <w:sz w:val="40"/>
          <w:szCs w:val="40"/>
        </w:rPr>
        <w:t>國際</w:t>
      </w:r>
      <w:r w:rsidRPr="00D758A0">
        <w:rPr>
          <w:rFonts w:ascii="標楷體" w:eastAsia="標楷體" w:hAnsi="標楷體" w:cs="細明體" w:hint="eastAsia"/>
          <w:kern w:val="0"/>
          <w:sz w:val="40"/>
          <w:szCs w:val="40"/>
        </w:rPr>
        <w:t>保險</w:t>
      </w:r>
      <w:r w:rsidRPr="00D758A0">
        <w:rPr>
          <w:rFonts w:ascii="標楷體" w:eastAsia="標楷體" w:hAnsi="標楷體" w:cs="細明體"/>
          <w:kern w:val="0"/>
          <w:sz w:val="40"/>
          <w:szCs w:val="40"/>
        </w:rPr>
        <w:t>業務分公司管理辦法總說明</w:t>
      </w:r>
    </w:p>
    <w:p w:rsidR="00EA28CE" w:rsidRPr="00EA28CE" w:rsidRDefault="00EA28CE" w:rsidP="00D758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/>
          <w:kern w:val="0"/>
          <w:sz w:val="28"/>
          <w:szCs w:val="28"/>
        </w:rPr>
        <w:t>國際金融業務條例（以下簡稱本條例）部分條文修正案業經總統以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一百零四年二月四日華總</w:t>
      </w:r>
      <w:proofErr w:type="gramStart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一義字第一○四○○○一四二八一</w:t>
      </w:r>
      <w:proofErr w:type="gramEnd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號令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修正公布。為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擴大保險業者商機，增進我國保險市場國際競爭力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，及健全國際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業務分公司之經營，</w:t>
      </w:r>
      <w:proofErr w:type="gramStart"/>
      <w:r w:rsidRPr="00EA28CE">
        <w:rPr>
          <w:rFonts w:ascii="標楷體" w:eastAsia="標楷體" w:hAnsi="標楷體" w:cs="細明體"/>
          <w:kern w:val="0"/>
          <w:sz w:val="28"/>
          <w:szCs w:val="28"/>
        </w:rPr>
        <w:t>爰</w:t>
      </w:r>
      <w:proofErr w:type="gramEnd"/>
      <w:r w:rsidRPr="00EA28CE">
        <w:rPr>
          <w:rFonts w:ascii="標楷體" w:eastAsia="標楷體" w:hAnsi="標楷體" w:cs="細明體"/>
          <w:kern w:val="0"/>
          <w:sz w:val="28"/>
          <w:szCs w:val="28"/>
        </w:rPr>
        <w:t>依本條例第二十二條之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十五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第二項規定，訂定本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管理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辦法。本辦法計十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條，其要點如下：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5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/>
          <w:kern w:val="0"/>
          <w:sz w:val="28"/>
          <w:szCs w:val="28"/>
        </w:rPr>
        <w:t>定明國際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業務分公司業務狀況之申報內容及方式。（第二條）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/>
          <w:kern w:val="0"/>
          <w:sz w:val="28"/>
          <w:szCs w:val="28"/>
        </w:rPr>
        <w:t>規定國際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業務分公司內部控制制度應依規定訂定，其業務之經營，應依法令、章程及內部控制制度為之。（第三條）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/>
          <w:kern w:val="0"/>
          <w:sz w:val="28"/>
          <w:szCs w:val="28"/>
        </w:rPr>
        <w:t>定明主管機關得隨時派員或委託適當機構檢查國際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業務分公司，以健全其業務經營並保障投資人權益。（第四條）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/>
          <w:kern w:val="0"/>
          <w:sz w:val="28"/>
          <w:szCs w:val="28"/>
        </w:rPr>
        <w:t>規定國際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業務分公司向主管機關申報之資產負債表及綜合損益表，應經會計師查核簽證或核</w:t>
      </w:r>
      <w:proofErr w:type="gramStart"/>
      <w:r w:rsidRPr="00EA28CE">
        <w:rPr>
          <w:rFonts w:ascii="標楷體" w:eastAsia="標楷體" w:hAnsi="標楷體" w:cs="細明體"/>
          <w:kern w:val="0"/>
          <w:sz w:val="28"/>
          <w:szCs w:val="28"/>
        </w:rPr>
        <w:t>閱</w:t>
      </w:r>
      <w:proofErr w:type="gramEnd"/>
      <w:r w:rsidRPr="00EA28CE">
        <w:rPr>
          <w:rFonts w:ascii="標楷體" w:eastAsia="標楷體" w:hAnsi="標楷體" w:cs="細明體"/>
          <w:kern w:val="0"/>
          <w:sz w:val="28"/>
          <w:szCs w:val="28"/>
        </w:rPr>
        <w:t>，以允當真實表達其財務狀況及經營成果。（第五條）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定明外國</w:t>
      </w:r>
      <w:bookmarkStart w:id="0" w:name="_GoBack"/>
      <w:bookmarkEnd w:id="0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保險業國際保險業務分公司盈餘匯出之規定。(第六條)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/>
          <w:kern w:val="0"/>
          <w:sz w:val="28"/>
          <w:szCs w:val="28"/>
        </w:rPr>
        <w:t>鑒於國際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業務分公司係總公司管轄之分支機構，規定其自有資本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與風險資本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比率應與其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所屬本國保險業總公司或外國保險業在我國分公司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合併計算，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其比率不得低於百分之二百。國際保險業務分公司淨值應達一百萬美元。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金融監督管理委員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會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對於未達標準者，得停止其辦理國際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業務分公司業務或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廢止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其國際</w:t>
      </w: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</w:t>
      </w:r>
      <w:r w:rsidRPr="00EA28CE">
        <w:rPr>
          <w:rFonts w:ascii="標楷體" w:eastAsia="標楷體" w:hAnsi="標楷體" w:cs="細明體"/>
          <w:kern w:val="0"/>
          <w:sz w:val="28"/>
          <w:szCs w:val="28"/>
        </w:rPr>
        <w:t>業務分公司之營業許可，並通知中央銀行。（第七條）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規定國際保險業務分公司經理人之資格條件。（第八條）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定明保險商品送審方式及應遵循規定。(第九條)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定明保險商品準備金提存之規定。(第十條)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7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定明國際保險業務分公司對資產品質之評估、逾期放款、催收款之清理、呆帳之轉銷規定。(第十一條)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5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定明國際保險業務分公司經營國際保險業務之風險</w:t>
      </w:r>
      <w:proofErr w:type="gramStart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自留及再</w:t>
      </w:r>
      <w:proofErr w:type="gramEnd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保險分出、</w:t>
      </w:r>
      <w:proofErr w:type="gramStart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分入之</w:t>
      </w:r>
      <w:proofErr w:type="gramEnd"/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規定。(第十二條)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5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定明國際保險業務分公司應訂定招攬及核保理賠處理制度及程序，及該制度及程序應包含事項。(第十三條)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5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定明國際保險業務分公司應確認保險業務員、往來保險經紀人及保險代理人符合相關規定。(第十四條)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5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定明國際保險業務分公司資金運用之項目、限額及其他應遵循事項。(第十五條)</w:t>
      </w:r>
    </w:p>
    <w:p w:rsidR="00EA28CE" w:rsidRPr="00EA28CE" w:rsidRDefault="00EA28CE" w:rsidP="00D758A0">
      <w:pPr>
        <w:widowControl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5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EA28CE">
        <w:rPr>
          <w:rFonts w:ascii="標楷體" w:eastAsia="標楷體" w:hAnsi="標楷體" w:cs="細明體" w:hint="eastAsia"/>
          <w:kern w:val="0"/>
          <w:sz w:val="28"/>
          <w:szCs w:val="28"/>
        </w:rPr>
        <w:t>定明國際保險業務分公司專營專業再保險業務，其母國法令或總公司制度有不低於我國法令之規定者，得依其母國法令規定或總公司制度辦理之規定。(第十六條)</w:t>
      </w:r>
    </w:p>
    <w:p w:rsidR="00EA28CE" w:rsidRPr="00EA28CE" w:rsidRDefault="00EA28CE" w:rsidP="00EA28CE">
      <w:pPr>
        <w:rPr>
          <w:rFonts w:ascii="Calibri" w:eastAsia="新細明體" w:hAnsi="Calibri" w:cs="Times New Roman"/>
        </w:rPr>
      </w:pPr>
      <w:r w:rsidRPr="00EA28CE">
        <w:rPr>
          <w:rFonts w:ascii="Calibri" w:eastAsia="新細明體" w:hAnsi="Calibri" w:cs="Times New Roman"/>
        </w:rPr>
        <w:t xml:space="preserve"> </w:t>
      </w:r>
    </w:p>
    <w:p w:rsidR="00EA28CE" w:rsidRPr="00EA28CE" w:rsidRDefault="00EA28CE" w:rsidP="00EA28CE">
      <w:pPr>
        <w:widowControl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28"/>
          <w:szCs w:val="28"/>
        </w:rPr>
      </w:pPr>
    </w:p>
    <w:sectPr w:rsidR="00EA28CE" w:rsidRPr="00EA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D9" w:rsidRDefault="005E75D9" w:rsidP="00EA28CE">
      <w:r>
        <w:separator/>
      </w:r>
    </w:p>
  </w:endnote>
  <w:endnote w:type="continuationSeparator" w:id="0">
    <w:p w:rsidR="005E75D9" w:rsidRDefault="005E75D9" w:rsidP="00EA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BA" w:rsidRDefault="002212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07" w:rsidRDefault="00A052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58A0" w:rsidRPr="00D758A0">
      <w:rPr>
        <w:noProof/>
        <w:lang w:val="zh-TW"/>
      </w:rPr>
      <w:t>2</w:t>
    </w:r>
    <w:r>
      <w:fldChar w:fldCharType="end"/>
    </w:r>
  </w:p>
  <w:p w:rsidR="00934807" w:rsidRDefault="005E75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BA" w:rsidRDefault="00221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D9" w:rsidRDefault="005E75D9" w:rsidP="00EA28CE">
      <w:r>
        <w:separator/>
      </w:r>
    </w:p>
  </w:footnote>
  <w:footnote w:type="continuationSeparator" w:id="0">
    <w:p w:rsidR="005E75D9" w:rsidRDefault="005E75D9" w:rsidP="00EA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BA" w:rsidRDefault="00221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BA" w:rsidRDefault="002212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BA" w:rsidRDefault="002212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611"/>
    <w:multiLevelType w:val="hybridMultilevel"/>
    <w:tmpl w:val="7F16DC86"/>
    <w:lvl w:ilvl="0" w:tplc="923EF3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25AD7"/>
    <w:multiLevelType w:val="hybridMultilevel"/>
    <w:tmpl w:val="B37E58C0"/>
    <w:lvl w:ilvl="0" w:tplc="A474957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05A99"/>
    <w:multiLevelType w:val="hybridMultilevel"/>
    <w:tmpl w:val="CBD427B8"/>
    <w:lvl w:ilvl="0" w:tplc="5E9E5024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C9630BF"/>
    <w:multiLevelType w:val="hybridMultilevel"/>
    <w:tmpl w:val="7F16DC86"/>
    <w:lvl w:ilvl="0" w:tplc="923EF3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B11C50"/>
    <w:multiLevelType w:val="hybridMultilevel"/>
    <w:tmpl w:val="CBD427B8"/>
    <w:lvl w:ilvl="0" w:tplc="5E9E5024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01F3204"/>
    <w:multiLevelType w:val="hybridMultilevel"/>
    <w:tmpl w:val="CBD427B8"/>
    <w:lvl w:ilvl="0" w:tplc="5E9E5024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C5773EF"/>
    <w:multiLevelType w:val="hybridMultilevel"/>
    <w:tmpl w:val="136ED5C8"/>
    <w:lvl w:ilvl="0" w:tplc="8152B5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81249"/>
    <w:multiLevelType w:val="hybridMultilevel"/>
    <w:tmpl w:val="CE88B2A8"/>
    <w:lvl w:ilvl="0" w:tplc="4A54F2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3"/>
    <w:rsid w:val="000331A4"/>
    <w:rsid w:val="002212BA"/>
    <w:rsid w:val="00580013"/>
    <w:rsid w:val="005E75D9"/>
    <w:rsid w:val="00761E4B"/>
    <w:rsid w:val="00A05295"/>
    <w:rsid w:val="00B15430"/>
    <w:rsid w:val="00B95819"/>
    <w:rsid w:val="00BE3473"/>
    <w:rsid w:val="00D758A0"/>
    <w:rsid w:val="00E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8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8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8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楊森凱</dc:creator>
  <cp:keywords/>
  <dc:description/>
  <cp:lastModifiedBy>楊森凱</cp:lastModifiedBy>
  <cp:revision>6</cp:revision>
  <dcterms:created xsi:type="dcterms:W3CDTF">2015-05-08T02:48:00Z</dcterms:created>
  <dcterms:modified xsi:type="dcterms:W3CDTF">2015-05-12T08:35:00Z</dcterms:modified>
</cp:coreProperties>
</file>