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3" w:rsidRPr="00B532F1" w:rsidRDefault="00192F4C" w:rsidP="00042344">
      <w:pPr>
        <w:spacing w:afterLines="50" w:after="180" w:line="480" w:lineRule="exact"/>
        <w:ind w:rightChars="-7" w:right="-17"/>
        <w:rPr>
          <w:rFonts w:eastAsia="標楷體"/>
          <w:bCs/>
          <w:sz w:val="40"/>
          <w:szCs w:val="40"/>
        </w:rPr>
      </w:pPr>
      <w:bookmarkStart w:id="0" w:name="_GoBack"/>
      <w:bookmarkEnd w:id="0"/>
      <w:r w:rsidRPr="00A93E5D">
        <w:rPr>
          <w:rFonts w:eastAsia="標楷體" w:hint="eastAsia"/>
          <w:bCs/>
          <w:sz w:val="40"/>
          <w:szCs w:val="40"/>
        </w:rPr>
        <w:t>保險業</w:t>
      </w:r>
      <w:r w:rsidR="00B532F1">
        <w:rPr>
          <w:rFonts w:eastAsia="標楷體" w:hint="eastAsia"/>
          <w:bCs/>
          <w:sz w:val="40"/>
          <w:szCs w:val="40"/>
        </w:rPr>
        <w:t>簽證精算人員管理</w:t>
      </w:r>
      <w:r w:rsidRPr="00A93E5D">
        <w:rPr>
          <w:rFonts w:eastAsia="標楷體" w:hint="eastAsia"/>
          <w:bCs/>
          <w:sz w:val="40"/>
          <w:szCs w:val="40"/>
        </w:rPr>
        <w:t>辦法</w:t>
      </w:r>
      <w:r w:rsidR="00BA0288" w:rsidRPr="00BA0288">
        <w:rPr>
          <w:rFonts w:ascii="標楷體" w:eastAsia="標楷體" w:hAnsi="標楷體" w:hint="eastAsia"/>
          <w:sz w:val="40"/>
          <w:szCs w:val="40"/>
        </w:rPr>
        <w:t>修正</w:t>
      </w:r>
      <w:r w:rsidR="001943B7">
        <w:rPr>
          <w:rFonts w:ascii="標楷體" w:eastAsia="標楷體" w:hAnsi="標楷體" w:hint="eastAsia"/>
          <w:sz w:val="40"/>
          <w:szCs w:val="40"/>
        </w:rPr>
        <w:t>草案</w:t>
      </w:r>
      <w:r w:rsidR="00A93E5D" w:rsidRPr="00A93E5D">
        <w:rPr>
          <w:rFonts w:eastAsia="標楷體" w:hint="eastAsia"/>
          <w:bCs/>
          <w:sz w:val="40"/>
          <w:szCs w:val="40"/>
        </w:rPr>
        <w:t>總說明</w:t>
      </w:r>
    </w:p>
    <w:p w:rsidR="00DD6635" w:rsidRPr="004A78F6" w:rsidRDefault="00BE05A0" w:rsidP="00DD6635">
      <w:pPr>
        <w:spacing w:line="460" w:lineRule="exact"/>
        <w:jc w:val="both"/>
        <w:rPr>
          <w:rFonts w:eastAsia="標楷體" w:hAnsi="Arial" w:cs="Arial"/>
          <w:sz w:val="28"/>
          <w:szCs w:val="28"/>
        </w:rPr>
      </w:pPr>
      <w:r w:rsidRPr="004A78F6">
        <w:rPr>
          <w:rFonts w:eastAsia="標楷體"/>
          <w:sz w:val="28"/>
          <w:szCs w:val="28"/>
        </w:rPr>
        <w:t xml:space="preserve">　　</w:t>
      </w:r>
      <w:r w:rsidR="00DD6635" w:rsidRPr="004A78F6">
        <w:rPr>
          <w:rFonts w:eastAsia="標楷體"/>
          <w:sz w:val="28"/>
          <w:szCs w:val="28"/>
        </w:rPr>
        <w:t>「保險業簽證精算人員管理辦法」</w:t>
      </w:r>
      <w:r w:rsidR="00DD6635" w:rsidRPr="004A78F6">
        <w:rPr>
          <w:rFonts w:eastAsia="標楷體"/>
          <w:sz w:val="28"/>
          <w:szCs w:val="28"/>
        </w:rPr>
        <w:t>(</w:t>
      </w:r>
      <w:r w:rsidR="00DD6635" w:rsidRPr="004A78F6">
        <w:rPr>
          <w:rFonts w:eastAsia="標楷體"/>
          <w:sz w:val="28"/>
          <w:szCs w:val="28"/>
        </w:rPr>
        <w:t>以下簡稱本辦法</w:t>
      </w:r>
      <w:r w:rsidR="00DD6635" w:rsidRPr="004A78F6">
        <w:rPr>
          <w:rFonts w:eastAsia="標楷體"/>
          <w:sz w:val="28"/>
          <w:szCs w:val="28"/>
        </w:rPr>
        <w:t>)</w:t>
      </w:r>
      <w:r w:rsidR="00DD6635" w:rsidRPr="004A78F6">
        <w:rPr>
          <w:rFonts w:eastAsia="標楷體"/>
          <w:sz w:val="28"/>
          <w:szCs w:val="28"/>
        </w:rPr>
        <w:t>於</w:t>
      </w:r>
      <w:r w:rsidR="00DD6635" w:rsidRPr="004A78F6">
        <w:rPr>
          <w:rFonts w:eastAsia="標楷體" w:hint="eastAsia"/>
          <w:sz w:val="28"/>
          <w:szCs w:val="28"/>
        </w:rPr>
        <w:t>中華民國</w:t>
      </w:r>
      <w:r w:rsidR="00DD6635" w:rsidRPr="004A78F6">
        <w:rPr>
          <w:rFonts w:eastAsia="標楷體" w:hint="eastAsia"/>
          <w:sz w:val="28"/>
          <w:szCs w:val="28"/>
        </w:rPr>
        <w:t>(</w:t>
      </w:r>
      <w:r w:rsidR="00DD6635" w:rsidRPr="004A78F6">
        <w:rPr>
          <w:rFonts w:eastAsia="標楷體" w:hint="eastAsia"/>
          <w:sz w:val="28"/>
          <w:szCs w:val="28"/>
        </w:rPr>
        <w:t>以下同</w:t>
      </w:r>
      <w:r w:rsidR="00DD6635" w:rsidRPr="004A78F6">
        <w:rPr>
          <w:rFonts w:eastAsia="標楷體" w:hint="eastAsia"/>
          <w:sz w:val="28"/>
          <w:szCs w:val="28"/>
        </w:rPr>
        <w:t>)</w:t>
      </w:r>
      <w:r w:rsidR="00DD6635" w:rsidRPr="004A78F6">
        <w:rPr>
          <w:rFonts w:eastAsia="標楷體" w:hint="eastAsia"/>
          <w:sz w:val="28"/>
          <w:szCs w:val="28"/>
        </w:rPr>
        <w:t>九十</w:t>
      </w:r>
      <w:r w:rsidR="00DD6635" w:rsidRPr="004A78F6">
        <w:rPr>
          <w:rFonts w:eastAsia="標楷體"/>
          <w:sz w:val="28"/>
          <w:szCs w:val="28"/>
        </w:rPr>
        <w:t>年</w:t>
      </w:r>
      <w:r w:rsidR="00DD6635" w:rsidRPr="004A78F6">
        <w:rPr>
          <w:rFonts w:eastAsia="標楷體" w:hint="eastAsia"/>
          <w:sz w:val="28"/>
          <w:szCs w:val="28"/>
        </w:rPr>
        <w:t>十二</w:t>
      </w:r>
      <w:r w:rsidR="00DD6635" w:rsidRPr="004A78F6">
        <w:rPr>
          <w:rFonts w:eastAsia="標楷體"/>
          <w:sz w:val="28"/>
          <w:szCs w:val="28"/>
        </w:rPr>
        <w:t>月</w:t>
      </w:r>
      <w:r w:rsidR="00DD6635" w:rsidRPr="004A78F6">
        <w:rPr>
          <w:rFonts w:eastAsia="標楷體" w:hint="eastAsia"/>
          <w:sz w:val="28"/>
          <w:szCs w:val="28"/>
        </w:rPr>
        <w:t>二十</w:t>
      </w:r>
      <w:r w:rsidR="00DD6635" w:rsidRPr="004A78F6">
        <w:rPr>
          <w:rFonts w:eastAsia="標楷體"/>
          <w:sz w:val="28"/>
          <w:szCs w:val="28"/>
        </w:rPr>
        <w:t>日發布，嗣於</w:t>
      </w:r>
      <w:r w:rsidR="00DD6635" w:rsidRPr="004A78F6">
        <w:rPr>
          <w:rFonts w:eastAsia="標楷體" w:hint="eastAsia"/>
          <w:sz w:val="28"/>
          <w:szCs w:val="28"/>
        </w:rPr>
        <w:t>九十六</w:t>
      </w:r>
      <w:r w:rsidR="00DD6635" w:rsidRPr="004A78F6">
        <w:rPr>
          <w:rFonts w:eastAsia="標楷體"/>
          <w:sz w:val="28"/>
          <w:szCs w:val="28"/>
        </w:rPr>
        <w:t>年</w:t>
      </w:r>
      <w:r w:rsidR="00DD6635" w:rsidRPr="004A78F6">
        <w:rPr>
          <w:rFonts w:eastAsia="標楷體" w:hint="eastAsia"/>
          <w:sz w:val="28"/>
          <w:szCs w:val="28"/>
        </w:rPr>
        <w:t>十二</w:t>
      </w:r>
      <w:r w:rsidR="00DD6635" w:rsidRPr="004A78F6">
        <w:rPr>
          <w:rFonts w:eastAsia="標楷體"/>
          <w:sz w:val="28"/>
          <w:szCs w:val="28"/>
        </w:rPr>
        <w:t>月</w:t>
      </w:r>
      <w:r w:rsidR="00DD6635" w:rsidRPr="004A78F6">
        <w:rPr>
          <w:rFonts w:eastAsia="標楷體" w:hint="eastAsia"/>
          <w:sz w:val="28"/>
          <w:szCs w:val="28"/>
        </w:rPr>
        <w:t>三十一</w:t>
      </w:r>
      <w:r w:rsidR="00DD6635" w:rsidRPr="004A78F6">
        <w:rPr>
          <w:rFonts w:eastAsia="標楷體"/>
          <w:sz w:val="28"/>
          <w:szCs w:val="28"/>
        </w:rPr>
        <w:t>日全文修正，其中</w:t>
      </w:r>
      <w:r w:rsidR="00DD6635" w:rsidRPr="004A78F6">
        <w:rPr>
          <w:rFonts w:eastAsia="標楷體" w:hint="eastAsia"/>
          <w:sz w:val="28"/>
          <w:szCs w:val="28"/>
        </w:rPr>
        <w:t>除</w:t>
      </w:r>
      <w:r w:rsidR="00DD6635" w:rsidRPr="004A78F6">
        <w:rPr>
          <w:rFonts w:eastAsia="標楷體"/>
          <w:sz w:val="28"/>
          <w:szCs w:val="28"/>
        </w:rPr>
        <w:t>第</w:t>
      </w:r>
      <w:r w:rsidR="00DD6635" w:rsidRPr="004A78F6">
        <w:rPr>
          <w:rFonts w:eastAsia="標楷體" w:hint="eastAsia"/>
          <w:sz w:val="28"/>
          <w:szCs w:val="28"/>
        </w:rPr>
        <w:t>六</w:t>
      </w:r>
      <w:r w:rsidR="00DD6635" w:rsidRPr="004A78F6">
        <w:rPr>
          <w:rFonts w:eastAsia="標楷體"/>
          <w:sz w:val="28"/>
          <w:szCs w:val="28"/>
        </w:rPr>
        <w:t>條各項簽證項目之施行日期另行指定外，餘自發布日施行。本次為配合保險法</w:t>
      </w:r>
      <w:r w:rsidR="00DD6635" w:rsidRPr="004A78F6">
        <w:rPr>
          <w:rFonts w:eastAsia="標楷體" w:hint="eastAsia"/>
          <w:sz w:val="28"/>
          <w:szCs w:val="28"/>
        </w:rPr>
        <w:t>(</w:t>
      </w:r>
      <w:r w:rsidR="00DD6635" w:rsidRPr="004A78F6">
        <w:rPr>
          <w:rFonts w:eastAsia="標楷體" w:hint="eastAsia"/>
          <w:sz w:val="28"/>
          <w:szCs w:val="28"/>
        </w:rPr>
        <w:t>以下簡稱本法</w:t>
      </w:r>
      <w:r w:rsidR="00DD6635" w:rsidRPr="004A78F6">
        <w:rPr>
          <w:rFonts w:eastAsia="標楷體" w:hint="eastAsia"/>
          <w:sz w:val="28"/>
          <w:szCs w:val="28"/>
        </w:rPr>
        <w:t>)</w:t>
      </w:r>
      <w:r w:rsidR="00DD6635" w:rsidRPr="004A78F6">
        <w:rPr>
          <w:rFonts w:eastAsia="標楷體"/>
          <w:sz w:val="28"/>
          <w:szCs w:val="28"/>
        </w:rPr>
        <w:t>第</w:t>
      </w:r>
      <w:r w:rsidR="00DD6635" w:rsidRPr="004A78F6">
        <w:rPr>
          <w:rFonts w:eastAsia="標楷體" w:hint="eastAsia"/>
          <w:sz w:val="28"/>
          <w:szCs w:val="28"/>
        </w:rPr>
        <w:t>一百四十四</w:t>
      </w:r>
      <w:r w:rsidR="00DD6635" w:rsidRPr="004A78F6">
        <w:rPr>
          <w:rFonts w:eastAsia="標楷體"/>
          <w:sz w:val="28"/>
          <w:szCs w:val="28"/>
        </w:rPr>
        <w:t>條及第</w:t>
      </w:r>
      <w:r w:rsidR="00DD6635" w:rsidRPr="004A78F6">
        <w:rPr>
          <w:rFonts w:eastAsia="標楷體" w:hint="eastAsia"/>
          <w:sz w:val="28"/>
          <w:szCs w:val="28"/>
        </w:rPr>
        <w:t>一百七十一</w:t>
      </w:r>
      <w:r w:rsidR="00DD6635" w:rsidRPr="004A78F6">
        <w:rPr>
          <w:rFonts w:eastAsia="標楷體"/>
          <w:sz w:val="28"/>
          <w:szCs w:val="28"/>
        </w:rPr>
        <w:t>條增列外部複核精算人員相關規定，爰修正本辦法。</w:t>
      </w:r>
    </w:p>
    <w:p w:rsidR="00DD6635" w:rsidRPr="004A78F6" w:rsidRDefault="00DD6635" w:rsidP="00DD6635">
      <w:pPr>
        <w:spacing w:line="460" w:lineRule="exact"/>
        <w:ind w:firstLineChars="250" w:firstLine="700"/>
        <w:jc w:val="both"/>
        <w:rPr>
          <w:rFonts w:eastAsia="標楷體"/>
          <w:sz w:val="28"/>
          <w:szCs w:val="28"/>
        </w:rPr>
      </w:pPr>
      <w:r w:rsidRPr="004A78F6">
        <w:rPr>
          <w:rFonts w:eastAsia="標楷體" w:hAnsi="Arial" w:cs="Arial" w:hint="eastAsia"/>
          <w:sz w:val="28"/>
          <w:szCs w:val="28"/>
        </w:rPr>
        <w:t>本辦法除</w:t>
      </w:r>
      <w:r w:rsidRPr="004A78F6">
        <w:rPr>
          <w:rFonts w:eastAsia="標楷體"/>
          <w:sz w:val="28"/>
          <w:szCs w:val="28"/>
        </w:rPr>
        <w:t>名稱修正為「</w:t>
      </w:r>
      <w:hyperlink r:id="rId8" w:history="1">
        <w:r w:rsidRPr="004A78F6">
          <w:rPr>
            <w:rFonts w:eastAsia="標楷體"/>
            <w:kern w:val="0"/>
            <w:sz w:val="28"/>
            <w:szCs w:val="28"/>
          </w:rPr>
          <w:t>保險業簽證精算人員及外部複核精算人員管理辦法</w:t>
        </w:r>
      </w:hyperlink>
      <w:r w:rsidRPr="004A78F6">
        <w:rPr>
          <w:rFonts w:eastAsia="標楷體"/>
          <w:sz w:val="28"/>
          <w:szCs w:val="28"/>
        </w:rPr>
        <w:t>」外，其餘修正重點</w:t>
      </w:r>
      <w:r w:rsidRPr="004A78F6">
        <w:rPr>
          <w:rFonts w:eastAsia="標楷體" w:hAnsi="Arial" w:cs="Arial" w:hint="eastAsia"/>
          <w:sz w:val="28"/>
          <w:szCs w:val="28"/>
        </w:rPr>
        <w:t>臚列</w:t>
      </w:r>
      <w:r w:rsidRPr="004A78F6">
        <w:rPr>
          <w:rFonts w:eastAsia="標楷體"/>
          <w:sz w:val="28"/>
          <w:szCs w:val="28"/>
        </w:rPr>
        <w:t>如下：</w:t>
      </w:r>
    </w:p>
    <w:p w:rsidR="00DD6635" w:rsidRPr="004A78F6" w:rsidRDefault="00DD6635" w:rsidP="00DD6635">
      <w:pPr>
        <w:pStyle w:val="a9"/>
        <w:kinsoku w:val="0"/>
        <w:spacing w:line="460" w:lineRule="exact"/>
        <w:ind w:left="560" w:hangingChars="200" w:hanging="560"/>
        <w:jc w:val="both"/>
        <w:rPr>
          <w:rFonts w:ascii="標楷體" w:hAnsi="標楷體"/>
          <w:sz w:val="28"/>
          <w:szCs w:val="28"/>
        </w:rPr>
      </w:pPr>
      <w:r w:rsidRPr="004A78F6">
        <w:rPr>
          <w:rFonts w:hint="eastAsia"/>
          <w:sz w:val="28"/>
          <w:szCs w:val="28"/>
        </w:rPr>
        <w:t>一、配合本法</w:t>
      </w:r>
      <w:r w:rsidRPr="004A78F6">
        <w:rPr>
          <w:rFonts w:hint="eastAsia"/>
          <w:kern w:val="0"/>
          <w:sz w:val="28"/>
          <w:szCs w:val="28"/>
        </w:rPr>
        <w:t>第一百四十四條第三項條文規定，增列</w:t>
      </w:r>
      <w:r w:rsidRPr="004A78F6">
        <w:rPr>
          <w:rFonts w:hint="eastAsia"/>
          <w:sz w:val="28"/>
          <w:szCs w:val="28"/>
        </w:rPr>
        <w:t>授權依據。</w:t>
      </w:r>
      <w:r w:rsidRPr="004A78F6">
        <w:rPr>
          <w:rFonts w:hint="eastAsia"/>
          <w:sz w:val="28"/>
          <w:szCs w:val="28"/>
        </w:rPr>
        <w:t>(</w:t>
      </w:r>
      <w:r w:rsidRPr="004A78F6">
        <w:rPr>
          <w:rFonts w:hint="eastAsia"/>
          <w:sz w:val="28"/>
          <w:szCs w:val="28"/>
        </w:rPr>
        <w:t>修正條文</w:t>
      </w:r>
      <w:r w:rsidRPr="004A78F6">
        <w:rPr>
          <w:rFonts w:ascii="標楷體" w:hAnsi="標楷體" w:hint="eastAsia"/>
          <w:color w:val="000000"/>
          <w:sz w:val="28"/>
          <w:szCs w:val="28"/>
        </w:rPr>
        <w:t>第一條)</w:t>
      </w:r>
    </w:p>
    <w:p w:rsidR="00DD6635" w:rsidRPr="004A78F6" w:rsidRDefault="00DD6635" w:rsidP="00DD6635">
      <w:pPr>
        <w:pStyle w:val="a9"/>
        <w:kinsoku w:val="0"/>
        <w:spacing w:line="460" w:lineRule="exact"/>
        <w:ind w:left="560" w:hangingChars="200" w:hanging="560"/>
        <w:jc w:val="both"/>
        <w:rPr>
          <w:rFonts w:ascii="標楷體" w:hAnsi="標楷體"/>
          <w:sz w:val="28"/>
          <w:szCs w:val="28"/>
        </w:rPr>
      </w:pPr>
      <w:r w:rsidRPr="004A78F6">
        <w:rPr>
          <w:rFonts w:ascii="標楷體" w:hAnsi="標楷體" w:hint="eastAsia"/>
          <w:sz w:val="28"/>
          <w:szCs w:val="28"/>
        </w:rPr>
        <w:t>二、</w:t>
      </w:r>
      <w:r w:rsidRPr="004A78F6">
        <w:rPr>
          <w:rFonts w:hint="eastAsia"/>
          <w:kern w:val="0"/>
          <w:sz w:val="28"/>
          <w:szCs w:val="28"/>
        </w:rPr>
        <w:t>明定外部</w:t>
      </w:r>
      <w:r w:rsidRPr="004A78F6">
        <w:rPr>
          <w:rFonts w:hint="eastAsia"/>
          <w:sz w:val="28"/>
          <w:szCs w:val="28"/>
        </w:rPr>
        <w:t>複核精算人員應具備之積極資格比照簽證精算人員資格；另外，消極資格</w:t>
      </w:r>
      <w:r w:rsidRPr="004A78F6">
        <w:rPr>
          <w:rFonts w:ascii="標楷體" w:hAnsi="標楷體" w:hint="eastAsia"/>
          <w:sz w:val="28"/>
          <w:szCs w:val="28"/>
        </w:rPr>
        <w:t>除部分比照</w:t>
      </w:r>
      <w:r w:rsidRPr="004A78F6">
        <w:rPr>
          <w:rFonts w:hint="eastAsia"/>
          <w:sz w:val="28"/>
          <w:szCs w:val="28"/>
        </w:rPr>
        <w:t>簽證精算人員之消極資格外，為落實</w:t>
      </w:r>
      <w:r w:rsidRPr="004A78F6">
        <w:rPr>
          <w:rFonts w:hint="eastAsia"/>
          <w:kern w:val="0"/>
          <w:sz w:val="28"/>
          <w:szCs w:val="28"/>
        </w:rPr>
        <w:t>外部</w:t>
      </w:r>
      <w:r w:rsidRPr="004A78F6">
        <w:rPr>
          <w:rFonts w:hint="eastAsia"/>
          <w:sz w:val="28"/>
          <w:szCs w:val="28"/>
        </w:rPr>
        <w:t>複核精算人員之獨立性，參酌美國、加拿大及英國等國外規範增訂相關限制規範，如外部複核精算人員或所屬公司與保險業不得有同一人、同一關係人或關係企業情事、及與簽證精算人員不得隸屬同一公司或同一關係企業。</w:t>
      </w:r>
      <w:r w:rsidRPr="004A78F6">
        <w:rPr>
          <w:rFonts w:hint="eastAsia"/>
          <w:sz w:val="28"/>
          <w:szCs w:val="28"/>
        </w:rPr>
        <w:t>(</w:t>
      </w:r>
      <w:r w:rsidRPr="004A78F6">
        <w:rPr>
          <w:rFonts w:hint="eastAsia"/>
          <w:sz w:val="28"/>
          <w:szCs w:val="28"/>
        </w:rPr>
        <w:t>修正條文第二條及第三條</w:t>
      </w:r>
      <w:r w:rsidRPr="004A78F6">
        <w:rPr>
          <w:rFonts w:hint="eastAsia"/>
          <w:sz w:val="28"/>
          <w:szCs w:val="28"/>
        </w:rPr>
        <w:t>)</w:t>
      </w:r>
    </w:p>
    <w:p w:rsidR="00DD6635" w:rsidRPr="004A78F6" w:rsidRDefault="00DD6635" w:rsidP="00DD6635">
      <w:pPr>
        <w:pStyle w:val="a9"/>
        <w:kinsoku w:val="0"/>
        <w:spacing w:line="460" w:lineRule="exact"/>
        <w:ind w:left="560" w:hangingChars="200" w:hanging="560"/>
        <w:jc w:val="both"/>
        <w:rPr>
          <w:sz w:val="28"/>
          <w:szCs w:val="28"/>
        </w:rPr>
      </w:pPr>
      <w:r w:rsidRPr="004A78F6">
        <w:rPr>
          <w:rFonts w:ascii="標楷體" w:hAnsi="標楷體" w:hint="eastAsia"/>
          <w:sz w:val="28"/>
          <w:szCs w:val="28"/>
        </w:rPr>
        <w:t>三、</w:t>
      </w:r>
      <w:r w:rsidRPr="004A78F6">
        <w:rPr>
          <w:rFonts w:hint="eastAsia"/>
          <w:sz w:val="28"/>
          <w:szCs w:val="28"/>
        </w:rPr>
        <w:t>明定外部複核精算人員定期複核作業之次數限制</w:t>
      </w:r>
      <w:r w:rsidRPr="004A78F6">
        <w:rPr>
          <w:rFonts w:hint="eastAsia"/>
          <w:kern w:val="0"/>
          <w:sz w:val="28"/>
          <w:szCs w:val="28"/>
        </w:rPr>
        <w:t>不得連續為同一保險業定期複核三次以上，及</w:t>
      </w:r>
      <w:r w:rsidRPr="004A78F6">
        <w:rPr>
          <w:rFonts w:hint="eastAsia"/>
          <w:sz w:val="28"/>
          <w:szCs w:val="28"/>
        </w:rPr>
        <w:t>委任程序和提報主管機關檢具之文件。</w:t>
      </w:r>
      <w:r w:rsidRPr="004A78F6">
        <w:rPr>
          <w:rFonts w:hint="eastAsia"/>
          <w:sz w:val="28"/>
          <w:szCs w:val="28"/>
        </w:rPr>
        <w:t>(</w:t>
      </w:r>
      <w:r w:rsidRPr="004A78F6">
        <w:rPr>
          <w:rFonts w:hint="eastAsia"/>
          <w:sz w:val="28"/>
          <w:szCs w:val="28"/>
        </w:rPr>
        <w:t>修正條文第四條</w:t>
      </w:r>
      <w:r w:rsidRPr="004A78F6">
        <w:rPr>
          <w:rFonts w:hint="eastAsia"/>
          <w:sz w:val="28"/>
          <w:szCs w:val="28"/>
        </w:rPr>
        <w:t>)</w:t>
      </w:r>
    </w:p>
    <w:p w:rsidR="00DD6635" w:rsidRPr="004A78F6" w:rsidRDefault="00DD6635" w:rsidP="00DD6635">
      <w:pPr>
        <w:pStyle w:val="a9"/>
        <w:kinsoku w:val="0"/>
        <w:spacing w:line="460" w:lineRule="exact"/>
        <w:ind w:left="560" w:hangingChars="200" w:hanging="560"/>
        <w:jc w:val="both"/>
        <w:rPr>
          <w:sz w:val="28"/>
          <w:szCs w:val="28"/>
        </w:rPr>
      </w:pPr>
      <w:r w:rsidRPr="004A78F6">
        <w:rPr>
          <w:rFonts w:hint="eastAsia"/>
          <w:sz w:val="28"/>
          <w:szCs w:val="28"/>
        </w:rPr>
        <w:t>四、明定保險業應比照簽證精算人員處理程序提供外部複核精算人員正確之資料，以及董</w:t>
      </w:r>
      <w:r w:rsidRPr="004A78F6">
        <w:rPr>
          <w:rFonts w:hint="eastAsia"/>
          <w:sz w:val="28"/>
          <w:szCs w:val="28"/>
        </w:rPr>
        <w:t>(</w:t>
      </w:r>
      <w:r w:rsidRPr="004A78F6">
        <w:rPr>
          <w:rFonts w:hint="eastAsia"/>
          <w:sz w:val="28"/>
          <w:szCs w:val="28"/>
        </w:rPr>
        <w:t>理</w:t>
      </w:r>
      <w:r w:rsidRPr="004A78F6">
        <w:rPr>
          <w:rFonts w:hint="eastAsia"/>
          <w:sz w:val="28"/>
          <w:szCs w:val="28"/>
        </w:rPr>
        <w:t>)</w:t>
      </w:r>
      <w:r w:rsidRPr="004A78F6">
        <w:rPr>
          <w:rFonts w:hint="eastAsia"/>
          <w:sz w:val="28"/>
          <w:szCs w:val="28"/>
        </w:rPr>
        <w:t>事會應授權外部複核精算人員業務執行範圍內得為之行為。</w:t>
      </w:r>
      <w:r w:rsidRPr="004A78F6">
        <w:rPr>
          <w:rFonts w:hint="eastAsia"/>
          <w:sz w:val="28"/>
          <w:szCs w:val="28"/>
        </w:rPr>
        <w:t>(</w:t>
      </w:r>
      <w:r w:rsidRPr="004A78F6">
        <w:rPr>
          <w:rFonts w:hint="eastAsia"/>
          <w:sz w:val="28"/>
          <w:szCs w:val="28"/>
        </w:rPr>
        <w:t>修正條文</w:t>
      </w:r>
      <w:r w:rsidRPr="004A78F6">
        <w:rPr>
          <w:sz w:val="28"/>
          <w:szCs w:val="28"/>
        </w:rPr>
        <w:t>第</w:t>
      </w:r>
      <w:r w:rsidRPr="004A78F6">
        <w:rPr>
          <w:rFonts w:hint="eastAsia"/>
          <w:sz w:val="28"/>
          <w:szCs w:val="28"/>
        </w:rPr>
        <w:t>五條及</w:t>
      </w:r>
      <w:r w:rsidRPr="004A78F6">
        <w:rPr>
          <w:sz w:val="28"/>
          <w:szCs w:val="28"/>
        </w:rPr>
        <w:t>第</w:t>
      </w:r>
      <w:r w:rsidRPr="004A78F6">
        <w:rPr>
          <w:rFonts w:hint="eastAsia"/>
          <w:sz w:val="28"/>
          <w:szCs w:val="28"/>
        </w:rPr>
        <w:t>十</w:t>
      </w:r>
      <w:r w:rsidRPr="004A78F6">
        <w:rPr>
          <w:sz w:val="28"/>
          <w:szCs w:val="28"/>
        </w:rPr>
        <w:t>條</w:t>
      </w:r>
      <w:r w:rsidRPr="004A78F6">
        <w:rPr>
          <w:rFonts w:hint="eastAsia"/>
          <w:sz w:val="28"/>
          <w:szCs w:val="28"/>
        </w:rPr>
        <w:t>)</w:t>
      </w:r>
      <w:r w:rsidRPr="004A78F6">
        <w:rPr>
          <w:sz w:val="28"/>
          <w:szCs w:val="28"/>
        </w:rPr>
        <w:t>。</w:t>
      </w:r>
    </w:p>
    <w:p w:rsidR="00DD6635" w:rsidRPr="004A78F6" w:rsidRDefault="00DD6635" w:rsidP="00DD6635">
      <w:pPr>
        <w:pStyle w:val="a9"/>
        <w:kinsoku w:val="0"/>
        <w:spacing w:line="460" w:lineRule="exact"/>
        <w:ind w:left="560" w:hangingChars="200" w:hanging="560"/>
        <w:jc w:val="both"/>
        <w:rPr>
          <w:sz w:val="28"/>
          <w:szCs w:val="28"/>
        </w:rPr>
      </w:pPr>
      <w:r w:rsidRPr="004A78F6">
        <w:rPr>
          <w:rFonts w:hint="eastAsia"/>
          <w:sz w:val="28"/>
          <w:szCs w:val="28"/>
        </w:rPr>
        <w:t>五、明定主管機關依本法第一百四十九條第三項對保險業為清理處分時，清理人得經主管機關核准後免提報簽證報告，並得免委任外部複核精算人員製作複核報告。</w:t>
      </w:r>
      <w:r w:rsidRPr="004A78F6">
        <w:rPr>
          <w:rFonts w:hint="eastAsia"/>
          <w:sz w:val="28"/>
          <w:szCs w:val="28"/>
        </w:rPr>
        <w:t>(</w:t>
      </w:r>
      <w:r w:rsidRPr="004A78F6">
        <w:rPr>
          <w:rFonts w:hint="eastAsia"/>
          <w:sz w:val="28"/>
          <w:szCs w:val="28"/>
        </w:rPr>
        <w:t>修正條文</w:t>
      </w:r>
      <w:r w:rsidRPr="004A78F6">
        <w:rPr>
          <w:sz w:val="28"/>
          <w:szCs w:val="28"/>
        </w:rPr>
        <w:t>第</w:t>
      </w:r>
      <w:r w:rsidRPr="004A78F6">
        <w:rPr>
          <w:rFonts w:hint="eastAsia"/>
          <w:sz w:val="28"/>
          <w:szCs w:val="28"/>
        </w:rPr>
        <w:t>六條</w:t>
      </w:r>
      <w:r w:rsidRPr="004A78F6">
        <w:rPr>
          <w:sz w:val="28"/>
          <w:szCs w:val="28"/>
        </w:rPr>
        <w:t>及第</w:t>
      </w:r>
      <w:r w:rsidRPr="004A78F6">
        <w:rPr>
          <w:rFonts w:hint="eastAsia"/>
          <w:sz w:val="28"/>
          <w:szCs w:val="28"/>
        </w:rPr>
        <w:t>七</w:t>
      </w:r>
      <w:r w:rsidRPr="004A78F6">
        <w:rPr>
          <w:sz w:val="28"/>
          <w:szCs w:val="28"/>
        </w:rPr>
        <w:t>條</w:t>
      </w:r>
      <w:r w:rsidRPr="004A78F6">
        <w:rPr>
          <w:rFonts w:hint="eastAsia"/>
          <w:sz w:val="28"/>
          <w:szCs w:val="28"/>
        </w:rPr>
        <w:t>)</w:t>
      </w:r>
      <w:r w:rsidRPr="004A78F6">
        <w:rPr>
          <w:sz w:val="28"/>
          <w:szCs w:val="28"/>
        </w:rPr>
        <w:t>。</w:t>
      </w:r>
    </w:p>
    <w:p w:rsidR="00DD6635" w:rsidRPr="004A78F6" w:rsidRDefault="00DD6635" w:rsidP="00DD6635">
      <w:pPr>
        <w:pStyle w:val="a9"/>
        <w:kinsoku w:val="0"/>
        <w:spacing w:line="460" w:lineRule="exact"/>
        <w:ind w:left="560" w:hangingChars="200" w:hanging="560"/>
        <w:jc w:val="both"/>
        <w:rPr>
          <w:sz w:val="28"/>
          <w:szCs w:val="28"/>
        </w:rPr>
      </w:pPr>
      <w:r w:rsidRPr="004A78F6">
        <w:rPr>
          <w:rFonts w:hint="eastAsia"/>
          <w:sz w:val="28"/>
          <w:szCs w:val="28"/>
        </w:rPr>
        <w:t>六、為落實差異化管理，明定保險業除因業務特性</w:t>
      </w:r>
      <w:r w:rsidRPr="004A78F6">
        <w:rPr>
          <w:rFonts w:hint="eastAsia"/>
          <w:sz w:val="28"/>
          <w:szCs w:val="28"/>
        </w:rPr>
        <w:t>(</w:t>
      </w:r>
      <w:r w:rsidRPr="004A78F6">
        <w:rPr>
          <w:rFonts w:hint="eastAsia"/>
          <w:sz w:val="28"/>
          <w:szCs w:val="28"/>
        </w:rPr>
        <w:t>如規模小或性質單純等</w:t>
      </w:r>
      <w:r w:rsidRPr="004A78F6">
        <w:rPr>
          <w:rFonts w:hint="eastAsia"/>
          <w:sz w:val="28"/>
          <w:szCs w:val="28"/>
        </w:rPr>
        <w:t>)</w:t>
      </w:r>
      <w:r w:rsidRPr="004A78F6">
        <w:rPr>
          <w:rFonts w:hint="eastAsia"/>
          <w:sz w:val="28"/>
          <w:szCs w:val="28"/>
        </w:rPr>
        <w:t>得經核准後免進行複核作業外，須依下列規定定期辦理複核作業：：</w:t>
      </w:r>
      <w:r w:rsidRPr="004A78F6">
        <w:rPr>
          <w:rFonts w:hint="eastAsia"/>
          <w:sz w:val="28"/>
          <w:szCs w:val="28"/>
        </w:rPr>
        <w:t>(</w:t>
      </w:r>
      <w:r w:rsidRPr="004A78F6">
        <w:rPr>
          <w:rFonts w:hint="eastAsia"/>
          <w:sz w:val="28"/>
          <w:szCs w:val="28"/>
        </w:rPr>
        <w:t>修正條文</w:t>
      </w:r>
      <w:r w:rsidRPr="004A78F6">
        <w:rPr>
          <w:sz w:val="28"/>
          <w:szCs w:val="28"/>
        </w:rPr>
        <w:t>第</w:t>
      </w:r>
      <w:r w:rsidRPr="004A78F6">
        <w:rPr>
          <w:rFonts w:hint="eastAsia"/>
          <w:sz w:val="28"/>
          <w:szCs w:val="28"/>
        </w:rPr>
        <w:t>七</w:t>
      </w:r>
      <w:r w:rsidRPr="004A78F6">
        <w:rPr>
          <w:sz w:val="28"/>
          <w:szCs w:val="28"/>
        </w:rPr>
        <w:t>條</w:t>
      </w:r>
      <w:r w:rsidRPr="004A78F6">
        <w:rPr>
          <w:rFonts w:hint="eastAsia"/>
          <w:sz w:val="28"/>
          <w:szCs w:val="28"/>
        </w:rPr>
        <w:t>)</w:t>
      </w:r>
    </w:p>
    <w:p w:rsidR="00DD6635" w:rsidRPr="004A78F6" w:rsidRDefault="00DD6635" w:rsidP="00DD6635">
      <w:pPr>
        <w:pStyle w:val="a9"/>
        <w:kinsoku w:val="0"/>
        <w:spacing w:line="460" w:lineRule="exact"/>
        <w:ind w:leftChars="235" w:left="1068" w:hangingChars="180" w:hanging="504"/>
        <w:jc w:val="both"/>
        <w:rPr>
          <w:sz w:val="28"/>
          <w:szCs w:val="28"/>
        </w:rPr>
      </w:pPr>
      <w:r w:rsidRPr="004A78F6">
        <w:rPr>
          <w:rFonts w:hint="eastAsia"/>
          <w:sz w:val="28"/>
          <w:szCs w:val="28"/>
        </w:rPr>
        <w:t>(</w:t>
      </w:r>
      <w:r w:rsidRPr="004A78F6">
        <w:rPr>
          <w:rFonts w:hint="eastAsia"/>
          <w:sz w:val="28"/>
          <w:szCs w:val="28"/>
        </w:rPr>
        <w:t>一</w:t>
      </w:r>
      <w:r w:rsidRPr="004A78F6">
        <w:rPr>
          <w:rFonts w:hint="eastAsia"/>
          <w:sz w:val="28"/>
          <w:szCs w:val="28"/>
        </w:rPr>
        <w:t>)</w:t>
      </w:r>
      <w:r w:rsidRPr="004A78F6">
        <w:rPr>
          <w:rFonts w:hint="eastAsia"/>
          <w:sz w:val="28"/>
          <w:szCs w:val="28"/>
        </w:rPr>
        <w:t>以</w:t>
      </w:r>
      <w:r w:rsidRPr="004A78F6">
        <w:rPr>
          <w:sz w:val="28"/>
          <w:szCs w:val="28"/>
        </w:rPr>
        <w:t>最近二年度資本適足率有無達</w:t>
      </w:r>
      <w:r w:rsidRPr="004A78F6">
        <w:rPr>
          <w:rFonts w:hint="eastAsia"/>
          <w:sz w:val="28"/>
          <w:szCs w:val="28"/>
        </w:rPr>
        <w:t>百分之二百</w:t>
      </w:r>
      <w:r w:rsidRPr="004A78F6">
        <w:rPr>
          <w:sz w:val="28"/>
          <w:szCs w:val="28"/>
        </w:rPr>
        <w:t>為主要分類條件，未</w:t>
      </w:r>
      <w:r w:rsidRPr="004A78F6">
        <w:rPr>
          <w:sz w:val="28"/>
          <w:szCs w:val="28"/>
        </w:rPr>
        <w:lastRenderedPageBreak/>
        <w:t>達者需每年進行複核</w:t>
      </w:r>
      <w:r w:rsidRPr="004A78F6">
        <w:rPr>
          <w:rFonts w:hint="eastAsia"/>
          <w:sz w:val="28"/>
          <w:szCs w:val="28"/>
        </w:rPr>
        <w:t>，</w:t>
      </w:r>
      <w:r w:rsidRPr="004A78F6">
        <w:rPr>
          <w:sz w:val="28"/>
          <w:szCs w:val="28"/>
        </w:rPr>
        <w:t>已達者再</w:t>
      </w:r>
      <w:r w:rsidRPr="004A78F6">
        <w:rPr>
          <w:rFonts w:hint="eastAsia"/>
          <w:sz w:val="28"/>
          <w:szCs w:val="28"/>
        </w:rPr>
        <w:t>依</w:t>
      </w:r>
      <w:r>
        <w:rPr>
          <w:rFonts w:hint="eastAsia"/>
          <w:sz w:val="28"/>
          <w:szCs w:val="28"/>
        </w:rPr>
        <w:t>人身保</w:t>
      </w:r>
      <w:r w:rsidRPr="004A78F6">
        <w:rPr>
          <w:rFonts w:hint="eastAsia"/>
          <w:sz w:val="28"/>
          <w:szCs w:val="28"/>
        </w:rPr>
        <w:t>險業及</w:t>
      </w:r>
      <w:r>
        <w:rPr>
          <w:rFonts w:hint="eastAsia"/>
          <w:sz w:val="28"/>
          <w:szCs w:val="28"/>
        </w:rPr>
        <w:t>財</w:t>
      </w:r>
      <w:r w:rsidRPr="004A78F6">
        <w:rPr>
          <w:rFonts w:hint="eastAsia"/>
          <w:sz w:val="28"/>
          <w:szCs w:val="28"/>
        </w:rPr>
        <w:t>產</w:t>
      </w:r>
      <w:r>
        <w:rPr>
          <w:rFonts w:hint="eastAsia"/>
          <w:sz w:val="28"/>
          <w:szCs w:val="28"/>
        </w:rPr>
        <w:t>保</w:t>
      </w:r>
      <w:r w:rsidRPr="004A78F6">
        <w:rPr>
          <w:rFonts w:hint="eastAsia"/>
          <w:sz w:val="28"/>
          <w:szCs w:val="28"/>
        </w:rPr>
        <w:t>險業別按指定時程及頻率，</w:t>
      </w:r>
      <w:r>
        <w:rPr>
          <w:rFonts w:hint="eastAsia"/>
          <w:sz w:val="28"/>
          <w:szCs w:val="28"/>
        </w:rPr>
        <w:t>人身保</w:t>
      </w:r>
      <w:r w:rsidRPr="004A78F6">
        <w:rPr>
          <w:rFonts w:hint="eastAsia"/>
          <w:sz w:val="28"/>
          <w:szCs w:val="28"/>
        </w:rPr>
        <w:t>險業</w:t>
      </w:r>
      <w:r w:rsidRPr="004A78F6">
        <w:rPr>
          <w:sz w:val="28"/>
          <w:szCs w:val="28"/>
        </w:rPr>
        <w:t>自</w:t>
      </w:r>
      <w:r w:rsidRPr="004A78F6">
        <w:rPr>
          <w:rFonts w:hint="eastAsia"/>
          <w:sz w:val="28"/>
          <w:szCs w:val="28"/>
        </w:rPr>
        <w:t>一百零五年</w:t>
      </w:r>
      <w:r w:rsidRPr="004A78F6">
        <w:rPr>
          <w:sz w:val="28"/>
          <w:szCs w:val="28"/>
        </w:rPr>
        <w:t>起每</w:t>
      </w:r>
      <w:r w:rsidRPr="004A78F6">
        <w:rPr>
          <w:rFonts w:hint="eastAsia"/>
          <w:sz w:val="28"/>
          <w:szCs w:val="28"/>
        </w:rPr>
        <w:t>三</w:t>
      </w:r>
      <w:r w:rsidRPr="004A78F6">
        <w:rPr>
          <w:sz w:val="28"/>
          <w:szCs w:val="28"/>
        </w:rPr>
        <w:t>年</w:t>
      </w:r>
      <w:r w:rsidRPr="004A78F6">
        <w:rPr>
          <w:rFonts w:hint="eastAsia"/>
          <w:sz w:val="28"/>
          <w:szCs w:val="28"/>
        </w:rPr>
        <w:t>，</w:t>
      </w:r>
      <w:r>
        <w:rPr>
          <w:rFonts w:hint="eastAsia"/>
          <w:sz w:val="28"/>
          <w:szCs w:val="28"/>
        </w:rPr>
        <w:t>財</w:t>
      </w:r>
      <w:r w:rsidRPr="004A78F6">
        <w:rPr>
          <w:rFonts w:hint="eastAsia"/>
          <w:sz w:val="28"/>
          <w:szCs w:val="28"/>
        </w:rPr>
        <w:t>產</w:t>
      </w:r>
      <w:r>
        <w:rPr>
          <w:rFonts w:hint="eastAsia"/>
          <w:sz w:val="28"/>
          <w:szCs w:val="28"/>
        </w:rPr>
        <w:t>保</w:t>
      </w:r>
      <w:r w:rsidRPr="004A78F6">
        <w:rPr>
          <w:rFonts w:hint="eastAsia"/>
          <w:sz w:val="28"/>
          <w:szCs w:val="28"/>
        </w:rPr>
        <w:t>險業</w:t>
      </w:r>
      <w:r w:rsidRPr="004A78F6">
        <w:rPr>
          <w:sz w:val="28"/>
          <w:szCs w:val="28"/>
        </w:rPr>
        <w:t>自</w:t>
      </w:r>
      <w:r w:rsidRPr="004A78F6">
        <w:rPr>
          <w:rFonts w:hint="eastAsia"/>
          <w:sz w:val="28"/>
          <w:szCs w:val="28"/>
        </w:rPr>
        <w:t>一百零六年</w:t>
      </w:r>
      <w:r w:rsidRPr="004A78F6">
        <w:rPr>
          <w:sz w:val="28"/>
          <w:szCs w:val="28"/>
        </w:rPr>
        <w:t>起每</w:t>
      </w:r>
      <w:r w:rsidRPr="004A78F6">
        <w:rPr>
          <w:rFonts w:hint="eastAsia"/>
          <w:sz w:val="28"/>
          <w:szCs w:val="28"/>
        </w:rPr>
        <w:t>五</w:t>
      </w:r>
      <w:r w:rsidRPr="004A78F6">
        <w:rPr>
          <w:sz w:val="28"/>
          <w:szCs w:val="28"/>
        </w:rPr>
        <w:t>年</w:t>
      </w:r>
      <w:r w:rsidRPr="004A78F6">
        <w:rPr>
          <w:rFonts w:hint="eastAsia"/>
          <w:sz w:val="28"/>
          <w:szCs w:val="28"/>
        </w:rPr>
        <w:t>進行複核作業。</w:t>
      </w:r>
    </w:p>
    <w:p w:rsidR="00DD6635" w:rsidRPr="004A78F6" w:rsidRDefault="00DD6635" w:rsidP="00DD6635">
      <w:pPr>
        <w:pStyle w:val="a9"/>
        <w:kinsoku w:val="0"/>
        <w:spacing w:line="460" w:lineRule="exact"/>
        <w:ind w:leftChars="235" w:left="1068" w:hangingChars="180" w:hanging="504"/>
        <w:jc w:val="both"/>
        <w:rPr>
          <w:sz w:val="28"/>
          <w:szCs w:val="28"/>
        </w:rPr>
      </w:pPr>
      <w:r w:rsidRPr="004A78F6">
        <w:rPr>
          <w:rFonts w:hint="eastAsia"/>
          <w:sz w:val="28"/>
          <w:szCs w:val="28"/>
        </w:rPr>
        <w:t>(</w:t>
      </w:r>
      <w:r w:rsidRPr="004A78F6">
        <w:rPr>
          <w:rFonts w:hint="eastAsia"/>
          <w:sz w:val="28"/>
          <w:szCs w:val="28"/>
        </w:rPr>
        <w:t>二</w:t>
      </w:r>
      <w:r w:rsidRPr="004A78F6">
        <w:rPr>
          <w:rFonts w:hint="eastAsia"/>
          <w:sz w:val="28"/>
          <w:szCs w:val="28"/>
        </w:rPr>
        <w:t>)</w:t>
      </w:r>
      <w:r w:rsidRPr="004A78F6">
        <w:rPr>
          <w:rFonts w:hint="eastAsia"/>
          <w:sz w:val="28"/>
          <w:szCs w:val="28"/>
        </w:rPr>
        <w:t>惟主管機關得依簽證報告品質、各種準備金提存之法令遵循</w:t>
      </w:r>
      <w:r>
        <w:rPr>
          <w:rFonts w:hint="eastAsia"/>
          <w:sz w:val="28"/>
          <w:szCs w:val="28"/>
        </w:rPr>
        <w:t>及業務分布狀況</w:t>
      </w:r>
      <w:r w:rsidRPr="004A78F6">
        <w:rPr>
          <w:rFonts w:hint="eastAsia"/>
          <w:sz w:val="28"/>
          <w:szCs w:val="28"/>
        </w:rPr>
        <w:t>等調整定期複核之複核時點及頻率或另行指定複核年度及項目。</w:t>
      </w:r>
    </w:p>
    <w:p w:rsidR="00DD6635" w:rsidRPr="004A78F6" w:rsidRDefault="00DD6635" w:rsidP="00DD6635">
      <w:pPr>
        <w:pStyle w:val="a9"/>
        <w:kinsoku w:val="0"/>
        <w:spacing w:line="460" w:lineRule="exact"/>
        <w:ind w:left="560" w:hangingChars="200" w:hanging="560"/>
        <w:jc w:val="both"/>
        <w:rPr>
          <w:sz w:val="28"/>
          <w:szCs w:val="28"/>
        </w:rPr>
      </w:pPr>
      <w:r w:rsidRPr="004A78F6">
        <w:rPr>
          <w:rFonts w:hint="eastAsia"/>
          <w:sz w:val="28"/>
          <w:szCs w:val="28"/>
        </w:rPr>
        <w:t>七、明定外部複核精算人員應遵循保險法令、相關精算實務處理原則與職業道德規範，並定期參加教育訓練。</w:t>
      </w:r>
      <w:r w:rsidRPr="004A78F6">
        <w:rPr>
          <w:rFonts w:hint="eastAsia"/>
          <w:sz w:val="28"/>
          <w:szCs w:val="28"/>
        </w:rPr>
        <w:t>(</w:t>
      </w:r>
      <w:r w:rsidRPr="004A78F6">
        <w:rPr>
          <w:rFonts w:hint="eastAsia"/>
          <w:sz w:val="28"/>
          <w:szCs w:val="28"/>
        </w:rPr>
        <w:t>修正條文</w:t>
      </w:r>
      <w:r w:rsidRPr="004A78F6">
        <w:rPr>
          <w:sz w:val="28"/>
          <w:szCs w:val="28"/>
        </w:rPr>
        <w:t>第</w:t>
      </w:r>
      <w:r w:rsidRPr="004A78F6">
        <w:rPr>
          <w:rFonts w:hint="eastAsia"/>
          <w:sz w:val="28"/>
          <w:szCs w:val="28"/>
        </w:rPr>
        <w:t>九</w:t>
      </w:r>
      <w:r w:rsidRPr="004A78F6">
        <w:rPr>
          <w:sz w:val="28"/>
          <w:szCs w:val="28"/>
        </w:rPr>
        <w:t>條</w:t>
      </w:r>
      <w:r w:rsidRPr="004A78F6">
        <w:rPr>
          <w:rFonts w:hint="eastAsia"/>
          <w:sz w:val="28"/>
          <w:szCs w:val="28"/>
        </w:rPr>
        <w:t>、</w:t>
      </w:r>
      <w:r w:rsidRPr="004A78F6">
        <w:rPr>
          <w:sz w:val="28"/>
          <w:szCs w:val="28"/>
        </w:rPr>
        <w:t>第</w:t>
      </w:r>
      <w:r w:rsidRPr="004A78F6">
        <w:rPr>
          <w:rFonts w:hint="eastAsia"/>
          <w:sz w:val="28"/>
          <w:szCs w:val="28"/>
        </w:rPr>
        <w:t>十一</w:t>
      </w:r>
      <w:r w:rsidRPr="004A78F6">
        <w:rPr>
          <w:sz w:val="28"/>
          <w:szCs w:val="28"/>
        </w:rPr>
        <w:t>條</w:t>
      </w:r>
      <w:r w:rsidRPr="004A78F6">
        <w:rPr>
          <w:rFonts w:hint="eastAsia"/>
          <w:sz w:val="28"/>
          <w:szCs w:val="28"/>
        </w:rPr>
        <w:t>及第十三條</w:t>
      </w:r>
      <w:r w:rsidRPr="004A78F6">
        <w:rPr>
          <w:rFonts w:hint="eastAsia"/>
          <w:sz w:val="28"/>
          <w:szCs w:val="28"/>
        </w:rPr>
        <w:t>)</w:t>
      </w:r>
    </w:p>
    <w:p w:rsidR="00DD6635" w:rsidRPr="004A78F6" w:rsidRDefault="00DD6635" w:rsidP="00DD6635">
      <w:pPr>
        <w:pStyle w:val="a9"/>
        <w:kinsoku w:val="0"/>
        <w:spacing w:line="460" w:lineRule="exact"/>
        <w:ind w:left="560" w:hangingChars="200" w:hanging="560"/>
        <w:jc w:val="both"/>
        <w:rPr>
          <w:rFonts w:ascii="標楷體" w:hAnsi="標楷體"/>
          <w:sz w:val="28"/>
          <w:szCs w:val="28"/>
        </w:rPr>
      </w:pPr>
      <w:r w:rsidRPr="004A78F6">
        <w:rPr>
          <w:rFonts w:hint="eastAsia"/>
          <w:sz w:val="28"/>
          <w:szCs w:val="28"/>
        </w:rPr>
        <w:t>八、明定外部複核精算人員完成複核報告之處理</w:t>
      </w:r>
      <w:r>
        <w:rPr>
          <w:rFonts w:hint="eastAsia"/>
          <w:sz w:val="28"/>
          <w:szCs w:val="28"/>
        </w:rPr>
        <w:t>與</w:t>
      </w:r>
      <w:r w:rsidRPr="004A78F6">
        <w:rPr>
          <w:rFonts w:hint="eastAsia"/>
          <w:sz w:val="28"/>
          <w:szCs w:val="28"/>
        </w:rPr>
        <w:t>配合事項</w:t>
      </w:r>
      <w:r>
        <w:rPr>
          <w:rFonts w:hint="eastAsia"/>
          <w:sz w:val="28"/>
          <w:szCs w:val="28"/>
        </w:rPr>
        <w:t>，</w:t>
      </w:r>
      <w:r w:rsidRPr="004A78F6">
        <w:rPr>
          <w:rFonts w:hint="eastAsia"/>
          <w:sz w:val="28"/>
          <w:szCs w:val="28"/>
        </w:rPr>
        <w:t>以及</w:t>
      </w:r>
      <w:r>
        <w:rPr>
          <w:rFonts w:hint="eastAsia"/>
          <w:sz w:val="28"/>
          <w:szCs w:val="28"/>
        </w:rPr>
        <w:t>應</w:t>
      </w:r>
      <w:r w:rsidRPr="004A78F6">
        <w:rPr>
          <w:rFonts w:hint="eastAsia"/>
          <w:sz w:val="28"/>
          <w:szCs w:val="28"/>
        </w:rPr>
        <w:t>拒絕複核之情事</w:t>
      </w:r>
      <w:r>
        <w:rPr>
          <w:rFonts w:hint="eastAsia"/>
          <w:sz w:val="28"/>
          <w:szCs w:val="28"/>
        </w:rPr>
        <w:t>與</w:t>
      </w:r>
      <w:r w:rsidRPr="004A78F6">
        <w:rPr>
          <w:rFonts w:hint="eastAsia"/>
          <w:sz w:val="28"/>
          <w:szCs w:val="28"/>
        </w:rPr>
        <w:t>處理方式。</w:t>
      </w:r>
      <w:r w:rsidRPr="004A78F6">
        <w:rPr>
          <w:rFonts w:hint="eastAsia"/>
          <w:sz w:val="28"/>
          <w:szCs w:val="28"/>
        </w:rPr>
        <w:t>(</w:t>
      </w:r>
      <w:r w:rsidRPr="004A78F6">
        <w:rPr>
          <w:rFonts w:hint="eastAsia"/>
          <w:sz w:val="28"/>
          <w:szCs w:val="28"/>
        </w:rPr>
        <w:t>修正條文</w:t>
      </w:r>
      <w:r w:rsidRPr="004A78F6">
        <w:rPr>
          <w:sz w:val="28"/>
          <w:szCs w:val="28"/>
        </w:rPr>
        <w:t>第</w:t>
      </w:r>
      <w:r w:rsidRPr="004A78F6">
        <w:rPr>
          <w:rFonts w:hint="eastAsia"/>
          <w:sz w:val="28"/>
          <w:szCs w:val="28"/>
        </w:rPr>
        <w:t>八</w:t>
      </w:r>
      <w:r w:rsidRPr="004A78F6">
        <w:rPr>
          <w:sz w:val="28"/>
          <w:szCs w:val="28"/>
        </w:rPr>
        <w:t>條</w:t>
      </w:r>
      <w:r w:rsidRPr="004A78F6">
        <w:rPr>
          <w:rFonts w:hint="eastAsia"/>
          <w:sz w:val="28"/>
          <w:szCs w:val="28"/>
        </w:rPr>
        <w:t>及第十二</w:t>
      </w:r>
      <w:r w:rsidRPr="004A78F6">
        <w:rPr>
          <w:sz w:val="28"/>
          <w:szCs w:val="28"/>
        </w:rPr>
        <w:t>條</w:t>
      </w:r>
      <w:r w:rsidRPr="004A78F6">
        <w:rPr>
          <w:rFonts w:hint="eastAsia"/>
          <w:sz w:val="28"/>
          <w:szCs w:val="28"/>
        </w:rPr>
        <w:t>)</w:t>
      </w:r>
    </w:p>
    <w:p w:rsidR="00DD6635" w:rsidRPr="004A78F6" w:rsidRDefault="00DD6635" w:rsidP="00DD6635">
      <w:pPr>
        <w:pStyle w:val="a9"/>
        <w:kinsoku w:val="0"/>
        <w:spacing w:line="460" w:lineRule="exact"/>
        <w:ind w:left="560" w:hangingChars="200" w:hanging="560"/>
        <w:jc w:val="both"/>
        <w:rPr>
          <w:rFonts w:ascii="標楷體" w:hAnsi="標楷體"/>
          <w:sz w:val="28"/>
          <w:szCs w:val="28"/>
        </w:rPr>
      </w:pPr>
      <w:r w:rsidRPr="004A78F6">
        <w:rPr>
          <w:rFonts w:ascii="標楷體" w:hAnsi="標楷體" w:hint="eastAsia"/>
          <w:sz w:val="28"/>
          <w:szCs w:val="28"/>
        </w:rPr>
        <w:t>九、</w:t>
      </w:r>
      <w:r w:rsidRPr="004A78F6">
        <w:rPr>
          <w:rFonts w:hint="eastAsia"/>
          <w:sz w:val="28"/>
          <w:szCs w:val="28"/>
        </w:rPr>
        <w:t>配合本法第一百七十一條第二項已明定</w:t>
      </w:r>
      <w:r w:rsidRPr="004A78F6">
        <w:rPr>
          <w:rFonts w:hint="eastAsia"/>
          <w:kern w:val="0"/>
          <w:sz w:val="28"/>
          <w:szCs w:val="28"/>
        </w:rPr>
        <w:t>簽證精算人員或複核精算人員違反本法第一百四十四條第五項違反效果之規定，爰刪除現行條文第十三相關罰則規定</w:t>
      </w:r>
      <w:r w:rsidRPr="004A78F6">
        <w:rPr>
          <w:rFonts w:hint="eastAsia"/>
          <w:sz w:val="28"/>
          <w:szCs w:val="28"/>
        </w:rPr>
        <w:t>。</w:t>
      </w:r>
    </w:p>
    <w:p w:rsidR="00DD6635" w:rsidRPr="004A78F6" w:rsidRDefault="00DD6635" w:rsidP="00DD6635">
      <w:pPr>
        <w:pStyle w:val="a9"/>
        <w:kinsoku w:val="0"/>
        <w:spacing w:line="460" w:lineRule="exact"/>
        <w:ind w:left="560" w:hangingChars="200" w:hanging="560"/>
        <w:jc w:val="both"/>
        <w:rPr>
          <w:sz w:val="28"/>
          <w:szCs w:val="28"/>
        </w:rPr>
      </w:pPr>
      <w:r w:rsidRPr="004A78F6">
        <w:rPr>
          <w:rFonts w:ascii="標楷體" w:hAnsi="標楷體" w:hint="eastAsia"/>
          <w:sz w:val="28"/>
          <w:szCs w:val="28"/>
        </w:rPr>
        <w:t>十、</w:t>
      </w:r>
      <w:r w:rsidRPr="004A78F6">
        <w:rPr>
          <w:rFonts w:hint="eastAsia"/>
          <w:sz w:val="28"/>
          <w:szCs w:val="28"/>
        </w:rPr>
        <w:t>明定本辦法修正條文自發布</w:t>
      </w:r>
      <w:r w:rsidRPr="004A78F6">
        <w:rPr>
          <w:sz w:val="28"/>
          <w:szCs w:val="28"/>
        </w:rPr>
        <w:t>日施行。</w:t>
      </w:r>
      <w:r w:rsidRPr="004A78F6">
        <w:rPr>
          <w:sz w:val="28"/>
          <w:szCs w:val="28"/>
        </w:rPr>
        <w:t>(</w:t>
      </w:r>
      <w:r w:rsidRPr="004A78F6">
        <w:rPr>
          <w:rFonts w:hint="eastAsia"/>
          <w:sz w:val="28"/>
          <w:szCs w:val="28"/>
        </w:rPr>
        <w:t>修正條文</w:t>
      </w:r>
      <w:r w:rsidRPr="004A78F6">
        <w:rPr>
          <w:sz w:val="28"/>
          <w:szCs w:val="28"/>
        </w:rPr>
        <w:t>第十四條</w:t>
      </w:r>
      <w:r w:rsidRPr="004A78F6">
        <w:rPr>
          <w:sz w:val="28"/>
          <w:szCs w:val="28"/>
        </w:rPr>
        <w:t>)</w:t>
      </w:r>
    </w:p>
    <w:p w:rsidR="00726FFC" w:rsidRPr="004A78F6" w:rsidRDefault="00726FFC" w:rsidP="00DD6635">
      <w:pPr>
        <w:spacing w:line="460" w:lineRule="exact"/>
        <w:jc w:val="both"/>
        <w:rPr>
          <w:sz w:val="28"/>
          <w:szCs w:val="28"/>
        </w:rPr>
      </w:pPr>
    </w:p>
    <w:sectPr w:rsidR="00726FFC" w:rsidRPr="004A78F6" w:rsidSect="007C3837">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D0" w:rsidRDefault="009A62D0">
      <w:r>
        <w:separator/>
      </w:r>
    </w:p>
  </w:endnote>
  <w:endnote w:type="continuationSeparator" w:id="0">
    <w:p w:rsidR="009A62D0" w:rsidRDefault="009A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FF" w:rsidRPr="001879FF" w:rsidRDefault="001879FF" w:rsidP="001879FF">
    <w:pPr>
      <w:pStyle w:val="a5"/>
      <w:jc w:val="center"/>
      <w:rPr>
        <w:rFonts w:eastAsia="標楷體"/>
        <w:sz w:val="24"/>
        <w:szCs w:val="24"/>
      </w:rPr>
    </w:pPr>
    <w:r w:rsidRPr="001879FF">
      <w:rPr>
        <w:rFonts w:eastAsia="標楷體"/>
        <w:sz w:val="24"/>
        <w:szCs w:val="24"/>
      </w:rPr>
      <w:fldChar w:fldCharType="begin"/>
    </w:r>
    <w:r w:rsidRPr="001879FF">
      <w:rPr>
        <w:rFonts w:eastAsia="標楷體"/>
        <w:sz w:val="24"/>
        <w:szCs w:val="24"/>
      </w:rPr>
      <w:instrText>PAGE   \* MERGEFORMAT</w:instrText>
    </w:r>
    <w:r w:rsidRPr="001879FF">
      <w:rPr>
        <w:rFonts w:eastAsia="標楷體"/>
        <w:sz w:val="24"/>
        <w:szCs w:val="24"/>
      </w:rPr>
      <w:fldChar w:fldCharType="separate"/>
    </w:r>
    <w:r w:rsidR="006122CB" w:rsidRPr="006122CB">
      <w:rPr>
        <w:rFonts w:eastAsia="標楷體"/>
        <w:noProof/>
        <w:sz w:val="24"/>
        <w:szCs w:val="24"/>
        <w:lang w:val="zh-TW"/>
      </w:rPr>
      <w:t>1</w:t>
    </w:r>
    <w:r w:rsidRPr="001879FF">
      <w:rPr>
        <w:rFonts w:eastAsia="標楷體"/>
        <w:sz w:val="24"/>
        <w:szCs w:val="24"/>
      </w:rPr>
      <w:fldChar w:fldCharType="end"/>
    </w:r>
  </w:p>
  <w:p w:rsidR="001879FF" w:rsidRDefault="001879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D0" w:rsidRDefault="009A62D0">
      <w:r>
        <w:separator/>
      </w:r>
    </w:p>
  </w:footnote>
  <w:footnote w:type="continuationSeparator" w:id="0">
    <w:p w:rsidR="009A62D0" w:rsidRDefault="009A6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8FD"/>
    <w:multiLevelType w:val="hybridMultilevel"/>
    <w:tmpl w:val="E1E83D2C"/>
    <w:lvl w:ilvl="0" w:tplc="73B8E0AC">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2F14E3"/>
    <w:multiLevelType w:val="hybridMultilevel"/>
    <w:tmpl w:val="10365EE8"/>
    <w:lvl w:ilvl="0" w:tplc="5CFE15AE">
      <w:start w:val="1"/>
      <w:numFmt w:val="taiwaneseCountingThousand"/>
      <w:lvlText w:val="%1、"/>
      <w:lvlJc w:val="left"/>
      <w:pPr>
        <w:tabs>
          <w:tab w:val="num" w:pos="1080"/>
        </w:tabs>
        <w:ind w:left="1080" w:hanging="720"/>
      </w:pPr>
      <w:rPr>
        <w:rFonts w:ascii="標楷體" w:hAnsi="標楷體" w:hint="default"/>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E784358"/>
    <w:multiLevelType w:val="hybridMultilevel"/>
    <w:tmpl w:val="1E8430AE"/>
    <w:lvl w:ilvl="0" w:tplc="A6208AFA">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4E06BB"/>
    <w:multiLevelType w:val="hybridMultilevel"/>
    <w:tmpl w:val="DD0482BA"/>
    <w:lvl w:ilvl="0" w:tplc="9AC608B8">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420F1B"/>
    <w:multiLevelType w:val="hybridMultilevel"/>
    <w:tmpl w:val="8D0CA19A"/>
    <w:lvl w:ilvl="0" w:tplc="A0DA6F8E">
      <w:start w:val="1"/>
      <w:numFmt w:val="taiwaneseCountingThousand"/>
      <w:lvlText w:val="%1、"/>
      <w:lvlJc w:val="left"/>
      <w:pPr>
        <w:tabs>
          <w:tab w:val="num" w:pos="720"/>
        </w:tabs>
        <w:ind w:left="720" w:hanging="720"/>
      </w:pPr>
      <w:rPr>
        <w:rFonts w:ascii="標楷體" w:hint="eastAsia"/>
      </w:rPr>
    </w:lvl>
    <w:lvl w:ilvl="1" w:tplc="03BC95C2">
      <w:start w:val="1"/>
      <w:numFmt w:val="taiwaneseCountingThousand"/>
      <w:lvlText w:val="（%2）"/>
      <w:lvlJc w:val="left"/>
      <w:pPr>
        <w:tabs>
          <w:tab w:val="num" w:pos="1560"/>
        </w:tabs>
        <w:ind w:left="1560" w:hanging="1080"/>
      </w:pPr>
      <w:rPr>
        <w:rFonts w:hint="eastAsia"/>
      </w:rPr>
    </w:lvl>
    <w:lvl w:ilvl="2" w:tplc="850A3456">
      <w:start w:val="2"/>
      <w:numFmt w:val="taiwaneseCountingThousand"/>
      <w:lvlText w:val="（%3）"/>
      <w:lvlJc w:val="left"/>
      <w:pPr>
        <w:tabs>
          <w:tab w:val="num" w:pos="2040"/>
        </w:tabs>
        <w:ind w:left="1680" w:hanging="720"/>
      </w:pPr>
      <w:rPr>
        <w:rFonts w:hint="eastAsia"/>
      </w:rPr>
    </w:lvl>
    <w:lvl w:ilvl="3" w:tplc="169CE426">
      <w:start w:val="3"/>
      <w:numFmt w:val="taiwaneseCountingThousand"/>
      <w:lvlText w:val="%4、"/>
      <w:lvlJc w:val="left"/>
      <w:pPr>
        <w:tabs>
          <w:tab w:val="num" w:pos="2160"/>
        </w:tabs>
        <w:ind w:left="1800" w:hanging="360"/>
      </w:pPr>
      <w:rPr>
        <w:rFonts w:hint="default"/>
        <w:u w:val="none"/>
      </w:rPr>
    </w:lvl>
    <w:lvl w:ilvl="4" w:tplc="04DCD688">
      <w:start w:val="1"/>
      <w:numFmt w:val="taiwaneseCountingThousand"/>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7752087"/>
    <w:multiLevelType w:val="hybridMultilevel"/>
    <w:tmpl w:val="BD9A2F6C"/>
    <w:lvl w:ilvl="0" w:tplc="90AEF6E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A0"/>
    <w:rsid w:val="00002875"/>
    <w:rsid w:val="00013AF8"/>
    <w:rsid w:val="00023E33"/>
    <w:rsid w:val="0002465F"/>
    <w:rsid w:val="00041581"/>
    <w:rsid w:val="00042344"/>
    <w:rsid w:val="00043A48"/>
    <w:rsid w:val="0004536D"/>
    <w:rsid w:val="00061398"/>
    <w:rsid w:val="000667F8"/>
    <w:rsid w:val="000865C7"/>
    <w:rsid w:val="00086A01"/>
    <w:rsid w:val="00091CC7"/>
    <w:rsid w:val="00096733"/>
    <w:rsid w:val="000A52CE"/>
    <w:rsid w:val="000C4DAB"/>
    <w:rsid w:val="000D625F"/>
    <w:rsid w:val="000E061A"/>
    <w:rsid w:val="00124964"/>
    <w:rsid w:val="00134EFA"/>
    <w:rsid w:val="00156C82"/>
    <w:rsid w:val="00156ED4"/>
    <w:rsid w:val="001602E1"/>
    <w:rsid w:val="00163058"/>
    <w:rsid w:val="00166C8A"/>
    <w:rsid w:val="001709CB"/>
    <w:rsid w:val="001879FF"/>
    <w:rsid w:val="00191224"/>
    <w:rsid w:val="00192F4C"/>
    <w:rsid w:val="001943B7"/>
    <w:rsid w:val="001949F7"/>
    <w:rsid w:val="001B4475"/>
    <w:rsid w:val="001C575A"/>
    <w:rsid w:val="0023765B"/>
    <w:rsid w:val="0024087F"/>
    <w:rsid w:val="00276606"/>
    <w:rsid w:val="0028154A"/>
    <w:rsid w:val="0029315B"/>
    <w:rsid w:val="002B1840"/>
    <w:rsid w:val="002B28CB"/>
    <w:rsid w:val="002C66C5"/>
    <w:rsid w:val="002D6354"/>
    <w:rsid w:val="002D7C8D"/>
    <w:rsid w:val="002E349F"/>
    <w:rsid w:val="002E6412"/>
    <w:rsid w:val="00305CC8"/>
    <w:rsid w:val="00311E03"/>
    <w:rsid w:val="003330AC"/>
    <w:rsid w:val="00341F2C"/>
    <w:rsid w:val="00347D5F"/>
    <w:rsid w:val="003526AB"/>
    <w:rsid w:val="00352E23"/>
    <w:rsid w:val="003728EE"/>
    <w:rsid w:val="003843DD"/>
    <w:rsid w:val="00390CCC"/>
    <w:rsid w:val="003C685A"/>
    <w:rsid w:val="003E2654"/>
    <w:rsid w:val="00406CDC"/>
    <w:rsid w:val="00413B3C"/>
    <w:rsid w:val="004502F4"/>
    <w:rsid w:val="00464A46"/>
    <w:rsid w:val="00464C5D"/>
    <w:rsid w:val="00472A65"/>
    <w:rsid w:val="0047333A"/>
    <w:rsid w:val="004737C7"/>
    <w:rsid w:val="0047421F"/>
    <w:rsid w:val="00484B26"/>
    <w:rsid w:val="004A3154"/>
    <w:rsid w:val="004A78F6"/>
    <w:rsid w:val="004A7E6F"/>
    <w:rsid w:val="004B1135"/>
    <w:rsid w:val="004B522D"/>
    <w:rsid w:val="004C0568"/>
    <w:rsid w:val="004C4D82"/>
    <w:rsid w:val="004E4F99"/>
    <w:rsid w:val="005115EC"/>
    <w:rsid w:val="00513C77"/>
    <w:rsid w:val="00514DE2"/>
    <w:rsid w:val="0052064C"/>
    <w:rsid w:val="005240BE"/>
    <w:rsid w:val="005240E5"/>
    <w:rsid w:val="00535933"/>
    <w:rsid w:val="00556E2C"/>
    <w:rsid w:val="00562760"/>
    <w:rsid w:val="00566967"/>
    <w:rsid w:val="00584A2E"/>
    <w:rsid w:val="00596CB3"/>
    <w:rsid w:val="005B6D58"/>
    <w:rsid w:val="006122CB"/>
    <w:rsid w:val="006232EF"/>
    <w:rsid w:val="00653630"/>
    <w:rsid w:val="00653CAE"/>
    <w:rsid w:val="0065549D"/>
    <w:rsid w:val="006631CE"/>
    <w:rsid w:val="00672A03"/>
    <w:rsid w:val="00676BB1"/>
    <w:rsid w:val="00676D58"/>
    <w:rsid w:val="006924BC"/>
    <w:rsid w:val="006A267B"/>
    <w:rsid w:val="006D3FF1"/>
    <w:rsid w:val="00701E75"/>
    <w:rsid w:val="00704CF7"/>
    <w:rsid w:val="0070636D"/>
    <w:rsid w:val="00711163"/>
    <w:rsid w:val="00713557"/>
    <w:rsid w:val="00714A2B"/>
    <w:rsid w:val="00723D21"/>
    <w:rsid w:val="00726FFC"/>
    <w:rsid w:val="00740253"/>
    <w:rsid w:val="00784FF9"/>
    <w:rsid w:val="00797205"/>
    <w:rsid w:val="007A18BA"/>
    <w:rsid w:val="007C3837"/>
    <w:rsid w:val="007E6B32"/>
    <w:rsid w:val="007F62A2"/>
    <w:rsid w:val="00802A20"/>
    <w:rsid w:val="008107B8"/>
    <w:rsid w:val="008638D9"/>
    <w:rsid w:val="008660AA"/>
    <w:rsid w:val="00882612"/>
    <w:rsid w:val="008B2D84"/>
    <w:rsid w:val="008C3843"/>
    <w:rsid w:val="008C7EED"/>
    <w:rsid w:val="009058DA"/>
    <w:rsid w:val="00905F68"/>
    <w:rsid w:val="0092454B"/>
    <w:rsid w:val="0093038B"/>
    <w:rsid w:val="0094729C"/>
    <w:rsid w:val="0097310C"/>
    <w:rsid w:val="00975BF8"/>
    <w:rsid w:val="0098204B"/>
    <w:rsid w:val="00990CED"/>
    <w:rsid w:val="009A62D0"/>
    <w:rsid w:val="009C2A19"/>
    <w:rsid w:val="009C7965"/>
    <w:rsid w:val="009D64BF"/>
    <w:rsid w:val="009E21AA"/>
    <w:rsid w:val="009E385D"/>
    <w:rsid w:val="009E43B7"/>
    <w:rsid w:val="009F3166"/>
    <w:rsid w:val="009F4603"/>
    <w:rsid w:val="00A03C6E"/>
    <w:rsid w:val="00A23C6F"/>
    <w:rsid w:val="00A2551F"/>
    <w:rsid w:val="00A33BF6"/>
    <w:rsid w:val="00A35464"/>
    <w:rsid w:val="00A46370"/>
    <w:rsid w:val="00A501D8"/>
    <w:rsid w:val="00A51CC4"/>
    <w:rsid w:val="00A54C63"/>
    <w:rsid w:val="00A577F8"/>
    <w:rsid w:val="00A71C5A"/>
    <w:rsid w:val="00A87F73"/>
    <w:rsid w:val="00A91519"/>
    <w:rsid w:val="00A93E5D"/>
    <w:rsid w:val="00AA26E3"/>
    <w:rsid w:val="00B114FA"/>
    <w:rsid w:val="00B21BDC"/>
    <w:rsid w:val="00B45A2B"/>
    <w:rsid w:val="00B52B77"/>
    <w:rsid w:val="00B532F1"/>
    <w:rsid w:val="00B56FBF"/>
    <w:rsid w:val="00B634A6"/>
    <w:rsid w:val="00B6372C"/>
    <w:rsid w:val="00B711F0"/>
    <w:rsid w:val="00B76568"/>
    <w:rsid w:val="00B81270"/>
    <w:rsid w:val="00BA0288"/>
    <w:rsid w:val="00BE05A0"/>
    <w:rsid w:val="00BF3828"/>
    <w:rsid w:val="00C050A4"/>
    <w:rsid w:val="00C175AB"/>
    <w:rsid w:val="00C27A49"/>
    <w:rsid w:val="00C30407"/>
    <w:rsid w:val="00C31234"/>
    <w:rsid w:val="00C4393A"/>
    <w:rsid w:val="00C44602"/>
    <w:rsid w:val="00C64E56"/>
    <w:rsid w:val="00C70E2C"/>
    <w:rsid w:val="00C852C2"/>
    <w:rsid w:val="00CD2E30"/>
    <w:rsid w:val="00CF7E39"/>
    <w:rsid w:val="00D06ADF"/>
    <w:rsid w:val="00D23075"/>
    <w:rsid w:val="00D42791"/>
    <w:rsid w:val="00D442A1"/>
    <w:rsid w:val="00D457B5"/>
    <w:rsid w:val="00D66013"/>
    <w:rsid w:val="00D91365"/>
    <w:rsid w:val="00D9210D"/>
    <w:rsid w:val="00DB46BF"/>
    <w:rsid w:val="00DC3C4E"/>
    <w:rsid w:val="00DD6635"/>
    <w:rsid w:val="00DE6CA2"/>
    <w:rsid w:val="00DF2EF7"/>
    <w:rsid w:val="00DF679E"/>
    <w:rsid w:val="00E218BD"/>
    <w:rsid w:val="00E22170"/>
    <w:rsid w:val="00E31E8A"/>
    <w:rsid w:val="00E473A1"/>
    <w:rsid w:val="00E6330B"/>
    <w:rsid w:val="00E86A33"/>
    <w:rsid w:val="00E8751E"/>
    <w:rsid w:val="00E957E6"/>
    <w:rsid w:val="00EA2DD4"/>
    <w:rsid w:val="00EB4718"/>
    <w:rsid w:val="00EC22FC"/>
    <w:rsid w:val="00EC3CCB"/>
    <w:rsid w:val="00EC66A2"/>
    <w:rsid w:val="00EC7919"/>
    <w:rsid w:val="00ED4E13"/>
    <w:rsid w:val="00EE4603"/>
    <w:rsid w:val="00EE69C3"/>
    <w:rsid w:val="00F22D79"/>
    <w:rsid w:val="00F24057"/>
    <w:rsid w:val="00F551DF"/>
    <w:rsid w:val="00F76227"/>
    <w:rsid w:val="00FB1724"/>
    <w:rsid w:val="00FB7AAD"/>
    <w:rsid w:val="00FD2A55"/>
    <w:rsid w:val="00FD3941"/>
    <w:rsid w:val="00FE0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5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E05A0"/>
    <w:pPr>
      <w:ind w:left="391" w:right="92"/>
      <w:jc w:val="both"/>
    </w:pPr>
    <w:rPr>
      <w:rFonts w:ascii="Arial" w:eastAsia="標楷體" w:hAnsi="Arial" w:cs="Arial"/>
      <w:u w:val="single"/>
    </w:rPr>
  </w:style>
  <w:style w:type="paragraph" w:styleId="HTML">
    <w:name w:val="HTML Preformatted"/>
    <w:basedOn w:val="a"/>
    <w:rsid w:val="00F22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4">
    <w:name w:val="header"/>
    <w:basedOn w:val="a"/>
    <w:rsid w:val="00C050A4"/>
    <w:pPr>
      <w:tabs>
        <w:tab w:val="center" w:pos="4153"/>
        <w:tab w:val="right" w:pos="8306"/>
      </w:tabs>
      <w:snapToGrid w:val="0"/>
    </w:pPr>
    <w:rPr>
      <w:sz w:val="20"/>
      <w:szCs w:val="20"/>
    </w:rPr>
  </w:style>
  <w:style w:type="paragraph" w:styleId="a5">
    <w:name w:val="footer"/>
    <w:basedOn w:val="a"/>
    <w:link w:val="a6"/>
    <w:uiPriority w:val="99"/>
    <w:rsid w:val="00C050A4"/>
    <w:pPr>
      <w:tabs>
        <w:tab w:val="center" w:pos="4153"/>
        <w:tab w:val="right" w:pos="8306"/>
      </w:tabs>
      <w:snapToGrid w:val="0"/>
    </w:pPr>
    <w:rPr>
      <w:sz w:val="20"/>
      <w:szCs w:val="20"/>
    </w:rPr>
  </w:style>
  <w:style w:type="character" w:styleId="a7">
    <w:name w:val="page number"/>
    <w:basedOn w:val="a0"/>
    <w:rsid w:val="00C050A4"/>
  </w:style>
  <w:style w:type="paragraph" w:styleId="a8">
    <w:name w:val="Balloon Text"/>
    <w:basedOn w:val="a"/>
    <w:semiHidden/>
    <w:rsid w:val="00566967"/>
    <w:rPr>
      <w:rFonts w:ascii="Arial" w:hAnsi="Arial"/>
      <w:sz w:val="18"/>
      <w:szCs w:val="18"/>
    </w:rPr>
  </w:style>
  <w:style w:type="paragraph" w:customStyle="1" w:styleId="a9">
    <w:name w:val="公文(後續段落)"/>
    <w:basedOn w:val="a"/>
    <w:rsid w:val="00726FFC"/>
    <w:pPr>
      <w:spacing w:line="500" w:lineRule="exact"/>
      <w:ind w:left="317"/>
    </w:pPr>
    <w:rPr>
      <w:rFonts w:eastAsia="標楷體"/>
      <w:sz w:val="32"/>
    </w:rPr>
  </w:style>
  <w:style w:type="paragraph" w:customStyle="1" w:styleId="aa">
    <w:name w:val="公文(主旨)"/>
    <w:basedOn w:val="a"/>
    <w:rsid w:val="00E8751E"/>
    <w:pPr>
      <w:kinsoku w:val="0"/>
      <w:snapToGrid w:val="0"/>
      <w:spacing w:after="200" w:line="500" w:lineRule="exact"/>
      <w:ind w:left="958" w:hanging="958"/>
    </w:pPr>
    <w:rPr>
      <w:rFonts w:ascii="標楷體" w:eastAsia="標楷體" w:hAnsi="標楷體"/>
      <w:sz w:val="32"/>
    </w:rPr>
  </w:style>
  <w:style w:type="character" w:customStyle="1" w:styleId="a6">
    <w:name w:val="頁尾 字元"/>
    <w:basedOn w:val="a0"/>
    <w:link w:val="a5"/>
    <w:uiPriority w:val="99"/>
    <w:rsid w:val="001879F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5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E05A0"/>
    <w:pPr>
      <w:ind w:left="391" w:right="92"/>
      <w:jc w:val="both"/>
    </w:pPr>
    <w:rPr>
      <w:rFonts w:ascii="Arial" w:eastAsia="標楷體" w:hAnsi="Arial" w:cs="Arial"/>
      <w:u w:val="single"/>
    </w:rPr>
  </w:style>
  <w:style w:type="paragraph" w:styleId="HTML">
    <w:name w:val="HTML Preformatted"/>
    <w:basedOn w:val="a"/>
    <w:rsid w:val="00F22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4">
    <w:name w:val="header"/>
    <w:basedOn w:val="a"/>
    <w:rsid w:val="00C050A4"/>
    <w:pPr>
      <w:tabs>
        <w:tab w:val="center" w:pos="4153"/>
        <w:tab w:val="right" w:pos="8306"/>
      </w:tabs>
      <w:snapToGrid w:val="0"/>
    </w:pPr>
    <w:rPr>
      <w:sz w:val="20"/>
      <w:szCs w:val="20"/>
    </w:rPr>
  </w:style>
  <w:style w:type="paragraph" w:styleId="a5">
    <w:name w:val="footer"/>
    <w:basedOn w:val="a"/>
    <w:link w:val="a6"/>
    <w:uiPriority w:val="99"/>
    <w:rsid w:val="00C050A4"/>
    <w:pPr>
      <w:tabs>
        <w:tab w:val="center" w:pos="4153"/>
        <w:tab w:val="right" w:pos="8306"/>
      </w:tabs>
      <w:snapToGrid w:val="0"/>
    </w:pPr>
    <w:rPr>
      <w:sz w:val="20"/>
      <w:szCs w:val="20"/>
    </w:rPr>
  </w:style>
  <w:style w:type="character" w:styleId="a7">
    <w:name w:val="page number"/>
    <w:basedOn w:val="a0"/>
    <w:rsid w:val="00C050A4"/>
  </w:style>
  <w:style w:type="paragraph" w:styleId="a8">
    <w:name w:val="Balloon Text"/>
    <w:basedOn w:val="a"/>
    <w:semiHidden/>
    <w:rsid w:val="00566967"/>
    <w:rPr>
      <w:rFonts w:ascii="Arial" w:hAnsi="Arial"/>
      <w:sz w:val="18"/>
      <w:szCs w:val="18"/>
    </w:rPr>
  </w:style>
  <w:style w:type="paragraph" w:customStyle="1" w:styleId="a9">
    <w:name w:val="公文(後續段落)"/>
    <w:basedOn w:val="a"/>
    <w:rsid w:val="00726FFC"/>
    <w:pPr>
      <w:spacing w:line="500" w:lineRule="exact"/>
      <w:ind w:left="317"/>
    </w:pPr>
    <w:rPr>
      <w:rFonts w:eastAsia="標楷體"/>
      <w:sz w:val="32"/>
    </w:rPr>
  </w:style>
  <w:style w:type="paragraph" w:customStyle="1" w:styleId="aa">
    <w:name w:val="公文(主旨)"/>
    <w:basedOn w:val="a"/>
    <w:rsid w:val="00E8751E"/>
    <w:pPr>
      <w:kinsoku w:val="0"/>
      <w:snapToGrid w:val="0"/>
      <w:spacing w:after="200" w:line="500" w:lineRule="exact"/>
      <w:ind w:left="958" w:hanging="958"/>
    </w:pPr>
    <w:rPr>
      <w:rFonts w:ascii="標楷體" w:eastAsia="標楷體" w:hAnsi="標楷體"/>
      <w:sz w:val="32"/>
    </w:rPr>
  </w:style>
  <w:style w:type="character" w:customStyle="1" w:styleId="a6">
    <w:name w:val="頁尾 字元"/>
    <w:basedOn w:val="a0"/>
    <w:link w:val="a5"/>
    <w:uiPriority w:val="99"/>
    <w:rsid w:val="001879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6915">
      <w:bodyDiv w:val="1"/>
      <w:marLeft w:val="0"/>
      <w:marRight w:val="0"/>
      <w:marTop w:val="0"/>
      <w:marBottom w:val="0"/>
      <w:divBdr>
        <w:top w:val="none" w:sz="0" w:space="0" w:color="auto"/>
        <w:left w:val="none" w:sz="0" w:space="0" w:color="auto"/>
        <w:bottom w:val="none" w:sz="0" w:space="0" w:color="auto"/>
        <w:right w:val="none" w:sz="0" w:space="0" w:color="auto"/>
      </w:divBdr>
    </w:div>
    <w:div w:id="21376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tii.org.tw/Scripts/newsdetail.asp?no=1A00600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公開發行銀行財務報告編製準則部分條文修正草案總說明</dc:title>
  <dc:creator>侯丁月</dc:creator>
  <cp:lastModifiedBy>陳俊諺</cp:lastModifiedBy>
  <cp:revision>16</cp:revision>
  <cp:lastPrinted>2015-05-26T03:22:00Z</cp:lastPrinted>
  <dcterms:created xsi:type="dcterms:W3CDTF">2015-04-17T06:47:00Z</dcterms:created>
  <dcterms:modified xsi:type="dcterms:W3CDTF">2015-05-26T03:23:00Z</dcterms:modified>
</cp:coreProperties>
</file>