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25" w:rsidRDefault="007A55EC" w:rsidP="00B00525">
      <w:pPr>
        <w:spacing w:beforeLines="50" w:before="180" w:afterLines="50" w:after="180" w:line="460" w:lineRule="exact"/>
        <w:jc w:val="both"/>
        <w:rPr>
          <w:rFonts w:ascii="標楷體" w:eastAsia="標楷體" w:hAnsi="標楷體"/>
          <w:sz w:val="40"/>
          <w:szCs w:val="40"/>
        </w:rPr>
      </w:pPr>
      <w:r w:rsidRPr="007A55EC">
        <w:rPr>
          <w:rFonts w:ascii="標楷體" w:eastAsia="標楷體" w:hAnsi="標楷體"/>
          <w:noProof/>
          <w:sz w:val="40"/>
          <w:szCs w:val="40"/>
        </w:rPr>
        <mc:AlternateContent>
          <mc:Choice Requires="wps">
            <w:drawing>
              <wp:anchor distT="0" distB="0" distL="114300" distR="114300" simplePos="0" relativeHeight="251659264" behindDoc="0" locked="0" layoutInCell="1" allowOverlap="1" wp14:anchorId="52D42492" wp14:editId="2F8BD972">
                <wp:simplePos x="0" y="0"/>
                <wp:positionH relativeFrom="column">
                  <wp:posOffset>5273704</wp:posOffset>
                </wp:positionH>
                <wp:positionV relativeFrom="paragraph">
                  <wp:posOffset>-349857</wp:posOffset>
                </wp:positionV>
                <wp:extent cx="540688" cy="318654"/>
                <wp:effectExtent l="0" t="0" r="12065" b="2476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88" cy="318654"/>
                        </a:xfrm>
                        <a:prstGeom prst="rect">
                          <a:avLst/>
                        </a:prstGeom>
                        <a:solidFill>
                          <a:srgbClr val="FFFFFF"/>
                        </a:solidFill>
                        <a:ln w="9525">
                          <a:solidFill>
                            <a:srgbClr val="000000"/>
                          </a:solidFill>
                          <a:miter lim="800000"/>
                          <a:headEnd/>
                          <a:tailEnd/>
                        </a:ln>
                      </wps:spPr>
                      <wps:txbx>
                        <w:txbxContent>
                          <w:p w:rsidR="007A55EC" w:rsidRPr="007A55EC" w:rsidRDefault="007A55EC">
                            <w:pPr>
                              <w:rPr>
                                <w:rFonts w:ascii="標楷體" w:eastAsia="標楷體" w:hAnsi="標楷體"/>
                              </w:rPr>
                            </w:pPr>
                            <w:r w:rsidRPr="007A55EC">
                              <w:rPr>
                                <w:rFonts w:ascii="標楷體" w:eastAsia="標楷體" w:hAnsi="標楷體"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5.25pt;margin-top:-27.55pt;width:42.5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">
                <v:textbox>
                  <w:txbxContent>
                    <w:p w:rsidR="007A55EC" w:rsidRPr="007A55EC" w:rsidRDefault="007A55EC">
                      <w:pPr>
                        <w:rPr>
                          <w:rFonts w:ascii="標楷體" w:eastAsia="標楷體" w:hAnsi="標楷體"/>
                        </w:rPr>
                      </w:pPr>
                      <w:r w:rsidRPr="007A55EC">
                        <w:rPr>
                          <w:rFonts w:ascii="標楷體" w:eastAsia="標楷體" w:hAnsi="標楷體" w:hint="eastAsia"/>
                        </w:rPr>
                        <w:t>附件</w:t>
                      </w:r>
                    </w:p>
                  </w:txbxContent>
                </v:textbox>
              </v:shape>
            </w:pict>
          </mc:Fallback>
        </mc:AlternateContent>
      </w:r>
      <w:r w:rsidR="00B00525">
        <w:rPr>
          <w:rFonts w:ascii="標楷體" w:eastAsia="標楷體" w:hAnsi="標楷體" w:hint="eastAsia"/>
          <w:sz w:val="40"/>
          <w:szCs w:val="40"/>
        </w:rPr>
        <w:t>保險業資產評估及逾期放款催收款呆帳處理辦法</w:t>
      </w:r>
      <w:r w:rsidR="00B00525" w:rsidRPr="00D03947">
        <w:rPr>
          <w:rFonts w:ascii="標楷體" w:eastAsia="標楷體" w:hAnsi="標楷體" w:hint="eastAsia"/>
          <w:sz w:val="40"/>
          <w:szCs w:val="40"/>
        </w:rPr>
        <w:t>第五條、第十二</w:t>
      </w:r>
      <w:r w:rsidR="00B00525">
        <w:rPr>
          <w:rFonts w:ascii="標楷體" w:eastAsia="標楷體" w:hAnsi="標楷體" w:hint="eastAsia"/>
          <w:sz w:val="40"/>
          <w:szCs w:val="40"/>
        </w:rPr>
        <w:t>條</w:t>
      </w:r>
      <w:r w:rsidR="00B00525" w:rsidRPr="00D03947">
        <w:rPr>
          <w:rFonts w:ascii="標楷體" w:eastAsia="標楷體" w:hAnsi="標楷體" w:hint="eastAsia"/>
          <w:sz w:val="40"/>
          <w:szCs w:val="40"/>
        </w:rPr>
        <w:t>、第二十一條</w:t>
      </w:r>
      <w:r w:rsidR="00B00525" w:rsidRPr="00543D1A">
        <w:rPr>
          <w:rFonts w:ascii="標楷體" w:eastAsia="標楷體" w:hAnsi="標楷體" w:hint="eastAsia"/>
          <w:sz w:val="40"/>
          <w:szCs w:val="40"/>
        </w:rPr>
        <w:t>修正</w:t>
      </w:r>
      <w:r w:rsidR="00F71979">
        <w:rPr>
          <w:rFonts w:ascii="標楷體" w:eastAsia="標楷體" w:hAnsi="標楷體" w:hint="eastAsia"/>
          <w:sz w:val="40"/>
          <w:szCs w:val="40"/>
        </w:rPr>
        <w:t>草案</w:t>
      </w:r>
      <w:r w:rsidR="00B00525" w:rsidRPr="00543D1A">
        <w:rPr>
          <w:rFonts w:ascii="標楷體" w:eastAsia="標楷體" w:hAnsi="標楷體" w:hint="eastAsia"/>
          <w:sz w:val="40"/>
          <w:szCs w:val="40"/>
        </w:rPr>
        <w:t>總說明</w:t>
      </w:r>
    </w:p>
    <w:p w:rsidR="00B00525" w:rsidRPr="00D50207" w:rsidRDefault="00B00525" w:rsidP="00197699">
      <w:pPr>
        <w:pStyle w:val="HTML"/>
        <w:tabs>
          <w:tab w:val="clear" w:pos="916"/>
          <w:tab w:val="left" w:pos="547"/>
          <w:tab w:val="left" w:pos="667"/>
        </w:tabs>
        <w:spacing w:line="560" w:lineRule="exact"/>
        <w:ind w:leftChars="76" w:left="184" w:hanging="2"/>
        <w:jc w:val="both"/>
        <w:rPr>
          <w:rFonts w:ascii="標楷體" w:eastAsia="標楷體" w:hAnsi="標楷體" w:cs="Arial"/>
          <w:sz w:val="28"/>
          <w:szCs w:val="28"/>
        </w:rPr>
      </w:pPr>
      <w:r>
        <w:rPr>
          <w:rFonts w:ascii="標楷體" w:eastAsia="標楷體" w:hAnsi="標楷體" w:hint="eastAsia"/>
          <w:sz w:val="32"/>
          <w:szCs w:val="32"/>
        </w:rPr>
        <w:t xml:space="preserve">   </w:t>
      </w:r>
      <w:r w:rsidRPr="008F24B5">
        <w:rPr>
          <w:rFonts w:ascii="標楷體" w:eastAsia="標楷體" w:hAnsi="標楷體" w:hint="eastAsia"/>
          <w:sz w:val="28"/>
          <w:szCs w:val="28"/>
        </w:rPr>
        <w:t>「保險業資產評估及逾期放款催收款呆帳處理辦法」（以下簡稱本辦法）</w:t>
      </w:r>
      <w:r w:rsidRPr="003B5CDB">
        <w:rPr>
          <w:rFonts w:ascii="標楷體" w:eastAsia="標楷體" w:hAnsi="標楷體" w:hint="eastAsia"/>
          <w:sz w:val="28"/>
          <w:szCs w:val="28"/>
        </w:rPr>
        <w:t>係於九十年十二月二十日訂定發布，其後歷經</w:t>
      </w:r>
      <w:r>
        <w:rPr>
          <w:rFonts w:ascii="標楷體" w:eastAsia="標楷體" w:hAnsi="標楷體" w:hint="eastAsia"/>
          <w:sz w:val="28"/>
          <w:szCs w:val="28"/>
        </w:rPr>
        <w:t>三</w:t>
      </w:r>
      <w:r w:rsidRPr="003B5CDB">
        <w:rPr>
          <w:rFonts w:ascii="標楷體" w:eastAsia="標楷體" w:hAnsi="標楷體" w:hint="eastAsia"/>
          <w:sz w:val="28"/>
          <w:szCs w:val="28"/>
        </w:rPr>
        <w:t>次修正，最近一次係於</w:t>
      </w:r>
      <w:r>
        <w:rPr>
          <w:rFonts w:ascii="標楷體" w:eastAsia="標楷體" w:hAnsi="標楷體" w:hint="eastAsia"/>
          <w:sz w:val="28"/>
          <w:szCs w:val="28"/>
        </w:rPr>
        <w:t>一百零二年十</w:t>
      </w:r>
      <w:r w:rsidRPr="003B5CDB">
        <w:rPr>
          <w:rFonts w:ascii="標楷體" w:eastAsia="標楷體" w:hAnsi="標楷體" w:hint="eastAsia"/>
          <w:sz w:val="28"/>
          <w:szCs w:val="28"/>
        </w:rPr>
        <w:t>月</w:t>
      </w:r>
      <w:r>
        <w:rPr>
          <w:rFonts w:ascii="標楷體" w:eastAsia="標楷體" w:hAnsi="標楷體" w:hint="eastAsia"/>
          <w:sz w:val="28"/>
          <w:szCs w:val="28"/>
        </w:rPr>
        <w:t>十六</w:t>
      </w:r>
      <w:r w:rsidRPr="003B5CDB">
        <w:rPr>
          <w:rFonts w:ascii="標楷體" w:eastAsia="標楷體" w:hAnsi="標楷體" w:hint="eastAsia"/>
          <w:sz w:val="28"/>
          <w:szCs w:val="28"/>
        </w:rPr>
        <w:t>日修正發布。</w:t>
      </w:r>
      <w:r w:rsidRPr="008F24B5">
        <w:rPr>
          <w:rFonts w:ascii="標楷體" w:eastAsia="標楷體" w:hAnsi="標楷體" w:hint="eastAsia"/>
          <w:sz w:val="28"/>
          <w:szCs w:val="28"/>
        </w:rPr>
        <w:t>本次</w:t>
      </w:r>
      <w:r w:rsidRPr="00D03947">
        <w:rPr>
          <w:rFonts w:ascii="標楷體" w:eastAsia="標楷體" w:hAnsi="標楷體" w:hint="eastAsia"/>
          <w:sz w:val="28"/>
          <w:szCs w:val="28"/>
        </w:rPr>
        <w:t>為能及時因應整體經濟情勢快速變遷，</w:t>
      </w:r>
      <w:r w:rsidR="00EB7635">
        <w:rPr>
          <w:rFonts w:ascii="標楷體" w:eastAsia="標楷體" w:hAnsi="標楷體" w:hint="eastAsia"/>
          <w:sz w:val="28"/>
          <w:szCs w:val="28"/>
        </w:rPr>
        <w:t>及</w:t>
      </w:r>
      <w:r w:rsidRPr="00D03947">
        <w:rPr>
          <w:rFonts w:ascii="標楷體" w:eastAsia="標楷體" w:hAnsi="標楷體" w:hint="eastAsia"/>
          <w:sz w:val="28"/>
          <w:szCs w:val="28"/>
        </w:rPr>
        <w:t>確保保險業</w:t>
      </w:r>
      <w:r w:rsidR="00EB7635">
        <w:rPr>
          <w:rFonts w:ascii="標楷體" w:eastAsia="標楷體" w:hAnsi="標楷體" w:hint="eastAsia"/>
          <w:sz w:val="28"/>
          <w:szCs w:val="28"/>
        </w:rPr>
        <w:t>對特定放款資產之</w:t>
      </w:r>
      <w:r>
        <w:rPr>
          <w:rFonts w:ascii="標楷體" w:eastAsia="標楷體" w:hAnsi="標楷體" w:hint="eastAsia"/>
          <w:sz w:val="28"/>
          <w:szCs w:val="28"/>
        </w:rPr>
        <w:t>損失承擔能力</w:t>
      </w:r>
      <w:r w:rsidRPr="008F24B5">
        <w:rPr>
          <w:rFonts w:ascii="標楷體" w:eastAsia="標楷體" w:hAnsi="標楷體" w:hint="eastAsia"/>
          <w:sz w:val="28"/>
          <w:szCs w:val="28"/>
        </w:rPr>
        <w:t>，</w:t>
      </w:r>
      <w:r w:rsidR="00EB7635">
        <w:rPr>
          <w:rFonts w:ascii="標楷體" w:eastAsia="標楷體" w:hAnsi="標楷體" w:hint="eastAsia"/>
          <w:sz w:val="28"/>
          <w:szCs w:val="28"/>
        </w:rPr>
        <w:t>協助其儲備</w:t>
      </w:r>
      <w:r w:rsidR="00FF181A" w:rsidRPr="008F24B5">
        <w:rPr>
          <w:rFonts w:ascii="標楷體" w:eastAsia="標楷體" w:hAnsi="標楷體" w:cs="Arial" w:hint="eastAsia"/>
          <w:sz w:val="28"/>
          <w:szCs w:val="28"/>
        </w:rPr>
        <w:t>因應未來景氣反轉時之健</w:t>
      </w:r>
      <w:r w:rsidR="00D50207">
        <w:rPr>
          <w:rFonts w:ascii="標楷體" w:eastAsia="標楷體" w:hAnsi="標楷體" w:cs="Arial" w:hint="eastAsia"/>
          <w:sz w:val="28"/>
          <w:szCs w:val="28"/>
        </w:rPr>
        <w:t>全經營能力</w:t>
      </w:r>
      <w:r w:rsidR="00FF181A">
        <w:rPr>
          <w:rFonts w:ascii="標楷體" w:eastAsia="標楷體" w:hAnsi="標楷體" w:cs="Arial" w:hint="eastAsia"/>
          <w:sz w:val="28"/>
          <w:szCs w:val="28"/>
        </w:rPr>
        <w:t>，</w:t>
      </w:r>
      <w:r w:rsidRPr="008F24B5">
        <w:rPr>
          <w:rFonts w:ascii="標楷體" w:eastAsia="標楷體" w:hAnsi="標楷體" w:hint="eastAsia"/>
          <w:sz w:val="28"/>
          <w:szCs w:val="28"/>
        </w:rPr>
        <w:t>爰修正本辦法。本次修正條文</w:t>
      </w:r>
      <w:r w:rsidR="00EB0847">
        <w:rPr>
          <w:rFonts w:ascii="標楷體" w:eastAsia="標楷體" w:hAnsi="標楷體" w:hint="eastAsia"/>
          <w:sz w:val="28"/>
          <w:szCs w:val="28"/>
        </w:rPr>
        <w:t>共計三條</w:t>
      </w:r>
      <w:r w:rsidRPr="008F24B5">
        <w:rPr>
          <w:rFonts w:ascii="標楷體" w:eastAsia="標楷體" w:hAnsi="標楷體" w:hint="eastAsia"/>
          <w:sz w:val="28"/>
          <w:szCs w:val="28"/>
        </w:rPr>
        <w:t>，修正要點如下：</w:t>
      </w:r>
      <w:r w:rsidR="008D561F">
        <w:rPr>
          <w:rFonts w:ascii="標楷體" w:eastAsia="標楷體" w:hAnsi="標楷體" w:hint="eastAsia"/>
          <w:sz w:val="28"/>
          <w:szCs w:val="28"/>
        </w:rPr>
        <w:t xml:space="preserve">  </w:t>
      </w:r>
    </w:p>
    <w:p w:rsidR="00B00525" w:rsidRPr="00D86052" w:rsidRDefault="0032430A" w:rsidP="00D86052">
      <w:pPr>
        <w:pStyle w:val="ac"/>
        <w:numPr>
          <w:ilvl w:val="0"/>
          <w:numId w:val="1"/>
        </w:numPr>
        <w:tabs>
          <w:tab w:val="left" w:pos="720"/>
        </w:tabs>
        <w:kinsoku w:val="0"/>
        <w:spacing w:line="560" w:lineRule="exact"/>
        <w:ind w:right="28"/>
        <w:jc w:val="both"/>
        <w:rPr>
          <w:rFonts w:ascii="標楷體" w:hAnsi="標楷體" w:cs="Arial"/>
          <w:sz w:val="28"/>
          <w:szCs w:val="28"/>
        </w:rPr>
      </w:pPr>
      <w:r w:rsidRPr="00D03947">
        <w:rPr>
          <w:rFonts w:ascii="標楷體" w:hAnsi="標楷體" w:hint="eastAsia"/>
          <w:sz w:val="28"/>
          <w:szCs w:val="28"/>
        </w:rPr>
        <w:t>為及時因應整體經濟情勢快速變遷，</w:t>
      </w:r>
      <w:r w:rsidR="0041616C">
        <w:rPr>
          <w:rFonts w:ascii="標楷體" w:hAnsi="標楷體" w:cs="Arial" w:hint="eastAsia"/>
          <w:sz w:val="28"/>
          <w:szCs w:val="28"/>
        </w:rPr>
        <w:t>並</w:t>
      </w:r>
      <w:r w:rsidR="00900837">
        <w:rPr>
          <w:rFonts w:ascii="標楷體" w:hAnsi="標楷體" w:cs="Arial" w:hint="eastAsia"/>
          <w:sz w:val="28"/>
          <w:szCs w:val="28"/>
        </w:rPr>
        <w:t>確保</w:t>
      </w:r>
      <w:r w:rsidR="00B00525">
        <w:rPr>
          <w:rFonts w:ascii="標楷體" w:hAnsi="標楷體" w:cs="Arial" w:hint="eastAsia"/>
          <w:sz w:val="28"/>
          <w:szCs w:val="28"/>
        </w:rPr>
        <w:t>保險業</w:t>
      </w:r>
      <w:r w:rsidR="00EC6ABA">
        <w:rPr>
          <w:rFonts w:ascii="標楷體" w:hAnsi="標楷體" w:cs="Arial" w:hint="eastAsia"/>
          <w:sz w:val="28"/>
          <w:szCs w:val="28"/>
        </w:rPr>
        <w:t>對</w:t>
      </w:r>
      <w:r w:rsidR="00B00525" w:rsidRPr="0059165D">
        <w:rPr>
          <w:rFonts w:ascii="標楷體" w:hAnsi="標楷體" w:cs="Arial" w:hint="eastAsia"/>
          <w:sz w:val="28"/>
          <w:szCs w:val="28"/>
        </w:rPr>
        <w:t>特定</w:t>
      </w:r>
      <w:r w:rsidR="00900837">
        <w:rPr>
          <w:rFonts w:ascii="標楷體" w:hAnsi="標楷體" w:cs="Arial" w:hint="eastAsia"/>
          <w:sz w:val="28"/>
          <w:szCs w:val="28"/>
        </w:rPr>
        <w:t>放款</w:t>
      </w:r>
      <w:r w:rsidR="00B00525" w:rsidRPr="0059165D">
        <w:rPr>
          <w:rFonts w:ascii="標楷體" w:hAnsi="標楷體" w:cs="Arial" w:hint="eastAsia"/>
          <w:sz w:val="28"/>
          <w:szCs w:val="28"/>
        </w:rPr>
        <w:t>資產之損失承擔能力，爰</w:t>
      </w:r>
      <w:r w:rsidR="00900837">
        <w:rPr>
          <w:rFonts w:ascii="標楷體" w:hAnsi="標楷體" w:cs="Arial" w:hint="eastAsia"/>
          <w:sz w:val="28"/>
          <w:szCs w:val="28"/>
        </w:rPr>
        <w:t>明定</w:t>
      </w:r>
      <w:r w:rsidR="00B00525" w:rsidRPr="0059165D">
        <w:rPr>
          <w:rFonts w:ascii="標楷體" w:hAnsi="標楷體" w:cs="Arial" w:hint="eastAsia"/>
          <w:sz w:val="28"/>
          <w:szCs w:val="28"/>
        </w:rPr>
        <w:t>主管機關於必要時，</w:t>
      </w:r>
      <w:r w:rsidR="00D86052" w:rsidRPr="00D86052">
        <w:rPr>
          <w:rFonts w:ascii="標楷體" w:hAnsi="標楷體" w:cs="Arial" w:hint="eastAsia"/>
          <w:sz w:val="28"/>
          <w:szCs w:val="28"/>
        </w:rPr>
        <w:t>得要求保險業依其指定之標準及期限，提高特定放款資產之備抵呆帳。</w:t>
      </w:r>
      <w:r w:rsidR="00B00525" w:rsidRPr="00D86052">
        <w:rPr>
          <w:rFonts w:ascii="標楷體" w:hAnsi="標楷體" w:cs="Arial" w:hint="eastAsia"/>
          <w:sz w:val="28"/>
          <w:szCs w:val="28"/>
        </w:rPr>
        <w:t>（修正條文第五條）</w:t>
      </w:r>
    </w:p>
    <w:p w:rsidR="00900837" w:rsidRPr="00900837" w:rsidRDefault="00900837" w:rsidP="00DC0F65">
      <w:pPr>
        <w:pStyle w:val="ac"/>
        <w:numPr>
          <w:ilvl w:val="0"/>
          <w:numId w:val="1"/>
        </w:numPr>
        <w:tabs>
          <w:tab w:val="left" w:pos="720"/>
        </w:tabs>
        <w:kinsoku w:val="0"/>
        <w:spacing w:line="560" w:lineRule="exact"/>
        <w:ind w:right="28"/>
        <w:jc w:val="both"/>
        <w:rPr>
          <w:rFonts w:ascii="標楷體" w:hAnsi="標楷體" w:cs="Arial"/>
          <w:sz w:val="28"/>
          <w:szCs w:val="28"/>
        </w:rPr>
      </w:pPr>
      <w:r w:rsidRPr="00D218AF">
        <w:rPr>
          <w:rFonts w:ascii="標楷體" w:hAnsi="標楷體" w:cs="Arial" w:hint="eastAsia"/>
          <w:sz w:val="28"/>
          <w:szCs w:val="28"/>
        </w:rPr>
        <w:t>為求法規名稱一致，將</w:t>
      </w:r>
      <w:r w:rsidR="00D218AF" w:rsidRPr="00D218AF">
        <w:rPr>
          <w:rFonts w:ascii="標楷體" w:hAnsi="標楷體" w:cs="Arial" w:hint="eastAsia"/>
          <w:sz w:val="28"/>
          <w:szCs w:val="28"/>
        </w:rPr>
        <w:t>有關「</w:t>
      </w:r>
      <w:r w:rsidR="00D218AF" w:rsidRPr="00D218AF">
        <w:rPr>
          <w:rFonts w:ascii="標楷體" w:hAnsi="標楷體" w:cs="Arial"/>
          <w:sz w:val="28"/>
          <w:szCs w:val="28"/>
        </w:rPr>
        <w:t>保險業辦理資訊公開管理辦法</w:t>
      </w:r>
      <w:r w:rsidR="00D218AF" w:rsidRPr="00D218AF">
        <w:rPr>
          <w:rFonts w:ascii="標楷體" w:hAnsi="標楷體" w:cs="Arial" w:hint="eastAsia"/>
          <w:sz w:val="28"/>
          <w:szCs w:val="28"/>
        </w:rPr>
        <w:t>」之文字修正</w:t>
      </w:r>
      <w:r w:rsidRPr="00D218AF">
        <w:rPr>
          <w:rFonts w:ascii="標楷體" w:hAnsi="標楷體" w:cs="Arial" w:hint="eastAsia"/>
          <w:sz w:val="28"/>
          <w:szCs w:val="28"/>
        </w:rPr>
        <w:t>為「財產</w:t>
      </w:r>
      <w:r w:rsidRPr="00D218AF">
        <w:rPr>
          <w:rFonts w:ascii="標楷體" w:hAnsi="標楷體" w:cs="Arial"/>
          <w:sz w:val="28"/>
          <w:szCs w:val="28"/>
        </w:rPr>
        <w:t>保險業辦理資訊公開管理辦法</w:t>
      </w:r>
      <w:r w:rsidRPr="00D218AF">
        <w:rPr>
          <w:rFonts w:ascii="標楷體" w:hAnsi="標楷體" w:cs="Arial" w:hint="eastAsia"/>
          <w:sz w:val="28"/>
          <w:szCs w:val="28"/>
        </w:rPr>
        <w:t>」及「</w:t>
      </w:r>
      <w:r w:rsidRPr="00D218AF">
        <w:rPr>
          <w:rFonts w:ascii="標楷體" w:hAnsi="標楷體" w:cs="Arial"/>
          <w:sz w:val="28"/>
          <w:szCs w:val="28"/>
        </w:rPr>
        <w:t>人身保險業辦理資訊公開管理辦法</w:t>
      </w:r>
      <w:r w:rsidR="00D218AF" w:rsidRPr="00D218AF">
        <w:rPr>
          <w:rFonts w:ascii="標楷體" w:hAnsi="標楷體" w:cs="Arial" w:hint="eastAsia"/>
          <w:sz w:val="28"/>
          <w:szCs w:val="28"/>
        </w:rPr>
        <w:t>」。</w:t>
      </w:r>
      <w:r w:rsidR="00D218AF">
        <w:rPr>
          <w:rFonts w:ascii="標楷體" w:hAnsi="標楷體" w:cs="Arial" w:hint="eastAsia"/>
          <w:sz w:val="28"/>
          <w:szCs w:val="28"/>
        </w:rPr>
        <w:t>（修正條文第十二</w:t>
      </w:r>
      <w:r w:rsidR="00D218AF" w:rsidRPr="00900837">
        <w:rPr>
          <w:rFonts w:ascii="標楷體" w:hAnsi="標楷體" w:cs="Arial" w:hint="eastAsia"/>
          <w:sz w:val="28"/>
          <w:szCs w:val="28"/>
        </w:rPr>
        <w:t>條）</w:t>
      </w:r>
    </w:p>
    <w:p w:rsidR="00B00525" w:rsidRPr="0059165D" w:rsidRDefault="00B00525" w:rsidP="00DC0F65">
      <w:pPr>
        <w:pStyle w:val="ac"/>
        <w:numPr>
          <w:ilvl w:val="0"/>
          <w:numId w:val="1"/>
        </w:numPr>
        <w:kinsoku w:val="0"/>
        <w:spacing w:line="560" w:lineRule="exact"/>
        <w:ind w:right="26"/>
        <w:jc w:val="both"/>
        <w:rPr>
          <w:rFonts w:ascii="標楷體" w:hAnsi="標楷體"/>
          <w:sz w:val="28"/>
          <w:szCs w:val="28"/>
        </w:rPr>
      </w:pPr>
      <w:r>
        <w:rPr>
          <w:rFonts w:ascii="標楷體" w:hAnsi="標楷體" w:hint="eastAsia"/>
          <w:sz w:val="28"/>
          <w:szCs w:val="28"/>
        </w:rPr>
        <w:t>明定本次修正條文自發布日施行</w:t>
      </w:r>
      <w:r w:rsidRPr="00543D1A">
        <w:rPr>
          <w:rFonts w:ascii="標楷體" w:hAnsi="標楷體" w:hint="eastAsia"/>
          <w:sz w:val="28"/>
          <w:szCs w:val="28"/>
        </w:rPr>
        <w:t>。（修正條文第</w:t>
      </w:r>
      <w:r w:rsidRPr="0059165D">
        <w:rPr>
          <w:rFonts w:ascii="標楷體" w:hAnsi="標楷體" w:hint="eastAsia"/>
          <w:sz w:val="28"/>
          <w:szCs w:val="28"/>
        </w:rPr>
        <w:t>二十一條）</w:t>
      </w:r>
    </w:p>
    <w:p w:rsidR="00B00525" w:rsidRDefault="00B00525" w:rsidP="00D218AF">
      <w:pPr>
        <w:pStyle w:val="ac"/>
        <w:kinsoku w:val="0"/>
        <w:spacing w:line="600" w:lineRule="exact"/>
        <w:ind w:left="0" w:right="26"/>
        <w:jc w:val="both"/>
        <w:rPr>
          <w:rFonts w:ascii="標楷體" w:hAnsi="標楷體"/>
        </w:rPr>
      </w:pPr>
    </w:p>
    <w:p w:rsidR="00B00525" w:rsidRDefault="00B00525" w:rsidP="00B00525">
      <w:pPr>
        <w:spacing w:line="500" w:lineRule="exact"/>
        <w:jc w:val="both"/>
        <w:rPr>
          <w:rFonts w:ascii="標楷體" w:eastAsia="標楷體" w:hAnsi="標楷體"/>
          <w:sz w:val="40"/>
          <w:szCs w:val="40"/>
        </w:rPr>
      </w:pPr>
    </w:p>
    <w:p w:rsidR="00C61B56" w:rsidRDefault="00C61B56" w:rsidP="00B00525">
      <w:pPr>
        <w:spacing w:line="500" w:lineRule="exact"/>
        <w:jc w:val="both"/>
        <w:rPr>
          <w:rFonts w:ascii="標楷體" w:eastAsia="標楷體" w:hAnsi="標楷體"/>
          <w:sz w:val="40"/>
          <w:szCs w:val="40"/>
        </w:rPr>
      </w:pPr>
    </w:p>
    <w:p w:rsidR="00B00525" w:rsidRDefault="00B00525" w:rsidP="00B00525">
      <w:pPr>
        <w:spacing w:line="500" w:lineRule="exact"/>
        <w:jc w:val="both"/>
        <w:rPr>
          <w:rFonts w:ascii="標楷體" w:eastAsia="標楷體" w:hAnsi="標楷體"/>
          <w:sz w:val="40"/>
          <w:szCs w:val="40"/>
        </w:rPr>
      </w:pPr>
    </w:p>
    <w:p w:rsidR="000B07D5" w:rsidRDefault="000B07D5" w:rsidP="00B00525">
      <w:pPr>
        <w:spacing w:line="500" w:lineRule="exact"/>
        <w:jc w:val="both"/>
        <w:rPr>
          <w:rFonts w:ascii="標楷體" w:eastAsia="標楷體" w:hAnsi="標楷體"/>
          <w:sz w:val="40"/>
          <w:szCs w:val="40"/>
        </w:rPr>
      </w:pPr>
    </w:p>
    <w:p w:rsidR="000B07D5" w:rsidRDefault="000B07D5" w:rsidP="00B00525">
      <w:pPr>
        <w:spacing w:line="500" w:lineRule="exact"/>
        <w:jc w:val="both"/>
        <w:rPr>
          <w:rFonts w:ascii="標楷體" w:eastAsia="標楷體" w:hAnsi="標楷體"/>
          <w:sz w:val="40"/>
          <w:szCs w:val="40"/>
        </w:rPr>
      </w:pPr>
    </w:p>
    <w:p w:rsidR="000B07D5" w:rsidRDefault="000B07D5" w:rsidP="00B00525">
      <w:pPr>
        <w:spacing w:line="500" w:lineRule="exact"/>
        <w:jc w:val="both"/>
        <w:rPr>
          <w:rFonts w:ascii="標楷體" w:eastAsia="標楷體" w:hAnsi="標楷體"/>
          <w:sz w:val="40"/>
          <w:szCs w:val="40"/>
        </w:rPr>
      </w:pPr>
    </w:p>
    <w:p w:rsidR="000B07D5" w:rsidRDefault="000B07D5" w:rsidP="00B00525">
      <w:pPr>
        <w:spacing w:line="500" w:lineRule="exact"/>
        <w:jc w:val="both"/>
        <w:rPr>
          <w:rFonts w:ascii="標楷體" w:eastAsia="標楷體" w:hAnsi="標楷體"/>
          <w:sz w:val="40"/>
          <w:szCs w:val="40"/>
        </w:rPr>
      </w:pPr>
    </w:p>
    <w:p w:rsidR="000B07D5" w:rsidRPr="00A468BB" w:rsidRDefault="000B07D5" w:rsidP="000B07D5">
      <w:pPr>
        <w:spacing w:line="500" w:lineRule="exact"/>
        <w:jc w:val="both"/>
        <w:rPr>
          <w:rFonts w:ascii="標楷體" w:eastAsia="標楷體" w:hAnsi="標楷體"/>
          <w:sz w:val="40"/>
          <w:szCs w:val="40"/>
        </w:rPr>
      </w:pPr>
      <w:r w:rsidRPr="00A468BB">
        <w:rPr>
          <w:rFonts w:ascii="標楷體" w:eastAsia="標楷體" w:hAnsi="標楷體"/>
          <w:sz w:val="40"/>
          <w:szCs w:val="40"/>
        </w:rPr>
        <w:lastRenderedPageBreak/>
        <w:t>保險業資產評估及逾期放款催收款呆帳處理辦法</w:t>
      </w:r>
      <w:r>
        <w:rPr>
          <w:rFonts w:ascii="標楷體" w:eastAsia="標楷體" w:hAnsi="標楷體" w:cs="Arial" w:hint="eastAsia"/>
          <w:sz w:val="40"/>
          <w:szCs w:val="40"/>
        </w:rPr>
        <w:t>第五條、第十二條、第二十一條</w:t>
      </w:r>
      <w:r w:rsidRPr="00A468BB">
        <w:rPr>
          <w:rFonts w:ascii="標楷體" w:eastAsia="標楷體" w:hAnsi="標楷體" w:cs="Arial" w:hint="eastAsia"/>
          <w:sz w:val="40"/>
          <w:szCs w:val="40"/>
        </w:rPr>
        <w:t>修正</w:t>
      </w:r>
      <w:r w:rsidR="00B272A5">
        <w:rPr>
          <w:rFonts w:ascii="標楷體" w:eastAsia="標楷體" w:hAnsi="標楷體" w:cs="Arial" w:hint="eastAsia"/>
          <w:sz w:val="40"/>
          <w:szCs w:val="40"/>
        </w:rPr>
        <w:t>草案</w:t>
      </w:r>
      <w:r w:rsidRPr="00A468BB">
        <w:rPr>
          <w:rFonts w:ascii="標楷體" w:eastAsia="標楷體" w:hAnsi="標楷體" w:cs="Arial" w:hint="eastAsia"/>
          <w:sz w:val="40"/>
          <w:szCs w:val="40"/>
        </w:rPr>
        <w:t>條文對照表</w:t>
      </w:r>
    </w:p>
    <w:p w:rsidR="000B07D5" w:rsidRPr="00B00525" w:rsidRDefault="000B07D5" w:rsidP="000B07D5">
      <w:pPr>
        <w:spacing w:line="440" w:lineRule="exact"/>
        <w:rPr>
          <w:rFonts w:ascii="標楷體" w:eastAsia="標楷體" w:hAnsi="標楷體"/>
          <w:sz w:val="40"/>
        </w:rPr>
      </w:pPr>
    </w:p>
    <w:tbl>
      <w:tblPr>
        <w:tblW w:w="992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3307"/>
        <w:gridCol w:w="3307"/>
      </w:tblGrid>
      <w:tr w:rsidR="000B07D5" w:rsidRPr="00167E78" w:rsidTr="00FF687F">
        <w:trPr>
          <w:jc w:val="center"/>
        </w:trPr>
        <w:tc>
          <w:tcPr>
            <w:tcW w:w="3306" w:type="dxa"/>
          </w:tcPr>
          <w:p w:rsidR="000B07D5" w:rsidRPr="00167E78" w:rsidRDefault="000B07D5" w:rsidP="00FF687F">
            <w:pPr>
              <w:jc w:val="center"/>
              <w:rPr>
                <w:rFonts w:ascii="標楷體" w:eastAsia="標楷體" w:hAnsi="標楷體"/>
              </w:rPr>
            </w:pPr>
            <w:r w:rsidRPr="00167E78">
              <w:rPr>
                <w:rFonts w:ascii="標楷體" w:eastAsia="標楷體" w:hAnsi="標楷體" w:hint="eastAsia"/>
              </w:rPr>
              <w:t>修正條文</w:t>
            </w:r>
          </w:p>
        </w:tc>
        <w:tc>
          <w:tcPr>
            <w:tcW w:w="3307" w:type="dxa"/>
          </w:tcPr>
          <w:p w:rsidR="000B07D5" w:rsidRPr="00167E78" w:rsidRDefault="000B07D5" w:rsidP="00FF687F">
            <w:pPr>
              <w:jc w:val="center"/>
              <w:rPr>
                <w:rFonts w:ascii="標楷體" w:eastAsia="標楷體" w:hAnsi="標楷體"/>
              </w:rPr>
            </w:pPr>
            <w:r w:rsidRPr="00167E78">
              <w:rPr>
                <w:rFonts w:ascii="標楷體" w:eastAsia="標楷體" w:hAnsi="標楷體" w:hint="eastAsia"/>
              </w:rPr>
              <w:t>現行條文</w:t>
            </w:r>
          </w:p>
        </w:tc>
        <w:tc>
          <w:tcPr>
            <w:tcW w:w="3307" w:type="dxa"/>
          </w:tcPr>
          <w:p w:rsidR="000B07D5" w:rsidRPr="00167E78" w:rsidRDefault="000B07D5" w:rsidP="00FF687F">
            <w:pPr>
              <w:jc w:val="center"/>
              <w:rPr>
                <w:rFonts w:ascii="標楷體" w:eastAsia="標楷體" w:hAnsi="標楷體"/>
              </w:rPr>
            </w:pPr>
            <w:r w:rsidRPr="00167E78">
              <w:rPr>
                <w:rFonts w:ascii="標楷體" w:eastAsia="標楷體" w:hAnsi="標楷體" w:hint="eastAsia"/>
              </w:rPr>
              <w:t>說明</w:t>
            </w:r>
          </w:p>
        </w:tc>
      </w:tr>
      <w:tr w:rsidR="000B07D5" w:rsidRPr="00167E78" w:rsidTr="00FF687F">
        <w:trPr>
          <w:jc w:val="center"/>
        </w:trPr>
        <w:tc>
          <w:tcPr>
            <w:tcW w:w="3306" w:type="dxa"/>
          </w:tcPr>
          <w:p w:rsidR="000B07D5" w:rsidRPr="004C04E1" w:rsidRDefault="000B07D5" w:rsidP="00FF687F">
            <w:pPr>
              <w:pStyle w:val="HTML"/>
              <w:ind w:left="230" w:hangingChars="96" w:hanging="230"/>
              <w:jc w:val="both"/>
              <w:rPr>
                <w:rFonts w:ascii="標楷體" w:eastAsia="標楷體" w:hAnsi="標楷體"/>
              </w:rPr>
            </w:pPr>
            <w:r w:rsidRPr="004C04E1">
              <w:rPr>
                <w:rFonts w:ascii="標楷體" w:eastAsia="標楷體" w:hAnsi="標楷體" w:hint="eastAsia"/>
              </w:rPr>
              <w:t>第五條  保險業對放款資產，應按前二條規定確實評估，並提足備抵呆帳金額，其金額不得低於下列各款標準：</w:t>
            </w:r>
          </w:p>
          <w:p w:rsidR="000B07D5" w:rsidRPr="004C04E1" w:rsidRDefault="000B07D5" w:rsidP="00FF687F">
            <w:pPr>
              <w:pStyle w:val="HTML"/>
              <w:numPr>
                <w:ilvl w:val="0"/>
                <w:numId w:val="2"/>
              </w:numPr>
              <w:tabs>
                <w:tab w:val="left" w:pos="656"/>
                <w:tab w:val="left" w:pos="798"/>
              </w:tabs>
              <w:ind w:left="798" w:hanging="567"/>
              <w:jc w:val="both"/>
              <w:rPr>
                <w:rFonts w:ascii="標楷體" w:eastAsia="標楷體" w:hAnsi="標楷體"/>
              </w:rPr>
            </w:pPr>
            <w:r w:rsidRPr="004C04E1">
              <w:rPr>
                <w:rFonts w:ascii="標楷體" w:eastAsia="標楷體" w:hAnsi="標楷體" w:hint="eastAsia"/>
              </w:rPr>
              <w:t>第一類放款資產扣除壽險</w:t>
            </w:r>
            <w:r w:rsidR="0041616C">
              <w:rPr>
                <w:rFonts w:ascii="標楷體" w:eastAsia="標楷體" w:hAnsi="標楷體" w:hint="eastAsia"/>
              </w:rPr>
              <w:t>貸</w:t>
            </w:r>
            <w:bookmarkStart w:id="0" w:name="_GoBack"/>
            <w:bookmarkEnd w:id="0"/>
            <w:r w:rsidRPr="004C04E1">
              <w:rPr>
                <w:rFonts w:ascii="標楷體" w:eastAsia="標楷體" w:hAnsi="標楷體" w:hint="eastAsia"/>
              </w:rPr>
              <w:t>款、墊繳保費及對於我國政府機關之債權餘額後之百分之零點五、第二類放款資產債權餘額之百分之二、第三類放款資產債權餘額之百分之十、第四類放款資產債權餘額之百分之五十及第五類放款資產債權餘額全部之和。</w:t>
            </w:r>
          </w:p>
          <w:p w:rsidR="000B07D5" w:rsidRPr="004C04E1" w:rsidRDefault="000B07D5" w:rsidP="00FF687F">
            <w:pPr>
              <w:pStyle w:val="HTML"/>
              <w:numPr>
                <w:ilvl w:val="0"/>
                <w:numId w:val="2"/>
              </w:numPr>
              <w:tabs>
                <w:tab w:val="left" w:pos="656"/>
                <w:tab w:val="left" w:pos="798"/>
              </w:tabs>
              <w:ind w:left="798" w:hanging="567"/>
              <w:jc w:val="both"/>
              <w:rPr>
                <w:rFonts w:ascii="標楷體" w:eastAsia="標楷體" w:hAnsi="標楷體"/>
              </w:rPr>
            </w:pPr>
            <w:r w:rsidRPr="004C04E1">
              <w:rPr>
                <w:rFonts w:ascii="標楷體" w:eastAsia="標楷體" w:hAnsi="標楷體" w:hint="eastAsia"/>
              </w:rPr>
              <w:t>第一類至第五類放款資產扣除壽險貸款、墊繳保費及對於我國政府機關之債權餘額後全部之和之百分之一。</w:t>
            </w:r>
          </w:p>
          <w:p w:rsidR="000B07D5" w:rsidRPr="004C04E1" w:rsidRDefault="000B07D5" w:rsidP="00FF687F">
            <w:pPr>
              <w:pStyle w:val="HTML"/>
              <w:numPr>
                <w:ilvl w:val="0"/>
                <w:numId w:val="2"/>
              </w:numPr>
              <w:tabs>
                <w:tab w:val="left" w:pos="656"/>
                <w:tab w:val="left" w:pos="798"/>
              </w:tabs>
              <w:ind w:left="798" w:hanging="567"/>
              <w:jc w:val="both"/>
              <w:rPr>
                <w:rFonts w:ascii="標楷體" w:eastAsia="標楷體" w:hAnsi="標楷體"/>
              </w:rPr>
            </w:pPr>
            <w:r w:rsidRPr="004C04E1">
              <w:rPr>
                <w:rFonts w:ascii="標楷體" w:eastAsia="標楷體" w:hAnsi="標楷體" w:hint="eastAsia"/>
              </w:rPr>
              <w:t>第七條之逾期放款及第八條之催收款經合理評估已無擔保部分之合計數。</w:t>
            </w:r>
          </w:p>
          <w:p w:rsidR="000B07D5" w:rsidRDefault="000B07D5" w:rsidP="00FF687F">
            <w:pPr>
              <w:pStyle w:val="HTML"/>
              <w:ind w:leftChars="96" w:left="230" w:firstLineChars="177" w:firstLine="425"/>
              <w:jc w:val="both"/>
              <w:rPr>
                <w:rFonts w:ascii="標楷體" w:eastAsia="標楷體" w:hAnsi="標楷體"/>
              </w:rPr>
            </w:pPr>
            <w:r w:rsidRPr="004C04E1">
              <w:rPr>
                <w:rFonts w:ascii="標楷體" w:eastAsia="標楷體" w:hAnsi="標楷體" w:hint="eastAsia"/>
              </w:rPr>
              <w:t>前項最低應提列備抵呆帳之合計數低於依一般公認會計原則規定評估者，仍應以依一般公認會計原則規定評估之數額為最低應提列備抵呆帳之金額。</w:t>
            </w:r>
          </w:p>
          <w:p w:rsidR="000B07D5" w:rsidRPr="00623527" w:rsidRDefault="000B07D5" w:rsidP="00FF687F">
            <w:pPr>
              <w:pStyle w:val="HTML"/>
              <w:ind w:leftChars="96" w:left="230" w:firstLineChars="177" w:firstLine="425"/>
              <w:jc w:val="both"/>
              <w:rPr>
                <w:rFonts w:ascii="標楷體" w:eastAsia="標楷體" w:hAnsi="標楷體"/>
                <w:bCs/>
                <w:u w:val="single"/>
              </w:rPr>
            </w:pPr>
            <w:r w:rsidRPr="00623527">
              <w:rPr>
                <w:rFonts w:ascii="標楷體" w:eastAsia="標楷體" w:hAnsi="標楷體" w:hint="eastAsia"/>
                <w:bCs/>
                <w:u w:val="single"/>
              </w:rPr>
              <w:t>為強化保險業對特定放款資產之損失承擔能力，主管機關於必要時，得要求保險業依其指定之標準及期限，提高特定放款資產之備抵呆帳</w:t>
            </w:r>
            <w:r>
              <w:rPr>
                <w:rFonts w:ascii="標楷體" w:eastAsia="標楷體" w:hAnsi="標楷體" w:hint="eastAsia"/>
                <w:bCs/>
                <w:u w:val="single"/>
              </w:rPr>
              <w:t>。</w:t>
            </w:r>
          </w:p>
        </w:tc>
        <w:tc>
          <w:tcPr>
            <w:tcW w:w="3307" w:type="dxa"/>
          </w:tcPr>
          <w:p w:rsidR="000B07D5" w:rsidRPr="004C04E1" w:rsidRDefault="000B07D5" w:rsidP="00FF687F">
            <w:pPr>
              <w:pStyle w:val="HTML"/>
              <w:ind w:left="230" w:hangingChars="96" w:hanging="230"/>
              <w:jc w:val="both"/>
              <w:rPr>
                <w:rFonts w:ascii="標楷體" w:eastAsia="標楷體" w:hAnsi="標楷體"/>
              </w:rPr>
            </w:pPr>
            <w:r w:rsidRPr="004C04E1">
              <w:rPr>
                <w:rFonts w:ascii="標楷體" w:eastAsia="標楷體" w:hAnsi="標楷體" w:hint="eastAsia"/>
              </w:rPr>
              <w:t>第五條  保險業對放款資產，應按前二條規定確實評估，並提足備抵呆帳金額，其金額不得低於下列各款標準：</w:t>
            </w:r>
          </w:p>
          <w:p w:rsidR="000B07D5" w:rsidRDefault="000B07D5" w:rsidP="00FF687F">
            <w:pPr>
              <w:pStyle w:val="HTML"/>
              <w:numPr>
                <w:ilvl w:val="0"/>
                <w:numId w:val="3"/>
              </w:numPr>
              <w:tabs>
                <w:tab w:val="clear" w:pos="916"/>
                <w:tab w:val="left" w:pos="656"/>
                <w:tab w:val="left" w:pos="798"/>
              </w:tabs>
              <w:ind w:left="807" w:hanging="567"/>
              <w:jc w:val="both"/>
              <w:rPr>
                <w:rFonts w:ascii="標楷體" w:eastAsia="標楷體" w:hAnsi="標楷體"/>
              </w:rPr>
            </w:pPr>
            <w:r w:rsidRPr="004C04E1">
              <w:rPr>
                <w:rFonts w:ascii="標楷體" w:eastAsia="標楷體" w:hAnsi="標楷體" w:hint="eastAsia"/>
              </w:rPr>
              <w:t>第一類放款資產扣除壽險款、墊繳保費及對於我國政府機關之債權餘額後之百分之零點五、第二類放款資產債權餘額之百分之二、第三類放款資產債權餘額之百分之十、第四類放款資產債權餘額之百分之五十及第五類放款資產債權餘額全部之和。</w:t>
            </w:r>
          </w:p>
          <w:p w:rsidR="000B07D5" w:rsidRDefault="000B07D5" w:rsidP="00FF687F">
            <w:pPr>
              <w:pStyle w:val="HTML"/>
              <w:numPr>
                <w:ilvl w:val="0"/>
                <w:numId w:val="3"/>
              </w:numPr>
              <w:tabs>
                <w:tab w:val="clear" w:pos="916"/>
                <w:tab w:val="left" w:pos="656"/>
                <w:tab w:val="left" w:pos="798"/>
              </w:tabs>
              <w:ind w:left="807" w:hanging="567"/>
              <w:jc w:val="both"/>
              <w:rPr>
                <w:rFonts w:ascii="標楷體" w:eastAsia="標楷體" w:hAnsi="標楷體"/>
              </w:rPr>
            </w:pPr>
            <w:r w:rsidRPr="004C04E1">
              <w:rPr>
                <w:rFonts w:ascii="標楷體" w:eastAsia="標楷體" w:hAnsi="標楷體" w:hint="eastAsia"/>
              </w:rPr>
              <w:t>第一類至第五類放款資產扣除壽險貸款、墊繳保費及對於我國政府機關之債權餘額後全部之和之百分之一。</w:t>
            </w:r>
          </w:p>
          <w:p w:rsidR="000B07D5" w:rsidRPr="004C04E1" w:rsidRDefault="000B07D5" w:rsidP="00FF687F">
            <w:pPr>
              <w:pStyle w:val="HTML"/>
              <w:numPr>
                <w:ilvl w:val="0"/>
                <w:numId w:val="3"/>
              </w:numPr>
              <w:tabs>
                <w:tab w:val="clear" w:pos="916"/>
                <w:tab w:val="left" w:pos="656"/>
                <w:tab w:val="left" w:pos="798"/>
              </w:tabs>
              <w:ind w:left="807" w:hanging="567"/>
              <w:jc w:val="both"/>
              <w:rPr>
                <w:rFonts w:ascii="標楷體" w:eastAsia="標楷體" w:hAnsi="標楷體"/>
              </w:rPr>
            </w:pPr>
            <w:r w:rsidRPr="004C04E1">
              <w:rPr>
                <w:rFonts w:ascii="標楷體" w:eastAsia="標楷體" w:hAnsi="標楷體" w:hint="eastAsia"/>
              </w:rPr>
              <w:t>第七條之逾期放款及第八條之催收款經合理評估已無擔保部分之合計數。</w:t>
            </w:r>
          </w:p>
          <w:p w:rsidR="000B07D5" w:rsidRDefault="000B07D5" w:rsidP="00FF687F">
            <w:pPr>
              <w:pStyle w:val="HTML"/>
              <w:ind w:leftChars="100" w:left="240" w:firstLineChars="227" w:firstLine="545"/>
              <w:jc w:val="both"/>
              <w:rPr>
                <w:rFonts w:ascii="標楷體" w:eastAsia="標楷體" w:hAnsi="標楷體"/>
              </w:rPr>
            </w:pPr>
            <w:r w:rsidRPr="004C04E1">
              <w:rPr>
                <w:rFonts w:ascii="標楷體" w:eastAsia="標楷體" w:hAnsi="標楷體" w:hint="eastAsia"/>
              </w:rPr>
              <w:t>前項最低應提列備抵呆帳之合計數低於依一般公認會計原則規定評估者，仍應以依一般公認會計原則規定評估之數額為最低應提列備抵呆帳之金額。</w:t>
            </w:r>
          </w:p>
          <w:p w:rsidR="000B07D5" w:rsidRPr="00A50E36" w:rsidRDefault="000B07D5" w:rsidP="00FF687F">
            <w:pPr>
              <w:pStyle w:val="HTML"/>
              <w:jc w:val="both"/>
              <w:rPr>
                <w:rFonts w:ascii="標楷體" w:eastAsia="標楷體" w:hAnsi="標楷體"/>
              </w:rPr>
            </w:pPr>
          </w:p>
        </w:tc>
        <w:tc>
          <w:tcPr>
            <w:tcW w:w="3307" w:type="dxa"/>
          </w:tcPr>
          <w:p w:rsidR="000B07D5" w:rsidRPr="00623527" w:rsidRDefault="000B07D5" w:rsidP="00FF687F">
            <w:pPr>
              <w:pStyle w:val="HTML"/>
              <w:tabs>
                <w:tab w:val="clear" w:pos="916"/>
                <w:tab w:val="clear" w:pos="2748"/>
                <w:tab w:val="left" w:pos="547"/>
                <w:tab w:val="left" w:pos="667"/>
                <w:tab w:val="left" w:pos="3078"/>
              </w:tabs>
              <w:ind w:rightChars="5" w:right="12"/>
              <w:jc w:val="both"/>
              <w:rPr>
                <w:rFonts w:ascii="標楷體" w:eastAsia="標楷體" w:hAnsi="標楷體"/>
              </w:rPr>
            </w:pPr>
            <w:r w:rsidRPr="008253FE">
              <w:rPr>
                <w:rFonts w:ascii="標楷體" w:eastAsia="標楷體" w:hAnsi="標楷體" w:hint="eastAsia"/>
              </w:rPr>
              <w:t>除第一項所定</w:t>
            </w:r>
            <w:r>
              <w:rPr>
                <w:rFonts w:ascii="標楷體" w:eastAsia="標楷體" w:hAnsi="標楷體" w:hint="eastAsia"/>
              </w:rPr>
              <w:t>放款資產提列備抵呆帳之</w:t>
            </w:r>
            <w:r w:rsidRPr="008253FE">
              <w:rPr>
                <w:rFonts w:ascii="標楷體" w:eastAsia="標楷體" w:hAnsi="標楷體" w:hint="eastAsia"/>
              </w:rPr>
              <w:t>最低標準外，為能及時因應整體經濟情勢快速變遷，</w:t>
            </w:r>
            <w:r w:rsidRPr="00FF181A">
              <w:rPr>
                <w:rFonts w:ascii="標楷體" w:eastAsia="標楷體" w:hAnsi="標楷體" w:hint="eastAsia"/>
              </w:rPr>
              <w:t>及</w:t>
            </w:r>
            <w:r w:rsidRPr="00091135">
              <w:rPr>
                <w:rFonts w:ascii="標楷體" w:eastAsia="標楷體" w:hAnsi="標楷體" w:hint="eastAsia"/>
              </w:rPr>
              <w:t>確保保險業對特定放款資產之損失承擔能力</w:t>
            </w:r>
            <w:r w:rsidRPr="008253FE">
              <w:rPr>
                <w:rFonts w:ascii="標楷體" w:eastAsia="標楷體" w:hAnsi="標楷體" w:hint="eastAsia"/>
              </w:rPr>
              <w:t>，</w:t>
            </w:r>
            <w:r>
              <w:rPr>
                <w:rFonts w:ascii="標楷體" w:eastAsia="標楷體" w:hAnsi="標楷體" w:hint="eastAsia"/>
              </w:rPr>
              <w:t>爰增列</w:t>
            </w:r>
            <w:r w:rsidRPr="008253FE">
              <w:rPr>
                <w:rFonts w:ascii="標楷體" w:eastAsia="標楷體" w:hAnsi="標楷體" w:hint="eastAsia"/>
              </w:rPr>
              <w:t>第</w:t>
            </w:r>
            <w:r>
              <w:rPr>
                <w:rFonts w:ascii="標楷體" w:eastAsia="標楷體" w:hAnsi="標楷體" w:hint="eastAsia"/>
              </w:rPr>
              <w:t>三</w:t>
            </w:r>
            <w:r w:rsidRPr="008253FE">
              <w:rPr>
                <w:rFonts w:ascii="標楷體" w:eastAsia="標楷體" w:hAnsi="標楷體" w:hint="eastAsia"/>
              </w:rPr>
              <w:t>項規定</w:t>
            </w:r>
            <w:r>
              <w:rPr>
                <w:rFonts w:ascii="標楷體" w:eastAsia="標楷體" w:hAnsi="標楷體" w:hint="eastAsia"/>
              </w:rPr>
              <w:t>，明定主管機關於必要時，</w:t>
            </w:r>
            <w:r w:rsidRPr="00623527">
              <w:rPr>
                <w:rFonts w:ascii="標楷體" w:eastAsia="標楷體" w:hAnsi="標楷體" w:hint="eastAsia"/>
              </w:rPr>
              <w:t>得要求保險業依其指定之標準及期限，提高特定放款資產之備抵呆帳。</w:t>
            </w:r>
          </w:p>
        </w:tc>
      </w:tr>
      <w:tr w:rsidR="000B07D5" w:rsidRPr="00167E78" w:rsidTr="00FF687F">
        <w:trPr>
          <w:trHeight w:val="704"/>
          <w:jc w:val="center"/>
        </w:trPr>
        <w:tc>
          <w:tcPr>
            <w:tcW w:w="3306" w:type="dxa"/>
          </w:tcPr>
          <w:p w:rsidR="000B07D5" w:rsidRPr="00AD7538" w:rsidRDefault="000B07D5" w:rsidP="00FF687F">
            <w:pPr>
              <w:pStyle w:val="HTML"/>
              <w:ind w:left="379" w:hangingChars="158" w:hanging="379"/>
              <w:jc w:val="both"/>
              <w:rPr>
                <w:rFonts w:ascii="標楷體" w:eastAsia="標楷體" w:hAnsi="標楷體"/>
              </w:rPr>
            </w:pPr>
            <w:r w:rsidRPr="00AD7538">
              <w:rPr>
                <w:rFonts w:ascii="標楷體" w:eastAsia="標楷體" w:hAnsi="標楷體" w:hint="eastAsia"/>
              </w:rPr>
              <w:t>第十二條  逾期放款及催收款之轉銷，應經董 (理) 事會之決議通過，並通知監察人(監事) 。但經主管機關要求轉銷者，應即轉銷為呆帳，並提報最近一次董 (理) 事會及通知監察人備查。董 (理) 事會休會期間，得由常務董 (理) 事會代為行使，並通知監察人 (監事) ，再報董 (理) 事會備查。</w:t>
            </w:r>
          </w:p>
          <w:p w:rsidR="000B07D5" w:rsidRPr="00AD7538" w:rsidRDefault="000B07D5" w:rsidP="00FF687F">
            <w:pPr>
              <w:pStyle w:val="HTML"/>
              <w:ind w:leftChars="158" w:left="379" w:firstLineChars="236" w:firstLine="566"/>
              <w:jc w:val="both"/>
              <w:rPr>
                <w:rFonts w:ascii="標楷體" w:eastAsia="標楷體" w:hAnsi="標楷體"/>
              </w:rPr>
            </w:pPr>
            <w:r w:rsidRPr="00AD7538">
              <w:rPr>
                <w:rFonts w:ascii="標楷體" w:eastAsia="標楷體" w:hAnsi="標楷體" w:hint="eastAsia"/>
              </w:rPr>
              <w:t>前項規定，於放款或轉銷呆帳時，屬保險業利害關係人放款管理辦法第三條第一項規定金額以上之案件，應經三分之二以上董事之出席及出席董事四分之三以上同意。</w:t>
            </w:r>
          </w:p>
          <w:p w:rsidR="000B07D5" w:rsidRPr="00AD7538" w:rsidRDefault="000B07D5" w:rsidP="00FF687F">
            <w:pPr>
              <w:pStyle w:val="HTML"/>
              <w:ind w:leftChars="158" w:left="379" w:firstLineChars="236" w:firstLine="566"/>
              <w:jc w:val="both"/>
              <w:rPr>
                <w:rFonts w:ascii="標楷體" w:eastAsia="標楷體" w:hAnsi="標楷體"/>
              </w:rPr>
            </w:pPr>
            <w:r w:rsidRPr="00AD7538">
              <w:rPr>
                <w:rFonts w:ascii="標楷體" w:eastAsia="標楷體" w:hAnsi="標楷體" w:hint="eastAsia"/>
              </w:rPr>
              <w:t>外國保險業得依其總公司授權程序辦理。</w:t>
            </w:r>
          </w:p>
          <w:p w:rsidR="000B07D5" w:rsidRPr="00AD7538" w:rsidRDefault="000B07D5" w:rsidP="00FF687F">
            <w:pPr>
              <w:pStyle w:val="HTML"/>
              <w:ind w:leftChars="158" w:left="379" w:firstLineChars="236" w:firstLine="566"/>
              <w:jc w:val="both"/>
              <w:rPr>
                <w:rFonts w:ascii="標楷體" w:eastAsia="標楷體" w:hAnsi="標楷體"/>
              </w:rPr>
            </w:pPr>
            <w:r w:rsidRPr="00AD7538">
              <w:rPr>
                <w:rFonts w:ascii="標楷體" w:eastAsia="標楷體" w:hAnsi="標楷體" w:hint="eastAsia"/>
              </w:rPr>
              <w:t>第二項逾期放款及催收款之轉銷，保險業應依</w:t>
            </w:r>
            <w:r w:rsidRPr="00AD7538">
              <w:rPr>
                <w:rFonts w:ascii="標楷體" w:eastAsia="標楷體" w:hAnsi="標楷體" w:hint="eastAsia"/>
                <w:u w:val="single"/>
              </w:rPr>
              <w:t>財產</w:t>
            </w:r>
            <w:r w:rsidRPr="00AD7538">
              <w:rPr>
                <w:rFonts w:ascii="標楷體" w:eastAsia="標楷體" w:hAnsi="標楷體"/>
                <w:u w:val="single"/>
              </w:rPr>
              <w:t>保險業辦理資訊公開管理辦法</w:t>
            </w:r>
            <w:r w:rsidRPr="00AD7538">
              <w:rPr>
                <w:rFonts w:ascii="標楷體" w:eastAsia="標楷體" w:hAnsi="標楷體" w:hint="eastAsia"/>
                <w:u w:val="single"/>
              </w:rPr>
              <w:t>及</w:t>
            </w:r>
            <w:r w:rsidRPr="00AD7538">
              <w:rPr>
                <w:rFonts w:ascii="標楷體" w:eastAsia="標楷體" w:hAnsi="標楷體"/>
                <w:u w:val="single"/>
              </w:rPr>
              <w:t>人身</w:t>
            </w:r>
            <w:r w:rsidRPr="00AD7538">
              <w:rPr>
                <w:rFonts w:ascii="標楷體" w:eastAsia="標楷體" w:hAnsi="標楷體"/>
              </w:rPr>
              <w:t>保險業辦理資訊公開管理辦法</w:t>
            </w:r>
            <w:r w:rsidRPr="00AD7538">
              <w:rPr>
                <w:rFonts w:ascii="標楷體" w:eastAsia="標楷體" w:hAnsi="標楷體" w:hint="eastAsia"/>
              </w:rPr>
              <w:t>攸關消費大眾權益之重大訊息辦理公開。</w:t>
            </w:r>
          </w:p>
        </w:tc>
        <w:tc>
          <w:tcPr>
            <w:tcW w:w="3307" w:type="dxa"/>
          </w:tcPr>
          <w:p w:rsidR="000B07D5" w:rsidRDefault="000B07D5" w:rsidP="00FF687F">
            <w:pPr>
              <w:pStyle w:val="HTML"/>
              <w:ind w:left="379" w:hangingChars="158" w:hanging="379"/>
              <w:jc w:val="both"/>
              <w:rPr>
                <w:rFonts w:ascii="標楷體" w:eastAsia="標楷體" w:hAnsi="標楷體"/>
              </w:rPr>
            </w:pPr>
            <w:r w:rsidRPr="005C1672">
              <w:rPr>
                <w:rFonts w:ascii="標楷體" w:eastAsia="標楷體" w:hAnsi="標楷體" w:hint="eastAsia"/>
              </w:rPr>
              <w:t>第十二條  逾期放款及催收款之轉銷，應經董 (理) 事會之決議通過，並通知監察人(監事) 。但經主管機關要求轉銷者，應即轉銷為呆帳，並提報最近一次董 (理) 事會及通知監察人備查。董 (理) 事會休會期間，得由常務董 (理) 事會代為行使，並通知監察人 (監事) ，再報董 (理) 事會備查。</w:t>
            </w:r>
          </w:p>
          <w:p w:rsidR="000B07D5" w:rsidRDefault="000B07D5" w:rsidP="00FF687F">
            <w:pPr>
              <w:pStyle w:val="HTML"/>
              <w:ind w:left="380" w:firstLineChars="236" w:firstLine="566"/>
              <w:jc w:val="both"/>
              <w:rPr>
                <w:rFonts w:ascii="標楷體" w:eastAsia="標楷體" w:hAnsi="標楷體"/>
              </w:rPr>
            </w:pPr>
            <w:r w:rsidRPr="005C1672">
              <w:rPr>
                <w:rFonts w:ascii="標楷體" w:eastAsia="標楷體" w:hAnsi="標楷體" w:hint="eastAsia"/>
              </w:rPr>
              <w:t>前項規定，於放款或轉銷呆帳時，屬保險業利害關係人放款管理辦法第三條第一項規定金額以上之案件，應經三分之二以上董事之出席及出席董事四分之三以上同意。</w:t>
            </w:r>
          </w:p>
          <w:p w:rsidR="000B07D5" w:rsidRDefault="000B07D5" w:rsidP="00FF687F">
            <w:pPr>
              <w:pStyle w:val="HTML"/>
              <w:ind w:leftChars="158" w:left="379" w:firstLineChars="236" w:firstLine="566"/>
              <w:jc w:val="both"/>
              <w:rPr>
                <w:rFonts w:ascii="標楷體" w:eastAsia="標楷體" w:hAnsi="標楷體"/>
              </w:rPr>
            </w:pPr>
            <w:r w:rsidRPr="005C1672">
              <w:rPr>
                <w:rFonts w:ascii="標楷體" w:eastAsia="標楷體" w:hAnsi="標楷體" w:hint="eastAsia"/>
              </w:rPr>
              <w:t>外國保險業得依其總公司授權程序辦理。</w:t>
            </w:r>
          </w:p>
          <w:p w:rsidR="000B07D5" w:rsidRPr="005C1672" w:rsidRDefault="000B07D5" w:rsidP="00FF687F">
            <w:pPr>
              <w:pStyle w:val="HTML"/>
              <w:ind w:leftChars="158" w:left="379" w:firstLineChars="236" w:firstLine="566"/>
              <w:jc w:val="both"/>
              <w:rPr>
                <w:rFonts w:ascii="標楷體" w:eastAsia="標楷體" w:hAnsi="標楷體"/>
              </w:rPr>
            </w:pPr>
            <w:r w:rsidRPr="005C1672">
              <w:rPr>
                <w:rFonts w:ascii="標楷體" w:eastAsia="標楷體" w:hAnsi="標楷體" w:hint="eastAsia"/>
              </w:rPr>
              <w:t>第二項逾期放款及催收款之轉銷，保險業應依保險業辦理資訊公開管理辦法攸關消費大眾權益之重大訊息辦理公開。</w:t>
            </w:r>
          </w:p>
        </w:tc>
        <w:tc>
          <w:tcPr>
            <w:tcW w:w="3307" w:type="dxa"/>
          </w:tcPr>
          <w:p w:rsidR="000B07D5" w:rsidRPr="001F4056" w:rsidRDefault="000B07D5" w:rsidP="00FF687F">
            <w:pPr>
              <w:pStyle w:val="a7"/>
              <w:tabs>
                <w:tab w:val="left" w:pos="412"/>
                <w:tab w:val="left" w:pos="554"/>
              </w:tabs>
              <w:ind w:leftChars="0" w:left="0"/>
              <w:jc w:val="both"/>
              <w:rPr>
                <w:rFonts w:ascii="標楷體" w:eastAsia="標楷體" w:hAnsi="標楷體"/>
                <w:bCs/>
              </w:rPr>
            </w:pPr>
            <w:r>
              <w:rPr>
                <w:rFonts w:ascii="標楷體" w:eastAsia="標楷體" w:hAnsi="標楷體" w:hint="eastAsia"/>
              </w:rPr>
              <w:t>為求法規名稱一致，</w:t>
            </w:r>
            <w:r>
              <w:rPr>
                <w:rFonts w:ascii="標楷體" w:eastAsia="標楷體" w:hAnsi="標楷體" w:hint="eastAsia"/>
                <w:bCs/>
              </w:rPr>
              <w:t>修正第四項文字，</w:t>
            </w:r>
            <w:r w:rsidRPr="001F4056">
              <w:rPr>
                <w:rFonts w:ascii="標楷體" w:eastAsia="標楷體" w:hAnsi="標楷體" w:hint="eastAsia"/>
                <w:bCs/>
              </w:rPr>
              <w:t>將有關「保險業辦理資訊公開管理辦法」之文字修正為「財產保險業辦理資訊公開管理辦法」及「人身保險業辦理資訊公開管理辦法」。</w:t>
            </w:r>
          </w:p>
          <w:p w:rsidR="000B07D5" w:rsidRPr="001F4056" w:rsidRDefault="000B07D5" w:rsidP="00FF687F">
            <w:pPr>
              <w:pStyle w:val="a7"/>
              <w:tabs>
                <w:tab w:val="left" w:pos="412"/>
                <w:tab w:val="left" w:pos="554"/>
              </w:tabs>
              <w:ind w:leftChars="0" w:left="0"/>
              <w:jc w:val="both"/>
              <w:rPr>
                <w:rFonts w:ascii="標楷體" w:eastAsia="標楷體" w:hAnsi="標楷體"/>
              </w:rPr>
            </w:pPr>
          </w:p>
          <w:p w:rsidR="000B07D5" w:rsidRDefault="000B07D5" w:rsidP="00FF687F">
            <w:pPr>
              <w:pStyle w:val="HTML"/>
              <w:tabs>
                <w:tab w:val="clear" w:pos="916"/>
                <w:tab w:val="clear" w:pos="2748"/>
                <w:tab w:val="left" w:pos="547"/>
                <w:tab w:val="left" w:pos="667"/>
                <w:tab w:val="left" w:pos="2892"/>
              </w:tabs>
              <w:ind w:rightChars="79" w:right="190"/>
              <w:rPr>
                <w:rFonts w:ascii="標楷體" w:eastAsia="標楷體" w:hAnsi="標楷體" w:cs="Arial"/>
              </w:rPr>
            </w:pPr>
          </w:p>
          <w:p w:rsidR="000B07D5" w:rsidRPr="00885F49" w:rsidRDefault="000B07D5" w:rsidP="00FF687F">
            <w:pPr>
              <w:pStyle w:val="HTML"/>
              <w:tabs>
                <w:tab w:val="clear" w:pos="916"/>
                <w:tab w:val="clear" w:pos="2748"/>
                <w:tab w:val="left" w:pos="547"/>
                <w:tab w:val="left" w:pos="667"/>
                <w:tab w:val="left" w:pos="2892"/>
              </w:tabs>
              <w:ind w:rightChars="79" w:right="190"/>
              <w:rPr>
                <w:rFonts w:ascii="標楷體" w:eastAsia="標楷體" w:hAnsi="標楷體" w:cs="Arial"/>
              </w:rPr>
            </w:pPr>
          </w:p>
        </w:tc>
      </w:tr>
      <w:tr w:rsidR="000B07D5" w:rsidRPr="00167E78" w:rsidTr="00FF687F">
        <w:trPr>
          <w:jc w:val="center"/>
        </w:trPr>
        <w:tc>
          <w:tcPr>
            <w:tcW w:w="3306" w:type="dxa"/>
          </w:tcPr>
          <w:p w:rsidR="000B07D5" w:rsidRPr="00AD7538" w:rsidRDefault="000B07D5" w:rsidP="00FF68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 w:left="156" w:hangingChars="82" w:hanging="197"/>
              <w:jc w:val="both"/>
              <w:rPr>
                <w:rFonts w:ascii="標楷體" w:eastAsia="標楷體" w:hAnsi="標楷體" w:cs="細明體"/>
                <w:kern w:val="0"/>
              </w:rPr>
            </w:pPr>
            <w:r w:rsidRPr="00AD7538">
              <w:rPr>
                <w:rFonts w:ascii="標楷體" w:eastAsia="標楷體" w:hAnsi="標楷體" w:cs="細明體" w:hint="eastAsia"/>
                <w:kern w:val="0"/>
              </w:rPr>
              <w:t>第二十一條  本辦法自中華民國九十四年七月一日施行。</w:t>
            </w:r>
          </w:p>
          <w:p w:rsidR="000B07D5" w:rsidRPr="00AD7538" w:rsidRDefault="000B07D5" w:rsidP="00FF68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150" w:firstLine="360"/>
              <w:jc w:val="both"/>
              <w:rPr>
                <w:rFonts w:ascii="標楷體" w:eastAsia="標楷體" w:hAnsi="標楷體" w:cs="細明體"/>
                <w:kern w:val="0"/>
              </w:rPr>
            </w:pPr>
            <w:r w:rsidRPr="00AD7538">
              <w:rPr>
                <w:rFonts w:ascii="標楷體" w:eastAsia="標楷體" w:hAnsi="標楷體" w:cs="細明體" w:hint="eastAsia"/>
                <w:kern w:val="0"/>
              </w:rPr>
              <w:t>中華民國九十九年十二月二十九日修正發布之條文，自一百年一月一日施行；一百零二年十月十六日修正發布之條文，自一百零三年一月一日施行;</w:t>
            </w:r>
            <w:r w:rsidRPr="00AD7538">
              <w:rPr>
                <w:rFonts w:ascii="標楷體" w:eastAsia="標楷體" w:hAnsi="標楷體" w:cs="細明體" w:hint="eastAsia"/>
                <w:kern w:val="0"/>
                <w:u w:val="single"/>
              </w:rPr>
              <w:t>○○年○○月○○日修正發布之條文，自發布日施行。</w:t>
            </w:r>
          </w:p>
        </w:tc>
        <w:tc>
          <w:tcPr>
            <w:tcW w:w="3307" w:type="dxa"/>
          </w:tcPr>
          <w:p w:rsidR="000B07D5" w:rsidRDefault="000B07D5" w:rsidP="00FF68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 w:left="264" w:hangingChars="128" w:hanging="307"/>
              <w:jc w:val="both"/>
              <w:rPr>
                <w:rFonts w:ascii="標楷體" w:eastAsia="標楷體" w:hAnsi="標楷體" w:cs="細明體"/>
                <w:kern w:val="0"/>
              </w:rPr>
            </w:pPr>
            <w:r>
              <w:rPr>
                <w:rFonts w:ascii="標楷體" w:eastAsia="標楷體" w:hAnsi="標楷體" w:cs="細明體" w:hint="eastAsia"/>
                <w:kern w:val="0"/>
              </w:rPr>
              <w:t xml:space="preserve">第二十一條  </w:t>
            </w:r>
            <w:r w:rsidRPr="005C1672">
              <w:rPr>
                <w:rFonts w:ascii="標楷體" w:eastAsia="標楷體" w:hAnsi="標楷體" w:cs="細明體" w:hint="eastAsia"/>
                <w:kern w:val="0"/>
              </w:rPr>
              <w:t>本辦法自中華民國九十四年七月一日施行。</w:t>
            </w:r>
          </w:p>
          <w:p w:rsidR="000B07D5" w:rsidRPr="005C1672" w:rsidRDefault="000B07D5" w:rsidP="00FF68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177" w:firstLine="425"/>
              <w:jc w:val="both"/>
              <w:rPr>
                <w:rFonts w:ascii="標楷體" w:eastAsia="標楷體" w:hAnsi="標楷體" w:cs="細明體"/>
                <w:kern w:val="0"/>
              </w:rPr>
            </w:pPr>
            <w:r w:rsidRPr="005C1672">
              <w:rPr>
                <w:rFonts w:ascii="標楷體" w:eastAsia="標楷體" w:hAnsi="標楷體" w:cs="細明體" w:hint="eastAsia"/>
                <w:kern w:val="0"/>
              </w:rPr>
              <w:t>中華民國九十九年十二月二十九日修正發布之條文，自一百年一月一日施行；一百零二年十月十六日修正發布之條文，自一百零三年一月一日施行。</w:t>
            </w:r>
          </w:p>
        </w:tc>
        <w:tc>
          <w:tcPr>
            <w:tcW w:w="3307" w:type="dxa"/>
          </w:tcPr>
          <w:p w:rsidR="000B07D5" w:rsidRPr="00AB261D" w:rsidRDefault="000B07D5" w:rsidP="00FF687F">
            <w:pPr>
              <w:jc w:val="both"/>
              <w:rPr>
                <w:rFonts w:ascii="標楷體" w:eastAsia="標楷體" w:hAnsi="標楷體"/>
              </w:rPr>
            </w:pPr>
            <w:r w:rsidRPr="008D7A13">
              <w:rPr>
                <w:rFonts w:ascii="標楷體" w:eastAsia="標楷體" w:hAnsi="標楷體" w:hint="eastAsia"/>
              </w:rPr>
              <w:t>考量本辦法前次於</w:t>
            </w:r>
            <w:r w:rsidRPr="001321FF">
              <w:rPr>
                <w:rFonts w:ascii="標楷體" w:eastAsia="標楷體" w:hAnsi="標楷體" w:hint="eastAsia"/>
              </w:rPr>
              <w:t>九十九年十二月二十九日修正發布之條文，自一百年一月一日施行；一百零二年十月十六日修正發布之條文，自一百零三年一月一日施行</w:t>
            </w:r>
            <w:r>
              <w:rPr>
                <w:rFonts w:ascii="標楷體" w:eastAsia="標楷體" w:hAnsi="標楷體" w:hint="eastAsia"/>
              </w:rPr>
              <w:t>，</w:t>
            </w:r>
            <w:r w:rsidRPr="008D7A13">
              <w:rPr>
                <w:rFonts w:ascii="標楷體" w:eastAsia="標楷體" w:hAnsi="標楷體" w:hint="eastAsia"/>
              </w:rPr>
              <w:t>爰於同項末段明定本次修正條文自</w:t>
            </w:r>
            <w:r>
              <w:rPr>
                <w:rFonts w:ascii="標楷體" w:eastAsia="標楷體" w:hAnsi="標楷體" w:hint="eastAsia"/>
              </w:rPr>
              <w:t>發布</w:t>
            </w:r>
            <w:r w:rsidRPr="008D7A13">
              <w:rPr>
                <w:rFonts w:ascii="標楷體" w:eastAsia="標楷體" w:hAnsi="標楷體" w:hint="eastAsia"/>
              </w:rPr>
              <w:t>日施行。</w:t>
            </w:r>
          </w:p>
        </w:tc>
      </w:tr>
    </w:tbl>
    <w:p w:rsidR="000B07D5" w:rsidRPr="007F5FDB" w:rsidRDefault="000B07D5" w:rsidP="000B07D5"/>
    <w:p w:rsidR="000B07D5" w:rsidRPr="000B07D5" w:rsidRDefault="000B07D5" w:rsidP="00B00525">
      <w:pPr>
        <w:spacing w:line="500" w:lineRule="exact"/>
        <w:jc w:val="both"/>
        <w:rPr>
          <w:rFonts w:ascii="標楷體" w:eastAsia="標楷體" w:hAnsi="標楷體"/>
          <w:sz w:val="40"/>
          <w:szCs w:val="40"/>
        </w:rPr>
      </w:pPr>
    </w:p>
    <w:sectPr w:rsidR="000B07D5" w:rsidRPr="000B07D5" w:rsidSect="008E2793">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BB" w:rsidRDefault="00FD7DBB" w:rsidP="007F5FDB">
      <w:r>
        <w:separator/>
      </w:r>
    </w:p>
  </w:endnote>
  <w:endnote w:type="continuationSeparator" w:id="0">
    <w:p w:rsidR="00FD7DBB" w:rsidRDefault="00FD7DBB" w:rsidP="007F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96583"/>
      <w:docPartObj>
        <w:docPartGallery w:val="Page Numbers (Bottom of Page)"/>
        <w:docPartUnique/>
      </w:docPartObj>
    </w:sdtPr>
    <w:sdtEndPr/>
    <w:sdtContent>
      <w:p w:rsidR="00034A21" w:rsidRDefault="008E6CC2">
        <w:pPr>
          <w:pStyle w:val="a5"/>
          <w:jc w:val="center"/>
        </w:pPr>
        <w:r>
          <w:fldChar w:fldCharType="begin"/>
        </w:r>
        <w:r w:rsidR="00034A21">
          <w:instrText>PAGE   \* MERGEFORMAT</w:instrText>
        </w:r>
        <w:r>
          <w:fldChar w:fldCharType="separate"/>
        </w:r>
        <w:r w:rsidR="00FD7DBB" w:rsidRPr="00FD7DBB">
          <w:rPr>
            <w:noProof/>
            <w:lang w:val="zh-TW"/>
          </w:rPr>
          <w:t>1</w:t>
        </w:r>
        <w:r>
          <w:fldChar w:fldCharType="end"/>
        </w:r>
      </w:p>
    </w:sdtContent>
  </w:sdt>
  <w:p w:rsidR="00034A21" w:rsidRDefault="00034A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BB" w:rsidRDefault="00FD7DBB" w:rsidP="007F5FDB">
      <w:r>
        <w:separator/>
      </w:r>
    </w:p>
  </w:footnote>
  <w:footnote w:type="continuationSeparator" w:id="0">
    <w:p w:rsidR="00FD7DBB" w:rsidRDefault="00FD7DBB" w:rsidP="007F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E692C"/>
    <w:multiLevelType w:val="hybridMultilevel"/>
    <w:tmpl w:val="EC262FFA"/>
    <w:lvl w:ilvl="0" w:tplc="F4DC4160">
      <w:start w:val="1"/>
      <w:numFmt w:val="taiwaneseCountingThousand"/>
      <w:lvlText w:val="%1、"/>
      <w:lvlJc w:val="left"/>
      <w:pPr>
        <w:tabs>
          <w:tab w:val="num" w:pos="900"/>
        </w:tabs>
        <w:ind w:left="900" w:hanging="720"/>
      </w:pPr>
      <w:rPr>
        <w:rFonts w:cs="Arial"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
    <w:nsid w:val="353F7E65"/>
    <w:multiLevelType w:val="hybridMultilevel"/>
    <w:tmpl w:val="5F62BC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B351434"/>
    <w:multiLevelType w:val="hybridMultilevel"/>
    <w:tmpl w:val="5F62BC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6FF3007"/>
    <w:multiLevelType w:val="hybridMultilevel"/>
    <w:tmpl w:val="57024A14"/>
    <w:lvl w:ilvl="0" w:tplc="04090015">
      <w:start w:val="1"/>
      <w:numFmt w:val="taiwaneseCountingThousand"/>
      <w:lvlText w:val="%1、"/>
      <w:lvlJc w:val="left"/>
      <w:pPr>
        <w:ind w:left="710" w:hanging="480"/>
      </w:p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99"/>
    <w:rsid w:val="00005D4E"/>
    <w:rsid w:val="00010183"/>
    <w:rsid w:val="00012042"/>
    <w:rsid w:val="0001226A"/>
    <w:rsid w:val="00013A4C"/>
    <w:rsid w:val="00016786"/>
    <w:rsid w:val="000171D0"/>
    <w:rsid w:val="000200CE"/>
    <w:rsid w:val="00025987"/>
    <w:rsid w:val="000260FE"/>
    <w:rsid w:val="000269D6"/>
    <w:rsid w:val="00026A72"/>
    <w:rsid w:val="00032E3E"/>
    <w:rsid w:val="0003308E"/>
    <w:rsid w:val="00034A21"/>
    <w:rsid w:val="0004247D"/>
    <w:rsid w:val="00043C6A"/>
    <w:rsid w:val="000452A6"/>
    <w:rsid w:val="00062596"/>
    <w:rsid w:val="00062B82"/>
    <w:rsid w:val="00064D99"/>
    <w:rsid w:val="00065AD1"/>
    <w:rsid w:val="00072B9A"/>
    <w:rsid w:val="00074CB3"/>
    <w:rsid w:val="00076C38"/>
    <w:rsid w:val="00077C7A"/>
    <w:rsid w:val="00077FAB"/>
    <w:rsid w:val="000813F9"/>
    <w:rsid w:val="00081DEC"/>
    <w:rsid w:val="00084E2D"/>
    <w:rsid w:val="000870F9"/>
    <w:rsid w:val="000877FB"/>
    <w:rsid w:val="0009086C"/>
    <w:rsid w:val="00090C57"/>
    <w:rsid w:val="00091135"/>
    <w:rsid w:val="00091994"/>
    <w:rsid w:val="0009209D"/>
    <w:rsid w:val="00095B0B"/>
    <w:rsid w:val="000960E3"/>
    <w:rsid w:val="000966FA"/>
    <w:rsid w:val="000A25C3"/>
    <w:rsid w:val="000A513A"/>
    <w:rsid w:val="000A74B0"/>
    <w:rsid w:val="000B05F2"/>
    <w:rsid w:val="000B07D5"/>
    <w:rsid w:val="000B1BDF"/>
    <w:rsid w:val="000B1FE9"/>
    <w:rsid w:val="000B2BB3"/>
    <w:rsid w:val="000B3664"/>
    <w:rsid w:val="000B70B8"/>
    <w:rsid w:val="000B7478"/>
    <w:rsid w:val="000C52CB"/>
    <w:rsid w:val="000C6248"/>
    <w:rsid w:val="000C6993"/>
    <w:rsid w:val="000C7C05"/>
    <w:rsid w:val="000C7F57"/>
    <w:rsid w:val="000D0E7E"/>
    <w:rsid w:val="000E2655"/>
    <w:rsid w:val="000E4477"/>
    <w:rsid w:val="000E7C76"/>
    <w:rsid w:val="000E7EC5"/>
    <w:rsid w:val="000F16B9"/>
    <w:rsid w:val="000F24C0"/>
    <w:rsid w:val="000F4185"/>
    <w:rsid w:val="000F48B8"/>
    <w:rsid w:val="000F4E67"/>
    <w:rsid w:val="000F61AA"/>
    <w:rsid w:val="00100DF1"/>
    <w:rsid w:val="001044C2"/>
    <w:rsid w:val="00107041"/>
    <w:rsid w:val="001120F1"/>
    <w:rsid w:val="00113006"/>
    <w:rsid w:val="001134F0"/>
    <w:rsid w:val="00117CCE"/>
    <w:rsid w:val="0012290D"/>
    <w:rsid w:val="00122D4F"/>
    <w:rsid w:val="001249D6"/>
    <w:rsid w:val="001328C2"/>
    <w:rsid w:val="00133F3A"/>
    <w:rsid w:val="00134AE0"/>
    <w:rsid w:val="001369A4"/>
    <w:rsid w:val="00136ACA"/>
    <w:rsid w:val="001408FF"/>
    <w:rsid w:val="00143599"/>
    <w:rsid w:val="00143F54"/>
    <w:rsid w:val="00144B09"/>
    <w:rsid w:val="00146694"/>
    <w:rsid w:val="001467C8"/>
    <w:rsid w:val="001527A0"/>
    <w:rsid w:val="0015436A"/>
    <w:rsid w:val="00155D90"/>
    <w:rsid w:val="001630D3"/>
    <w:rsid w:val="00163BBB"/>
    <w:rsid w:val="00166468"/>
    <w:rsid w:val="00166ADB"/>
    <w:rsid w:val="00167E78"/>
    <w:rsid w:val="001719AC"/>
    <w:rsid w:val="0017210B"/>
    <w:rsid w:val="00172E28"/>
    <w:rsid w:val="00177E94"/>
    <w:rsid w:val="00182EED"/>
    <w:rsid w:val="00184ABA"/>
    <w:rsid w:val="001908D9"/>
    <w:rsid w:val="00193AD5"/>
    <w:rsid w:val="00194477"/>
    <w:rsid w:val="001947A1"/>
    <w:rsid w:val="00195210"/>
    <w:rsid w:val="0019566B"/>
    <w:rsid w:val="00195B9A"/>
    <w:rsid w:val="00197699"/>
    <w:rsid w:val="001A17A7"/>
    <w:rsid w:val="001A435B"/>
    <w:rsid w:val="001A59BC"/>
    <w:rsid w:val="001A6426"/>
    <w:rsid w:val="001B2075"/>
    <w:rsid w:val="001B38CA"/>
    <w:rsid w:val="001B5389"/>
    <w:rsid w:val="001B5839"/>
    <w:rsid w:val="001B6BFC"/>
    <w:rsid w:val="001C0D1F"/>
    <w:rsid w:val="001C0FAC"/>
    <w:rsid w:val="001C387A"/>
    <w:rsid w:val="001D56EE"/>
    <w:rsid w:val="001D582F"/>
    <w:rsid w:val="001E0552"/>
    <w:rsid w:val="001E283F"/>
    <w:rsid w:val="001E66F5"/>
    <w:rsid w:val="001F0D49"/>
    <w:rsid w:val="001F2EF4"/>
    <w:rsid w:val="001F3826"/>
    <w:rsid w:val="001F406A"/>
    <w:rsid w:val="001F556A"/>
    <w:rsid w:val="001F59E3"/>
    <w:rsid w:val="001F5A20"/>
    <w:rsid w:val="001F7AFD"/>
    <w:rsid w:val="00202510"/>
    <w:rsid w:val="0020326A"/>
    <w:rsid w:val="00205246"/>
    <w:rsid w:val="002053CC"/>
    <w:rsid w:val="00212716"/>
    <w:rsid w:val="0021437A"/>
    <w:rsid w:val="002158AB"/>
    <w:rsid w:val="0022475C"/>
    <w:rsid w:val="002379E2"/>
    <w:rsid w:val="00240B31"/>
    <w:rsid w:val="00241517"/>
    <w:rsid w:val="002433F9"/>
    <w:rsid w:val="00246FA5"/>
    <w:rsid w:val="002569EC"/>
    <w:rsid w:val="00256E96"/>
    <w:rsid w:val="00261E3D"/>
    <w:rsid w:val="0026236D"/>
    <w:rsid w:val="00266437"/>
    <w:rsid w:val="00271868"/>
    <w:rsid w:val="002718C9"/>
    <w:rsid w:val="00271A50"/>
    <w:rsid w:val="00271F73"/>
    <w:rsid w:val="00283783"/>
    <w:rsid w:val="00283DB0"/>
    <w:rsid w:val="00286DF3"/>
    <w:rsid w:val="00287D2E"/>
    <w:rsid w:val="002946ED"/>
    <w:rsid w:val="002969B0"/>
    <w:rsid w:val="00296F70"/>
    <w:rsid w:val="002970BE"/>
    <w:rsid w:val="00297CFA"/>
    <w:rsid w:val="002A3509"/>
    <w:rsid w:val="002A3DBD"/>
    <w:rsid w:val="002A44AE"/>
    <w:rsid w:val="002A6B0B"/>
    <w:rsid w:val="002B0E4A"/>
    <w:rsid w:val="002B1A77"/>
    <w:rsid w:val="002B228D"/>
    <w:rsid w:val="002B3D76"/>
    <w:rsid w:val="002B511A"/>
    <w:rsid w:val="002B73D7"/>
    <w:rsid w:val="002C0F80"/>
    <w:rsid w:val="002C7715"/>
    <w:rsid w:val="002D0B0A"/>
    <w:rsid w:val="002D3088"/>
    <w:rsid w:val="002D43EB"/>
    <w:rsid w:val="002D694F"/>
    <w:rsid w:val="002E2823"/>
    <w:rsid w:val="002E37FB"/>
    <w:rsid w:val="002E387D"/>
    <w:rsid w:val="002E3F05"/>
    <w:rsid w:val="002E4262"/>
    <w:rsid w:val="002E7B41"/>
    <w:rsid w:val="002F7318"/>
    <w:rsid w:val="002F745B"/>
    <w:rsid w:val="003039A7"/>
    <w:rsid w:val="00307687"/>
    <w:rsid w:val="00321E51"/>
    <w:rsid w:val="00323E23"/>
    <w:rsid w:val="0032430A"/>
    <w:rsid w:val="00330283"/>
    <w:rsid w:val="0033720D"/>
    <w:rsid w:val="003378A0"/>
    <w:rsid w:val="00340719"/>
    <w:rsid w:val="00345A88"/>
    <w:rsid w:val="00346540"/>
    <w:rsid w:val="0035181B"/>
    <w:rsid w:val="00351CDD"/>
    <w:rsid w:val="003530D5"/>
    <w:rsid w:val="00355EF4"/>
    <w:rsid w:val="00357522"/>
    <w:rsid w:val="00360604"/>
    <w:rsid w:val="00365808"/>
    <w:rsid w:val="0037013F"/>
    <w:rsid w:val="003729F3"/>
    <w:rsid w:val="0037364B"/>
    <w:rsid w:val="00375BA8"/>
    <w:rsid w:val="0037671B"/>
    <w:rsid w:val="00376E3E"/>
    <w:rsid w:val="003827EE"/>
    <w:rsid w:val="00382A23"/>
    <w:rsid w:val="00384A49"/>
    <w:rsid w:val="00384BFC"/>
    <w:rsid w:val="0038759C"/>
    <w:rsid w:val="0039306F"/>
    <w:rsid w:val="00394954"/>
    <w:rsid w:val="003955F0"/>
    <w:rsid w:val="00395A74"/>
    <w:rsid w:val="00396058"/>
    <w:rsid w:val="003A0BB8"/>
    <w:rsid w:val="003A13FA"/>
    <w:rsid w:val="003A3C75"/>
    <w:rsid w:val="003A3D8E"/>
    <w:rsid w:val="003A7497"/>
    <w:rsid w:val="003B3BE9"/>
    <w:rsid w:val="003B47C0"/>
    <w:rsid w:val="003B4F66"/>
    <w:rsid w:val="003B5F73"/>
    <w:rsid w:val="003B6197"/>
    <w:rsid w:val="003C17DE"/>
    <w:rsid w:val="003C1C64"/>
    <w:rsid w:val="003C33C8"/>
    <w:rsid w:val="003C49D1"/>
    <w:rsid w:val="003D32D9"/>
    <w:rsid w:val="003D3B82"/>
    <w:rsid w:val="003D74EB"/>
    <w:rsid w:val="003E2DF5"/>
    <w:rsid w:val="003F163D"/>
    <w:rsid w:val="003F35CA"/>
    <w:rsid w:val="003F7252"/>
    <w:rsid w:val="003F7815"/>
    <w:rsid w:val="00400CF5"/>
    <w:rsid w:val="00403548"/>
    <w:rsid w:val="004076B3"/>
    <w:rsid w:val="004152E5"/>
    <w:rsid w:val="0041616C"/>
    <w:rsid w:val="00420F44"/>
    <w:rsid w:val="00422075"/>
    <w:rsid w:val="004265D1"/>
    <w:rsid w:val="00430E47"/>
    <w:rsid w:val="00432482"/>
    <w:rsid w:val="004367FD"/>
    <w:rsid w:val="00443B97"/>
    <w:rsid w:val="00445A28"/>
    <w:rsid w:val="00446E1D"/>
    <w:rsid w:val="00447A36"/>
    <w:rsid w:val="00447F92"/>
    <w:rsid w:val="00450BA9"/>
    <w:rsid w:val="00453509"/>
    <w:rsid w:val="004562E5"/>
    <w:rsid w:val="004579FD"/>
    <w:rsid w:val="00460B51"/>
    <w:rsid w:val="00463AF8"/>
    <w:rsid w:val="00470C25"/>
    <w:rsid w:val="0047316B"/>
    <w:rsid w:val="004805C4"/>
    <w:rsid w:val="00480FCB"/>
    <w:rsid w:val="0048114F"/>
    <w:rsid w:val="0049091F"/>
    <w:rsid w:val="00490FB9"/>
    <w:rsid w:val="00493137"/>
    <w:rsid w:val="004945FC"/>
    <w:rsid w:val="004946F3"/>
    <w:rsid w:val="004A0A82"/>
    <w:rsid w:val="004A6746"/>
    <w:rsid w:val="004A6F8E"/>
    <w:rsid w:val="004B112C"/>
    <w:rsid w:val="004B1C1C"/>
    <w:rsid w:val="004B1EE3"/>
    <w:rsid w:val="004C043F"/>
    <w:rsid w:val="004C05D3"/>
    <w:rsid w:val="004C0963"/>
    <w:rsid w:val="004C33D1"/>
    <w:rsid w:val="004C3743"/>
    <w:rsid w:val="004C393E"/>
    <w:rsid w:val="004C52FE"/>
    <w:rsid w:val="004D3360"/>
    <w:rsid w:val="004D3998"/>
    <w:rsid w:val="004E1962"/>
    <w:rsid w:val="004E27CE"/>
    <w:rsid w:val="004E31F4"/>
    <w:rsid w:val="004E38EE"/>
    <w:rsid w:val="004E4B7D"/>
    <w:rsid w:val="004F1B02"/>
    <w:rsid w:val="004F4436"/>
    <w:rsid w:val="004F4A58"/>
    <w:rsid w:val="004F609A"/>
    <w:rsid w:val="004F6164"/>
    <w:rsid w:val="004F785F"/>
    <w:rsid w:val="004F7B5A"/>
    <w:rsid w:val="004F7B5D"/>
    <w:rsid w:val="00500738"/>
    <w:rsid w:val="00500B1F"/>
    <w:rsid w:val="00501E12"/>
    <w:rsid w:val="00501E20"/>
    <w:rsid w:val="00505F2F"/>
    <w:rsid w:val="0050682D"/>
    <w:rsid w:val="005158F9"/>
    <w:rsid w:val="0052270D"/>
    <w:rsid w:val="00522CBF"/>
    <w:rsid w:val="005263C8"/>
    <w:rsid w:val="00527C88"/>
    <w:rsid w:val="005302CE"/>
    <w:rsid w:val="005311A3"/>
    <w:rsid w:val="005317BC"/>
    <w:rsid w:val="00531E7A"/>
    <w:rsid w:val="00533E8B"/>
    <w:rsid w:val="00542A1C"/>
    <w:rsid w:val="005455EB"/>
    <w:rsid w:val="00545CE8"/>
    <w:rsid w:val="005468F4"/>
    <w:rsid w:val="005471F5"/>
    <w:rsid w:val="005506A3"/>
    <w:rsid w:val="00551997"/>
    <w:rsid w:val="0055540B"/>
    <w:rsid w:val="00555F1E"/>
    <w:rsid w:val="00565321"/>
    <w:rsid w:val="0057015E"/>
    <w:rsid w:val="00572608"/>
    <w:rsid w:val="005756E3"/>
    <w:rsid w:val="00575EF5"/>
    <w:rsid w:val="0057669B"/>
    <w:rsid w:val="00576738"/>
    <w:rsid w:val="00577F78"/>
    <w:rsid w:val="005817C7"/>
    <w:rsid w:val="0058327E"/>
    <w:rsid w:val="00583286"/>
    <w:rsid w:val="00586E12"/>
    <w:rsid w:val="00590F6C"/>
    <w:rsid w:val="0059103F"/>
    <w:rsid w:val="005913E1"/>
    <w:rsid w:val="00592466"/>
    <w:rsid w:val="00593126"/>
    <w:rsid w:val="00593695"/>
    <w:rsid w:val="00593A43"/>
    <w:rsid w:val="00594364"/>
    <w:rsid w:val="00594D40"/>
    <w:rsid w:val="00595869"/>
    <w:rsid w:val="005959CD"/>
    <w:rsid w:val="00596A9D"/>
    <w:rsid w:val="005978AE"/>
    <w:rsid w:val="005A2380"/>
    <w:rsid w:val="005A5610"/>
    <w:rsid w:val="005A5BC5"/>
    <w:rsid w:val="005A5D3F"/>
    <w:rsid w:val="005A6193"/>
    <w:rsid w:val="005A6FCA"/>
    <w:rsid w:val="005A722D"/>
    <w:rsid w:val="005B3BF1"/>
    <w:rsid w:val="005B6B76"/>
    <w:rsid w:val="005B7112"/>
    <w:rsid w:val="005C17F3"/>
    <w:rsid w:val="005C5095"/>
    <w:rsid w:val="005C54AC"/>
    <w:rsid w:val="005C6776"/>
    <w:rsid w:val="005D0645"/>
    <w:rsid w:val="005D0821"/>
    <w:rsid w:val="005D25F7"/>
    <w:rsid w:val="005D3F8C"/>
    <w:rsid w:val="005D7A9B"/>
    <w:rsid w:val="005E0582"/>
    <w:rsid w:val="005E0683"/>
    <w:rsid w:val="005E31AD"/>
    <w:rsid w:val="005E3B57"/>
    <w:rsid w:val="005E4584"/>
    <w:rsid w:val="005F0063"/>
    <w:rsid w:val="005F3DAE"/>
    <w:rsid w:val="005F58BE"/>
    <w:rsid w:val="005F5925"/>
    <w:rsid w:val="006033FF"/>
    <w:rsid w:val="00606765"/>
    <w:rsid w:val="00607DFD"/>
    <w:rsid w:val="00610A3F"/>
    <w:rsid w:val="006166B9"/>
    <w:rsid w:val="00620D51"/>
    <w:rsid w:val="00621C1D"/>
    <w:rsid w:val="00622BE0"/>
    <w:rsid w:val="00623527"/>
    <w:rsid w:val="00625646"/>
    <w:rsid w:val="006278A1"/>
    <w:rsid w:val="00634389"/>
    <w:rsid w:val="006365C3"/>
    <w:rsid w:val="0063759D"/>
    <w:rsid w:val="00642CF7"/>
    <w:rsid w:val="0064603A"/>
    <w:rsid w:val="00651F53"/>
    <w:rsid w:val="00655B72"/>
    <w:rsid w:val="00661499"/>
    <w:rsid w:val="00662516"/>
    <w:rsid w:val="006629C2"/>
    <w:rsid w:val="0066329A"/>
    <w:rsid w:val="00672148"/>
    <w:rsid w:val="00672C73"/>
    <w:rsid w:val="00672CE2"/>
    <w:rsid w:val="006825CE"/>
    <w:rsid w:val="00682685"/>
    <w:rsid w:val="00682E41"/>
    <w:rsid w:val="00682E9D"/>
    <w:rsid w:val="00683D4F"/>
    <w:rsid w:val="0068525C"/>
    <w:rsid w:val="006909A9"/>
    <w:rsid w:val="00691E80"/>
    <w:rsid w:val="0069791E"/>
    <w:rsid w:val="006A1020"/>
    <w:rsid w:val="006A3412"/>
    <w:rsid w:val="006A67EB"/>
    <w:rsid w:val="006A7C98"/>
    <w:rsid w:val="006B08FD"/>
    <w:rsid w:val="006B1C65"/>
    <w:rsid w:val="006B37F5"/>
    <w:rsid w:val="006B4B74"/>
    <w:rsid w:val="006B4BA4"/>
    <w:rsid w:val="006B65F4"/>
    <w:rsid w:val="006C0901"/>
    <w:rsid w:val="006C203E"/>
    <w:rsid w:val="006C6E25"/>
    <w:rsid w:val="006C706B"/>
    <w:rsid w:val="006D208F"/>
    <w:rsid w:val="006D29FB"/>
    <w:rsid w:val="006D3269"/>
    <w:rsid w:val="006E1746"/>
    <w:rsid w:val="006E33CA"/>
    <w:rsid w:val="006E50C5"/>
    <w:rsid w:val="006E50D6"/>
    <w:rsid w:val="006E74EE"/>
    <w:rsid w:val="006F1932"/>
    <w:rsid w:val="006F204F"/>
    <w:rsid w:val="006F26E0"/>
    <w:rsid w:val="006F3590"/>
    <w:rsid w:val="006F639A"/>
    <w:rsid w:val="00705C21"/>
    <w:rsid w:val="007063D3"/>
    <w:rsid w:val="007064C2"/>
    <w:rsid w:val="00706661"/>
    <w:rsid w:val="007111EA"/>
    <w:rsid w:val="007120C5"/>
    <w:rsid w:val="007152F9"/>
    <w:rsid w:val="00715FB0"/>
    <w:rsid w:val="007160BE"/>
    <w:rsid w:val="0071713D"/>
    <w:rsid w:val="00717E9D"/>
    <w:rsid w:val="00725CF8"/>
    <w:rsid w:val="00726E58"/>
    <w:rsid w:val="007304DD"/>
    <w:rsid w:val="00731137"/>
    <w:rsid w:val="0073311E"/>
    <w:rsid w:val="0073541E"/>
    <w:rsid w:val="0074009D"/>
    <w:rsid w:val="00740A01"/>
    <w:rsid w:val="0074157F"/>
    <w:rsid w:val="00744366"/>
    <w:rsid w:val="00753C6F"/>
    <w:rsid w:val="00763644"/>
    <w:rsid w:val="00763F5C"/>
    <w:rsid w:val="007734F4"/>
    <w:rsid w:val="00780D03"/>
    <w:rsid w:val="00781AE7"/>
    <w:rsid w:val="0078304E"/>
    <w:rsid w:val="007840F2"/>
    <w:rsid w:val="00786082"/>
    <w:rsid w:val="00786B13"/>
    <w:rsid w:val="0079100F"/>
    <w:rsid w:val="00792496"/>
    <w:rsid w:val="00792610"/>
    <w:rsid w:val="00792E57"/>
    <w:rsid w:val="0079669D"/>
    <w:rsid w:val="007A55EC"/>
    <w:rsid w:val="007B0820"/>
    <w:rsid w:val="007B22A3"/>
    <w:rsid w:val="007B3876"/>
    <w:rsid w:val="007B4130"/>
    <w:rsid w:val="007B4BE8"/>
    <w:rsid w:val="007B7108"/>
    <w:rsid w:val="007C58CF"/>
    <w:rsid w:val="007C67F1"/>
    <w:rsid w:val="007D04F0"/>
    <w:rsid w:val="007D3FE7"/>
    <w:rsid w:val="007D4849"/>
    <w:rsid w:val="007D5B9E"/>
    <w:rsid w:val="007E3F41"/>
    <w:rsid w:val="007E6395"/>
    <w:rsid w:val="007F29AA"/>
    <w:rsid w:val="007F328A"/>
    <w:rsid w:val="007F5FDB"/>
    <w:rsid w:val="007F62EE"/>
    <w:rsid w:val="007F6C0D"/>
    <w:rsid w:val="00806D3D"/>
    <w:rsid w:val="00806F2D"/>
    <w:rsid w:val="00812088"/>
    <w:rsid w:val="008144D6"/>
    <w:rsid w:val="0081686F"/>
    <w:rsid w:val="00821AA3"/>
    <w:rsid w:val="008250E8"/>
    <w:rsid w:val="0082529D"/>
    <w:rsid w:val="008254C8"/>
    <w:rsid w:val="0082598C"/>
    <w:rsid w:val="008264FC"/>
    <w:rsid w:val="00830810"/>
    <w:rsid w:val="00835ECE"/>
    <w:rsid w:val="008376AE"/>
    <w:rsid w:val="00837CBD"/>
    <w:rsid w:val="00841C37"/>
    <w:rsid w:val="00842075"/>
    <w:rsid w:val="00844FA4"/>
    <w:rsid w:val="00851561"/>
    <w:rsid w:val="00852AAA"/>
    <w:rsid w:val="00854356"/>
    <w:rsid w:val="00861E6B"/>
    <w:rsid w:val="00866364"/>
    <w:rsid w:val="00866C88"/>
    <w:rsid w:val="0086767E"/>
    <w:rsid w:val="00867885"/>
    <w:rsid w:val="008708E2"/>
    <w:rsid w:val="00871FDE"/>
    <w:rsid w:val="00873C93"/>
    <w:rsid w:val="00880CA7"/>
    <w:rsid w:val="008849D6"/>
    <w:rsid w:val="00890CF5"/>
    <w:rsid w:val="00897B04"/>
    <w:rsid w:val="008A2303"/>
    <w:rsid w:val="008A3010"/>
    <w:rsid w:val="008A3937"/>
    <w:rsid w:val="008A4571"/>
    <w:rsid w:val="008B2E2B"/>
    <w:rsid w:val="008B5D48"/>
    <w:rsid w:val="008D0FE3"/>
    <w:rsid w:val="008D1DA6"/>
    <w:rsid w:val="008D561F"/>
    <w:rsid w:val="008D6237"/>
    <w:rsid w:val="008E0765"/>
    <w:rsid w:val="008E1ABF"/>
    <w:rsid w:val="008E2793"/>
    <w:rsid w:val="008E3FC2"/>
    <w:rsid w:val="008E4445"/>
    <w:rsid w:val="008E488A"/>
    <w:rsid w:val="008E5CBF"/>
    <w:rsid w:val="008E6CC2"/>
    <w:rsid w:val="008E6FE2"/>
    <w:rsid w:val="008F2EF9"/>
    <w:rsid w:val="00900837"/>
    <w:rsid w:val="009077BD"/>
    <w:rsid w:val="00912D7A"/>
    <w:rsid w:val="00917EF5"/>
    <w:rsid w:val="00921BEE"/>
    <w:rsid w:val="00926221"/>
    <w:rsid w:val="009271E5"/>
    <w:rsid w:val="009275DC"/>
    <w:rsid w:val="00931ED7"/>
    <w:rsid w:val="00932382"/>
    <w:rsid w:val="009444A4"/>
    <w:rsid w:val="00952BE9"/>
    <w:rsid w:val="0095332E"/>
    <w:rsid w:val="0095781D"/>
    <w:rsid w:val="009605C7"/>
    <w:rsid w:val="0096289A"/>
    <w:rsid w:val="009639D0"/>
    <w:rsid w:val="0096461A"/>
    <w:rsid w:val="00970813"/>
    <w:rsid w:val="00970FF2"/>
    <w:rsid w:val="00972F0C"/>
    <w:rsid w:val="00974CA0"/>
    <w:rsid w:val="0097637C"/>
    <w:rsid w:val="0098232B"/>
    <w:rsid w:val="009850A2"/>
    <w:rsid w:val="009852F3"/>
    <w:rsid w:val="0098546B"/>
    <w:rsid w:val="00985C50"/>
    <w:rsid w:val="009861B8"/>
    <w:rsid w:val="009925E2"/>
    <w:rsid w:val="00997668"/>
    <w:rsid w:val="009A2DEC"/>
    <w:rsid w:val="009B0488"/>
    <w:rsid w:val="009B121A"/>
    <w:rsid w:val="009B2486"/>
    <w:rsid w:val="009B68DA"/>
    <w:rsid w:val="009B7158"/>
    <w:rsid w:val="009C1424"/>
    <w:rsid w:val="009D0C01"/>
    <w:rsid w:val="009D252D"/>
    <w:rsid w:val="009D344D"/>
    <w:rsid w:val="009D4126"/>
    <w:rsid w:val="009D4DA7"/>
    <w:rsid w:val="009D7765"/>
    <w:rsid w:val="009E06DC"/>
    <w:rsid w:val="009E0C6B"/>
    <w:rsid w:val="009E13B3"/>
    <w:rsid w:val="009E1FC2"/>
    <w:rsid w:val="009E4380"/>
    <w:rsid w:val="009E4565"/>
    <w:rsid w:val="009E50D3"/>
    <w:rsid w:val="009F2CB0"/>
    <w:rsid w:val="009F4738"/>
    <w:rsid w:val="00A00DB8"/>
    <w:rsid w:val="00A01053"/>
    <w:rsid w:val="00A01194"/>
    <w:rsid w:val="00A012CD"/>
    <w:rsid w:val="00A07152"/>
    <w:rsid w:val="00A0783D"/>
    <w:rsid w:val="00A11700"/>
    <w:rsid w:val="00A13B34"/>
    <w:rsid w:val="00A14A30"/>
    <w:rsid w:val="00A14EDC"/>
    <w:rsid w:val="00A15281"/>
    <w:rsid w:val="00A17C94"/>
    <w:rsid w:val="00A22158"/>
    <w:rsid w:val="00A26639"/>
    <w:rsid w:val="00A321FB"/>
    <w:rsid w:val="00A40FD1"/>
    <w:rsid w:val="00A4185F"/>
    <w:rsid w:val="00A42298"/>
    <w:rsid w:val="00A43873"/>
    <w:rsid w:val="00A45E94"/>
    <w:rsid w:val="00A47046"/>
    <w:rsid w:val="00A521A0"/>
    <w:rsid w:val="00A60041"/>
    <w:rsid w:val="00A6279E"/>
    <w:rsid w:val="00A660EC"/>
    <w:rsid w:val="00A664AC"/>
    <w:rsid w:val="00A775C7"/>
    <w:rsid w:val="00A81F02"/>
    <w:rsid w:val="00A86FF7"/>
    <w:rsid w:val="00A87BD2"/>
    <w:rsid w:val="00A9184B"/>
    <w:rsid w:val="00A929A5"/>
    <w:rsid w:val="00A9457D"/>
    <w:rsid w:val="00A948F2"/>
    <w:rsid w:val="00A969C8"/>
    <w:rsid w:val="00A96CD5"/>
    <w:rsid w:val="00A9703F"/>
    <w:rsid w:val="00A97B66"/>
    <w:rsid w:val="00AA2311"/>
    <w:rsid w:val="00AA5D6D"/>
    <w:rsid w:val="00AA682E"/>
    <w:rsid w:val="00AB2EB2"/>
    <w:rsid w:val="00AB6A1F"/>
    <w:rsid w:val="00AB707D"/>
    <w:rsid w:val="00AC04C5"/>
    <w:rsid w:val="00AC0C05"/>
    <w:rsid w:val="00AC5D91"/>
    <w:rsid w:val="00AC5F61"/>
    <w:rsid w:val="00AD1062"/>
    <w:rsid w:val="00AD22F5"/>
    <w:rsid w:val="00AD27D4"/>
    <w:rsid w:val="00AD3FC1"/>
    <w:rsid w:val="00AD4776"/>
    <w:rsid w:val="00AD6FC7"/>
    <w:rsid w:val="00AD714E"/>
    <w:rsid w:val="00AD7324"/>
    <w:rsid w:val="00AD7538"/>
    <w:rsid w:val="00AD7FE7"/>
    <w:rsid w:val="00AE08FF"/>
    <w:rsid w:val="00AE4C89"/>
    <w:rsid w:val="00AE5278"/>
    <w:rsid w:val="00AE7E3C"/>
    <w:rsid w:val="00AF2D3D"/>
    <w:rsid w:val="00AF3401"/>
    <w:rsid w:val="00AF5E1A"/>
    <w:rsid w:val="00AF69DC"/>
    <w:rsid w:val="00AF7431"/>
    <w:rsid w:val="00B00525"/>
    <w:rsid w:val="00B00DF9"/>
    <w:rsid w:val="00B036AF"/>
    <w:rsid w:val="00B06313"/>
    <w:rsid w:val="00B06A77"/>
    <w:rsid w:val="00B16657"/>
    <w:rsid w:val="00B16A23"/>
    <w:rsid w:val="00B17AB3"/>
    <w:rsid w:val="00B24FFA"/>
    <w:rsid w:val="00B26908"/>
    <w:rsid w:val="00B272A5"/>
    <w:rsid w:val="00B3227D"/>
    <w:rsid w:val="00B3321D"/>
    <w:rsid w:val="00B3352A"/>
    <w:rsid w:val="00B33C31"/>
    <w:rsid w:val="00B35469"/>
    <w:rsid w:val="00B35CE5"/>
    <w:rsid w:val="00B37CB5"/>
    <w:rsid w:val="00B41388"/>
    <w:rsid w:val="00B4321F"/>
    <w:rsid w:val="00B50D9B"/>
    <w:rsid w:val="00B510D1"/>
    <w:rsid w:val="00B550F4"/>
    <w:rsid w:val="00B5715C"/>
    <w:rsid w:val="00B579E1"/>
    <w:rsid w:val="00B6312B"/>
    <w:rsid w:val="00B67EC6"/>
    <w:rsid w:val="00B72C25"/>
    <w:rsid w:val="00B750F6"/>
    <w:rsid w:val="00B80AA3"/>
    <w:rsid w:val="00B80F73"/>
    <w:rsid w:val="00B8583D"/>
    <w:rsid w:val="00B91FAB"/>
    <w:rsid w:val="00B92AB2"/>
    <w:rsid w:val="00B930B7"/>
    <w:rsid w:val="00B9353E"/>
    <w:rsid w:val="00BA2F27"/>
    <w:rsid w:val="00BA4F11"/>
    <w:rsid w:val="00BA5474"/>
    <w:rsid w:val="00BA6357"/>
    <w:rsid w:val="00BB046D"/>
    <w:rsid w:val="00BB0CB8"/>
    <w:rsid w:val="00BB0E3C"/>
    <w:rsid w:val="00BB1D75"/>
    <w:rsid w:val="00BB3EC1"/>
    <w:rsid w:val="00BB59B7"/>
    <w:rsid w:val="00BB7B48"/>
    <w:rsid w:val="00BC34FB"/>
    <w:rsid w:val="00BC3AEB"/>
    <w:rsid w:val="00BC6E23"/>
    <w:rsid w:val="00BD0C9B"/>
    <w:rsid w:val="00BD1B4E"/>
    <w:rsid w:val="00BD347B"/>
    <w:rsid w:val="00BD4D45"/>
    <w:rsid w:val="00BD59B1"/>
    <w:rsid w:val="00BD6558"/>
    <w:rsid w:val="00BD7A51"/>
    <w:rsid w:val="00BD7B0B"/>
    <w:rsid w:val="00BE591A"/>
    <w:rsid w:val="00BF1828"/>
    <w:rsid w:val="00BF1B24"/>
    <w:rsid w:val="00BF2E97"/>
    <w:rsid w:val="00BF35C3"/>
    <w:rsid w:val="00BF5F6B"/>
    <w:rsid w:val="00BF6AC7"/>
    <w:rsid w:val="00C03920"/>
    <w:rsid w:val="00C100E6"/>
    <w:rsid w:val="00C1041D"/>
    <w:rsid w:val="00C112D4"/>
    <w:rsid w:val="00C11E5F"/>
    <w:rsid w:val="00C13F59"/>
    <w:rsid w:val="00C233F9"/>
    <w:rsid w:val="00C257CC"/>
    <w:rsid w:val="00C3297C"/>
    <w:rsid w:val="00C3578A"/>
    <w:rsid w:val="00C4349A"/>
    <w:rsid w:val="00C44032"/>
    <w:rsid w:val="00C467CD"/>
    <w:rsid w:val="00C4736B"/>
    <w:rsid w:val="00C47A6F"/>
    <w:rsid w:val="00C52BFF"/>
    <w:rsid w:val="00C54B52"/>
    <w:rsid w:val="00C61B56"/>
    <w:rsid w:val="00C630C0"/>
    <w:rsid w:val="00C67735"/>
    <w:rsid w:val="00C679EE"/>
    <w:rsid w:val="00C70205"/>
    <w:rsid w:val="00C70492"/>
    <w:rsid w:val="00C70D81"/>
    <w:rsid w:val="00C74002"/>
    <w:rsid w:val="00C75F8E"/>
    <w:rsid w:val="00C82ECF"/>
    <w:rsid w:val="00C85088"/>
    <w:rsid w:val="00C8532E"/>
    <w:rsid w:val="00C8559D"/>
    <w:rsid w:val="00C909A3"/>
    <w:rsid w:val="00C94BED"/>
    <w:rsid w:val="00C953CE"/>
    <w:rsid w:val="00C9702F"/>
    <w:rsid w:val="00C97268"/>
    <w:rsid w:val="00C972E7"/>
    <w:rsid w:val="00CA304C"/>
    <w:rsid w:val="00CA4FE4"/>
    <w:rsid w:val="00CA554D"/>
    <w:rsid w:val="00CA5B8C"/>
    <w:rsid w:val="00CA751D"/>
    <w:rsid w:val="00CB0FAF"/>
    <w:rsid w:val="00CB2768"/>
    <w:rsid w:val="00CB3EBF"/>
    <w:rsid w:val="00CB59AF"/>
    <w:rsid w:val="00CC1CCF"/>
    <w:rsid w:val="00CC26F2"/>
    <w:rsid w:val="00CC2A74"/>
    <w:rsid w:val="00CC4B08"/>
    <w:rsid w:val="00CD2077"/>
    <w:rsid w:val="00CD3A0D"/>
    <w:rsid w:val="00CD5461"/>
    <w:rsid w:val="00CD6C73"/>
    <w:rsid w:val="00CE077B"/>
    <w:rsid w:val="00CE3C86"/>
    <w:rsid w:val="00CE3E2E"/>
    <w:rsid w:val="00CE43A5"/>
    <w:rsid w:val="00CE4DB7"/>
    <w:rsid w:val="00CE5930"/>
    <w:rsid w:val="00CE6B12"/>
    <w:rsid w:val="00CF0FFE"/>
    <w:rsid w:val="00CF1AF3"/>
    <w:rsid w:val="00CF23AD"/>
    <w:rsid w:val="00D00AFD"/>
    <w:rsid w:val="00D0132D"/>
    <w:rsid w:val="00D034EE"/>
    <w:rsid w:val="00D039BB"/>
    <w:rsid w:val="00D06533"/>
    <w:rsid w:val="00D111FB"/>
    <w:rsid w:val="00D14EBA"/>
    <w:rsid w:val="00D218AF"/>
    <w:rsid w:val="00D2273C"/>
    <w:rsid w:val="00D23F69"/>
    <w:rsid w:val="00D27B75"/>
    <w:rsid w:val="00D30921"/>
    <w:rsid w:val="00D33FE8"/>
    <w:rsid w:val="00D356A3"/>
    <w:rsid w:val="00D3623C"/>
    <w:rsid w:val="00D4223E"/>
    <w:rsid w:val="00D43C99"/>
    <w:rsid w:val="00D459F9"/>
    <w:rsid w:val="00D50207"/>
    <w:rsid w:val="00D506CA"/>
    <w:rsid w:val="00D53B37"/>
    <w:rsid w:val="00D5546D"/>
    <w:rsid w:val="00D55F9B"/>
    <w:rsid w:val="00D56CF4"/>
    <w:rsid w:val="00D57B96"/>
    <w:rsid w:val="00D602EA"/>
    <w:rsid w:val="00D62309"/>
    <w:rsid w:val="00D6570A"/>
    <w:rsid w:val="00D65940"/>
    <w:rsid w:val="00D718CE"/>
    <w:rsid w:val="00D74B01"/>
    <w:rsid w:val="00D76E02"/>
    <w:rsid w:val="00D82B66"/>
    <w:rsid w:val="00D86052"/>
    <w:rsid w:val="00D86525"/>
    <w:rsid w:val="00D93ADD"/>
    <w:rsid w:val="00D9433D"/>
    <w:rsid w:val="00D94AE0"/>
    <w:rsid w:val="00D97543"/>
    <w:rsid w:val="00DA18C2"/>
    <w:rsid w:val="00DA68F7"/>
    <w:rsid w:val="00DB0066"/>
    <w:rsid w:val="00DB241F"/>
    <w:rsid w:val="00DB42A5"/>
    <w:rsid w:val="00DB4C4A"/>
    <w:rsid w:val="00DB6629"/>
    <w:rsid w:val="00DB7E9A"/>
    <w:rsid w:val="00DC029D"/>
    <w:rsid w:val="00DC0F65"/>
    <w:rsid w:val="00DC159E"/>
    <w:rsid w:val="00DC2D96"/>
    <w:rsid w:val="00DC3856"/>
    <w:rsid w:val="00DC4CCC"/>
    <w:rsid w:val="00DC567D"/>
    <w:rsid w:val="00DC7969"/>
    <w:rsid w:val="00DF0413"/>
    <w:rsid w:val="00DF05BD"/>
    <w:rsid w:val="00DF08A6"/>
    <w:rsid w:val="00DF2770"/>
    <w:rsid w:val="00DF2B34"/>
    <w:rsid w:val="00E02CB8"/>
    <w:rsid w:val="00E05664"/>
    <w:rsid w:val="00E1091F"/>
    <w:rsid w:val="00E138D0"/>
    <w:rsid w:val="00E13ED1"/>
    <w:rsid w:val="00E21D66"/>
    <w:rsid w:val="00E33692"/>
    <w:rsid w:val="00E3390E"/>
    <w:rsid w:val="00E363B9"/>
    <w:rsid w:val="00E44473"/>
    <w:rsid w:val="00E45DDB"/>
    <w:rsid w:val="00E46605"/>
    <w:rsid w:val="00E46A1F"/>
    <w:rsid w:val="00E46F33"/>
    <w:rsid w:val="00E4795F"/>
    <w:rsid w:val="00E53B42"/>
    <w:rsid w:val="00E60612"/>
    <w:rsid w:val="00E614D3"/>
    <w:rsid w:val="00E6279D"/>
    <w:rsid w:val="00E71047"/>
    <w:rsid w:val="00E716C0"/>
    <w:rsid w:val="00E72624"/>
    <w:rsid w:val="00E7275C"/>
    <w:rsid w:val="00E72D4C"/>
    <w:rsid w:val="00E75E8C"/>
    <w:rsid w:val="00E81C43"/>
    <w:rsid w:val="00E84D10"/>
    <w:rsid w:val="00E84DB4"/>
    <w:rsid w:val="00E866D9"/>
    <w:rsid w:val="00E86CD6"/>
    <w:rsid w:val="00E86D4C"/>
    <w:rsid w:val="00E87A71"/>
    <w:rsid w:val="00E96028"/>
    <w:rsid w:val="00E9797E"/>
    <w:rsid w:val="00E97A39"/>
    <w:rsid w:val="00EA0B7C"/>
    <w:rsid w:val="00EA2658"/>
    <w:rsid w:val="00EA34F2"/>
    <w:rsid w:val="00EA3CFF"/>
    <w:rsid w:val="00EA5C45"/>
    <w:rsid w:val="00EA75B7"/>
    <w:rsid w:val="00EB0847"/>
    <w:rsid w:val="00EB18BA"/>
    <w:rsid w:val="00EB2B0C"/>
    <w:rsid w:val="00EB7635"/>
    <w:rsid w:val="00EB7AE2"/>
    <w:rsid w:val="00EC1228"/>
    <w:rsid w:val="00EC1264"/>
    <w:rsid w:val="00EC3C48"/>
    <w:rsid w:val="00EC3F99"/>
    <w:rsid w:val="00EC4026"/>
    <w:rsid w:val="00EC4FF0"/>
    <w:rsid w:val="00EC6ABA"/>
    <w:rsid w:val="00EC7327"/>
    <w:rsid w:val="00ED564E"/>
    <w:rsid w:val="00ED7F6C"/>
    <w:rsid w:val="00EE2669"/>
    <w:rsid w:val="00EE79BD"/>
    <w:rsid w:val="00EF308A"/>
    <w:rsid w:val="00EF3325"/>
    <w:rsid w:val="00EF548F"/>
    <w:rsid w:val="00EF69D3"/>
    <w:rsid w:val="00F004D9"/>
    <w:rsid w:val="00F042B1"/>
    <w:rsid w:val="00F044E8"/>
    <w:rsid w:val="00F04FA4"/>
    <w:rsid w:val="00F05196"/>
    <w:rsid w:val="00F06015"/>
    <w:rsid w:val="00F13F26"/>
    <w:rsid w:val="00F144E2"/>
    <w:rsid w:val="00F20919"/>
    <w:rsid w:val="00F215B0"/>
    <w:rsid w:val="00F21795"/>
    <w:rsid w:val="00F3102B"/>
    <w:rsid w:val="00F36105"/>
    <w:rsid w:val="00F405A4"/>
    <w:rsid w:val="00F41E0E"/>
    <w:rsid w:val="00F42550"/>
    <w:rsid w:val="00F457C0"/>
    <w:rsid w:val="00F5025F"/>
    <w:rsid w:val="00F5290F"/>
    <w:rsid w:val="00F5347D"/>
    <w:rsid w:val="00F54A0C"/>
    <w:rsid w:val="00F572F1"/>
    <w:rsid w:val="00F57FED"/>
    <w:rsid w:val="00F61E62"/>
    <w:rsid w:val="00F71979"/>
    <w:rsid w:val="00F75528"/>
    <w:rsid w:val="00F80C07"/>
    <w:rsid w:val="00F81753"/>
    <w:rsid w:val="00F845D8"/>
    <w:rsid w:val="00F8547C"/>
    <w:rsid w:val="00F8631F"/>
    <w:rsid w:val="00F92AB7"/>
    <w:rsid w:val="00FA0204"/>
    <w:rsid w:val="00FA32EF"/>
    <w:rsid w:val="00FA3371"/>
    <w:rsid w:val="00FA7B70"/>
    <w:rsid w:val="00FB0066"/>
    <w:rsid w:val="00FB1866"/>
    <w:rsid w:val="00FB1FD5"/>
    <w:rsid w:val="00FC0790"/>
    <w:rsid w:val="00FC0865"/>
    <w:rsid w:val="00FC19CA"/>
    <w:rsid w:val="00FC2E84"/>
    <w:rsid w:val="00FC6024"/>
    <w:rsid w:val="00FD09C6"/>
    <w:rsid w:val="00FD3BDA"/>
    <w:rsid w:val="00FD6C06"/>
    <w:rsid w:val="00FD6E92"/>
    <w:rsid w:val="00FD7DBB"/>
    <w:rsid w:val="00FE0042"/>
    <w:rsid w:val="00FE1BD0"/>
    <w:rsid w:val="00FE3E61"/>
    <w:rsid w:val="00FE5B0E"/>
    <w:rsid w:val="00FF09C3"/>
    <w:rsid w:val="00FF133A"/>
    <w:rsid w:val="00FF181A"/>
    <w:rsid w:val="00FF2AD0"/>
    <w:rsid w:val="00FF39DC"/>
    <w:rsid w:val="00FF58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4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FDB"/>
    <w:pPr>
      <w:tabs>
        <w:tab w:val="center" w:pos="4153"/>
        <w:tab w:val="right" w:pos="8306"/>
      </w:tabs>
      <w:snapToGrid w:val="0"/>
    </w:pPr>
    <w:rPr>
      <w:sz w:val="20"/>
      <w:szCs w:val="20"/>
    </w:rPr>
  </w:style>
  <w:style w:type="character" w:customStyle="1" w:styleId="a4">
    <w:name w:val="頁首 字元"/>
    <w:basedOn w:val="a0"/>
    <w:link w:val="a3"/>
    <w:uiPriority w:val="99"/>
    <w:rsid w:val="007F5FDB"/>
    <w:rPr>
      <w:sz w:val="20"/>
      <w:szCs w:val="20"/>
    </w:rPr>
  </w:style>
  <w:style w:type="paragraph" w:styleId="a5">
    <w:name w:val="footer"/>
    <w:basedOn w:val="a"/>
    <w:link w:val="a6"/>
    <w:uiPriority w:val="99"/>
    <w:unhideWhenUsed/>
    <w:rsid w:val="007F5FDB"/>
    <w:pPr>
      <w:tabs>
        <w:tab w:val="center" w:pos="4153"/>
        <w:tab w:val="right" w:pos="8306"/>
      </w:tabs>
      <w:snapToGrid w:val="0"/>
    </w:pPr>
    <w:rPr>
      <w:sz w:val="20"/>
      <w:szCs w:val="20"/>
    </w:rPr>
  </w:style>
  <w:style w:type="character" w:customStyle="1" w:styleId="a6">
    <w:name w:val="頁尾 字元"/>
    <w:basedOn w:val="a0"/>
    <w:link w:val="a5"/>
    <w:uiPriority w:val="99"/>
    <w:rsid w:val="007F5FDB"/>
    <w:rPr>
      <w:sz w:val="20"/>
      <w:szCs w:val="20"/>
    </w:rPr>
  </w:style>
  <w:style w:type="paragraph" w:styleId="a7">
    <w:name w:val="List Paragraph"/>
    <w:basedOn w:val="a"/>
    <w:uiPriority w:val="34"/>
    <w:qFormat/>
    <w:rsid w:val="007F5FDB"/>
    <w:pPr>
      <w:ind w:leftChars="200" w:left="480"/>
    </w:pPr>
  </w:style>
  <w:style w:type="paragraph" w:styleId="a8">
    <w:name w:val="Balloon Text"/>
    <w:basedOn w:val="a"/>
    <w:link w:val="a9"/>
    <w:uiPriority w:val="99"/>
    <w:semiHidden/>
    <w:unhideWhenUsed/>
    <w:rsid w:val="00F405A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405A4"/>
    <w:rPr>
      <w:rFonts w:asciiTheme="majorHAnsi" w:eastAsiaTheme="majorEastAsia" w:hAnsiTheme="majorHAnsi" w:cstheme="majorBidi"/>
      <w:sz w:val="18"/>
      <w:szCs w:val="18"/>
    </w:rPr>
  </w:style>
  <w:style w:type="paragraph" w:customStyle="1" w:styleId="Char">
    <w:name w:val="字元 字元 Char"/>
    <w:basedOn w:val="a"/>
    <w:rsid w:val="005817C7"/>
    <w:pPr>
      <w:widowControl/>
      <w:spacing w:after="160" w:line="240" w:lineRule="exact"/>
    </w:pPr>
    <w:rPr>
      <w:rFonts w:ascii="Arial" w:eastAsia="Times New Roman" w:hAnsi="Arial" w:cs="Arial"/>
      <w:kern w:val="0"/>
      <w:sz w:val="20"/>
      <w:szCs w:val="20"/>
      <w:lang w:eastAsia="en-US"/>
    </w:rPr>
  </w:style>
  <w:style w:type="character" w:styleId="aa">
    <w:name w:val="Hyperlink"/>
    <w:basedOn w:val="a0"/>
    <w:uiPriority w:val="99"/>
    <w:unhideWhenUsed/>
    <w:rsid w:val="00C467CD"/>
    <w:rPr>
      <w:color w:val="0000FF" w:themeColor="hyperlink"/>
      <w:u w:val="single"/>
    </w:rPr>
  </w:style>
  <w:style w:type="character" w:styleId="ab">
    <w:name w:val="Emphasis"/>
    <w:basedOn w:val="a0"/>
    <w:uiPriority w:val="20"/>
    <w:qFormat/>
    <w:rsid w:val="00AA682E"/>
    <w:rPr>
      <w:b w:val="0"/>
      <w:bCs w:val="0"/>
      <w:i w:val="0"/>
      <w:iCs w:val="0"/>
      <w:color w:val="CC0033"/>
    </w:rPr>
  </w:style>
  <w:style w:type="character" w:customStyle="1" w:styleId="st">
    <w:name w:val="st"/>
    <w:basedOn w:val="a0"/>
    <w:rsid w:val="00AA682E"/>
  </w:style>
  <w:style w:type="paragraph" w:customStyle="1" w:styleId="ac">
    <w:name w:val="公文(後續段落)"/>
    <w:basedOn w:val="a"/>
    <w:rsid w:val="00B00525"/>
    <w:pPr>
      <w:spacing w:line="500" w:lineRule="exact"/>
      <w:ind w:left="317"/>
    </w:pPr>
    <w:rPr>
      <w:rFonts w:ascii="Times New Roman" w:eastAsia="標楷體" w:hAnsi="Times New Roman"/>
      <w:sz w:val="32"/>
      <w:szCs w:val="24"/>
    </w:rPr>
  </w:style>
  <w:style w:type="paragraph" w:customStyle="1" w:styleId="ad">
    <w:name w:val="字元"/>
    <w:basedOn w:val="a"/>
    <w:rsid w:val="00B00525"/>
    <w:pPr>
      <w:widowControl/>
      <w:spacing w:after="160" w:line="240" w:lineRule="exact"/>
    </w:pPr>
    <w:rPr>
      <w:rFonts w:ascii="Arial" w:eastAsia="Times New Roman" w:hAnsi="Arial" w:cs="Arial"/>
      <w:kern w:val="0"/>
      <w:sz w:val="20"/>
      <w:szCs w:val="20"/>
      <w:lang w:eastAsia="en-US"/>
    </w:rPr>
  </w:style>
  <w:style w:type="paragraph" w:styleId="HTML">
    <w:name w:val="HTML Preformatted"/>
    <w:basedOn w:val="a"/>
    <w:link w:val="HTML0"/>
    <w:uiPriority w:val="99"/>
    <w:rsid w:val="00B00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00525"/>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4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FDB"/>
    <w:pPr>
      <w:tabs>
        <w:tab w:val="center" w:pos="4153"/>
        <w:tab w:val="right" w:pos="8306"/>
      </w:tabs>
      <w:snapToGrid w:val="0"/>
    </w:pPr>
    <w:rPr>
      <w:sz w:val="20"/>
      <w:szCs w:val="20"/>
    </w:rPr>
  </w:style>
  <w:style w:type="character" w:customStyle="1" w:styleId="a4">
    <w:name w:val="頁首 字元"/>
    <w:basedOn w:val="a0"/>
    <w:link w:val="a3"/>
    <w:uiPriority w:val="99"/>
    <w:rsid w:val="007F5FDB"/>
    <w:rPr>
      <w:sz w:val="20"/>
      <w:szCs w:val="20"/>
    </w:rPr>
  </w:style>
  <w:style w:type="paragraph" w:styleId="a5">
    <w:name w:val="footer"/>
    <w:basedOn w:val="a"/>
    <w:link w:val="a6"/>
    <w:uiPriority w:val="99"/>
    <w:unhideWhenUsed/>
    <w:rsid w:val="007F5FDB"/>
    <w:pPr>
      <w:tabs>
        <w:tab w:val="center" w:pos="4153"/>
        <w:tab w:val="right" w:pos="8306"/>
      </w:tabs>
      <w:snapToGrid w:val="0"/>
    </w:pPr>
    <w:rPr>
      <w:sz w:val="20"/>
      <w:szCs w:val="20"/>
    </w:rPr>
  </w:style>
  <w:style w:type="character" w:customStyle="1" w:styleId="a6">
    <w:name w:val="頁尾 字元"/>
    <w:basedOn w:val="a0"/>
    <w:link w:val="a5"/>
    <w:uiPriority w:val="99"/>
    <w:rsid w:val="007F5FDB"/>
    <w:rPr>
      <w:sz w:val="20"/>
      <w:szCs w:val="20"/>
    </w:rPr>
  </w:style>
  <w:style w:type="paragraph" w:styleId="a7">
    <w:name w:val="List Paragraph"/>
    <w:basedOn w:val="a"/>
    <w:uiPriority w:val="34"/>
    <w:qFormat/>
    <w:rsid w:val="007F5FDB"/>
    <w:pPr>
      <w:ind w:leftChars="200" w:left="480"/>
    </w:pPr>
  </w:style>
  <w:style w:type="paragraph" w:styleId="a8">
    <w:name w:val="Balloon Text"/>
    <w:basedOn w:val="a"/>
    <w:link w:val="a9"/>
    <w:uiPriority w:val="99"/>
    <w:semiHidden/>
    <w:unhideWhenUsed/>
    <w:rsid w:val="00F405A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405A4"/>
    <w:rPr>
      <w:rFonts w:asciiTheme="majorHAnsi" w:eastAsiaTheme="majorEastAsia" w:hAnsiTheme="majorHAnsi" w:cstheme="majorBidi"/>
      <w:sz w:val="18"/>
      <w:szCs w:val="18"/>
    </w:rPr>
  </w:style>
  <w:style w:type="paragraph" w:customStyle="1" w:styleId="Char">
    <w:name w:val="字元 字元 Char"/>
    <w:basedOn w:val="a"/>
    <w:rsid w:val="005817C7"/>
    <w:pPr>
      <w:widowControl/>
      <w:spacing w:after="160" w:line="240" w:lineRule="exact"/>
    </w:pPr>
    <w:rPr>
      <w:rFonts w:ascii="Arial" w:eastAsia="Times New Roman" w:hAnsi="Arial" w:cs="Arial"/>
      <w:kern w:val="0"/>
      <w:sz w:val="20"/>
      <w:szCs w:val="20"/>
      <w:lang w:eastAsia="en-US"/>
    </w:rPr>
  </w:style>
  <w:style w:type="character" w:styleId="aa">
    <w:name w:val="Hyperlink"/>
    <w:basedOn w:val="a0"/>
    <w:uiPriority w:val="99"/>
    <w:unhideWhenUsed/>
    <w:rsid w:val="00C467CD"/>
    <w:rPr>
      <w:color w:val="0000FF" w:themeColor="hyperlink"/>
      <w:u w:val="single"/>
    </w:rPr>
  </w:style>
  <w:style w:type="character" w:styleId="ab">
    <w:name w:val="Emphasis"/>
    <w:basedOn w:val="a0"/>
    <w:uiPriority w:val="20"/>
    <w:qFormat/>
    <w:rsid w:val="00AA682E"/>
    <w:rPr>
      <w:b w:val="0"/>
      <w:bCs w:val="0"/>
      <w:i w:val="0"/>
      <w:iCs w:val="0"/>
      <w:color w:val="CC0033"/>
    </w:rPr>
  </w:style>
  <w:style w:type="character" w:customStyle="1" w:styleId="st">
    <w:name w:val="st"/>
    <w:basedOn w:val="a0"/>
    <w:rsid w:val="00AA682E"/>
  </w:style>
  <w:style w:type="paragraph" w:customStyle="1" w:styleId="ac">
    <w:name w:val="公文(後續段落)"/>
    <w:basedOn w:val="a"/>
    <w:rsid w:val="00B00525"/>
    <w:pPr>
      <w:spacing w:line="500" w:lineRule="exact"/>
      <w:ind w:left="317"/>
    </w:pPr>
    <w:rPr>
      <w:rFonts w:ascii="Times New Roman" w:eastAsia="標楷體" w:hAnsi="Times New Roman"/>
      <w:sz w:val="32"/>
      <w:szCs w:val="24"/>
    </w:rPr>
  </w:style>
  <w:style w:type="paragraph" w:customStyle="1" w:styleId="ad">
    <w:name w:val="字元"/>
    <w:basedOn w:val="a"/>
    <w:rsid w:val="00B00525"/>
    <w:pPr>
      <w:widowControl/>
      <w:spacing w:after="160" w:line="240" w:lineRule="exact"/>
    </w:pPr>
    <w:rPr>
      <w:rFonts w:ascii="Arial" w:eastAsia="Times New Roman" w:hAnsi="Arial" w:cs="Arial"/>
      <w:kern w:val="0"/>
      <w:sz w:val="20"/>
      <w:szCs w:val="20"/>
      <w:lang w:eastAsia="en-US"/>
    </w:rPr>
  </w:style>
  <w:style w:type="paragraph" w:styleId="HTML">
    <w:name w:val="HTML Preformatted"/>
    <w:basedOn w:val="a"/>
    <w:link w:val="HTML0"/>
    <w:uiPriority w:val="99"/>
    <w:rsid w:val="00B00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00525"/>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8181">
      <w:bodyDiv w:val="1"/>
      <w:marLeft w:val="0"/>
      <w:marRight w:val="0"/>
      <w:marTop w:val="0"/>
      <w:marBottom w:val="0"/>
      <w:divBdr>
        <w:top w:val="none" w:sz="0" w:space="0" w:color="auto"/>
        <w:left w:val="none" w:sz="0" w:space="0" w:color="auto"/>
        <w:bottom w:val="none" w:sz="0" w:space="0" w:color="auto"/>
        <w:right w:val="none" w:sz="0" w:space="0" w:color="auto"/>
      </w:divBdr>
    </w:div>
    <w:div w:id="492375806">
      <w:bodyDiv w:val="1"/>
      <w:marLeft w:val="0"/>
      <w:marRight w:val="0"/>
      <w:marTop w:val="0"/>
      <w:marBottom w:val="0"/>
      <w:divBdr>
        <w:top w:val="none" w:sz="0" w:space="0" w:color="auto"/>
        <w:left w:val="none" w:sz="0" w:space="0" w:color="auto"/>
        <w:bottom w:val="none" w:sz="0" w:space="0" w:color="auto"/>
        <w:right w:val="none" w:sz="0" w:space="0" w:color="auto"/>
      </w:divBdr>
    </w:div>
    <w:div w:id="1190224004">
      <w:bodyDiv w:val="1"/>
      <w:marLeft w:val="0"/>
      <w:marRight w:val="0"/>
      <w:marTop w:val="0"/>
      <w:marBottom w:val="0"/>
      <w:divBdr>
        <w:top w:val="none" w:sz="0" w:space="0" w:color="auto"/>
        <w:left w:val="none" w:sz="0" w:space="0" w:color="auto"/>
        <w:bottom w:val="none" w:sz="0" w:space="0" w:color="auto"/>
        <w:right w:val="none" w:sz="0" w:space="0" w:color="auto"/>
      </w:divBdr>
    </w:div>
    <w:div w:id="1239175980">
      <w:bodyDiv w:val="1"/>
      <w:marLeft w:val="0"/>
      <w:marRight w:val="0"/>
      <w:marTop w:val="0"/>
      <w:marBottom w:val="0"/>
      <w:divBdr>
        <w:top w:val="none" w:sz="0" w:space="0" w:color="auto"/>
        <w:left w:val="none" w:sz="0" w:space="0" w:color="auto"/>
        <w:bottom w:val="none" w:sz="0" w:space="0" w:color="auto"/>
        <w:right w:val="none" w:sz="0" w:space="0" w:color="auto"/>
      </w:divBdr>
    </w:div>
    <w:div w:id="13309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A7B44-073E-4DCD-9582-5BB8D1DB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張&amp;#21894;韋</dc:creator>
  <cp:lastModifiedBy>張&amp;#21894;韋</cp:lastModifiedBy>
  <cp:revision>3</cp:revision>
  <cp:lastPrinted>2015-07-07T01:45:00Z</cp:lastPrinted>
  <dcterms:created xsi:type="dcterms:W3CDTF">2015-07-07T01:45:00Z</dcterms:created>
  <dcterms:modified xsi:type="dcterms:W3CDTF">2015-07-07T07:28:00Z</dcterms:modified>
</cp:coreProperties>
</file>