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6A" w:rsidRPr="00E31B1C" w:rsidRDefault="001628DE" w:rsidP="00745AB2">
      <w:pPr>
        <w:pStyle w:val="HTML"/>
        <w:spacing w:beforeLines="20" w:before="72" w:line="460" w:lineRule="exact"/>
        <w:jc w:val="both"/>
        <w:rPr>
          <w:rFonts w:ascii="標楷體" w:eastAsia="標楷體" w:hAnsi="標楷體"/>
          <w:sz w:val="40"/>
          <w:szCs w:val="40"/>
        </w:rPr>
      </w:pPr>
      <w:r w:rsidRPr="00E31B1C">
        <w:rPr>
          <w:rFonts w:ascii="標楷體" w:eastAsia="標楷體" w:hAnsi="標楷體" w:hint="eastAsia"/>
          <w:sz w:val="40"/>
          <w:szCs w:val="40"/>
        </w:rPr>
        <w:t>保險業內部控制及稽核制度實施辦法第二十條</w:t>
      </w:r>
      <w:r w:rsidRPr="00E31B1C">
        <w:rPr>
          <w:rFonts w:ascii="標楷體" w:eastAsia="標楷體" w:hAnsi="標楷體"/>
          <w:sz w:val="40"/>
          <w:szCs w:val="40"/>
        </w:rPr>
        <w:t>修正</w:t>
      </w:r>
      <w:r w:rsidR="002A0824">
        <w:rPr>
          <w:rFonts w:ascii="標楷體" w:eastAsia="標楷體" w:hAnsi="標楷體" w:hint="eastAsia"/>
          <w:sz w:val="40"/>
          <w:szCs w:val="40"/>
        </w:rPr>
        <w:t>草案</w:t>
      </w:r>
      <w:r w:rsidRPr="00E31B1C">
        <w:rPr>
          <w:rFonts w:ascii="標楷體" w:eastAsia="標楷體" w:hAnsi="標楷體"/>
          <w:sz w:val="40"/>
          <w:szCs w:val="40"/>
        </w:rPr>
        <w:t>總說明</w:t>
      </w:r>
    </w:p>
    <w:p w:rsidR="004C43EB" w:rsidRDefault="001628DE" w:rsidP="004C43B1">
      <w:pPr>
        <w:pStyle w:val="HTML"/>
        <w:spacing w:beforeLines="20" w:before="72" w:line="460" w:lineRule="exact"/>
        <w:ind w:firstLineChars="202" w:firstLine="485"/>
        <w:jc w:val="both"/>
        <w:rPr>
          <w:rFonts w:ascii="標楷體" w:eastAsia="標楷體" w:hAnsi="標楷體"/>
          <w:sz w:val="28"/>
          <w:szCs w:val="28"/>
        </w:rPr>
      </w:pPr>
      <w:r>
        <w:t xml:space="preserve"> </w:t>
      </w:r>
      <w:r w:rsidRPr="001628DE">
        <w:rPr>
          <w:rFonts w:ascii="標楷體" w:eastAsia="標楷體" w:hAnsi="標楷體"/>
          <w:sz w:val="28"/>
          <w:szCs w:val="28"/>
        </w:rPr>
        <w:t>保險業內部控制及稽核制度實施辦法（以下簡稱本辦法）自九十年十二月二十日發布，經九十五年一月四日、九十九年三月十七日、一百零一年二月四日</w:t>
      </w:r>
      <w:r>
        <w:rPr>
          <w:rFonts w:ascii="標楷體" w:eastAsia="標楷體" w:hAnsi="標楷體" w:hint="eastAsia"/>
          <w:sz w:val="28"/>
          <w:szCs w:val="28"/>
        </w:rPr>
        <w:t>、</w:t>
      </w:r>
      <w:r w:rsidRPr="001628DE">
        <w:rPr>
          <w:rFonts w:ascii="標楷體" w:eastAsia="標楷體" w:hAnsi="標楷體"/>
          <w:sz w:val="28"/>
          <w:szCs w:val="28"/>
        </w:rPr>
        <w:t>一百零三年八月八日</w:t>
      </w:r>
      <w:r>
        <w:rPr>
          <w:rFonts w:ascii="標楷體" w:eastAsia="標楷體" w:hAnsi="標楷體" w:hint="eastAsia"/>
          <w:sz w:val="28"/>
          <w:szCs w:val="28"/>
        </w:rPr>
        <w:t>及</w:t>
      </w:r>
      <w:r w:rsidRPr="001628DE">
        <w:rPr>
          <w:rFonts w:ascii="標楷體" w:eastAsia="標楷體" w:hAnsi="標楷體"/>
          <w:sz w:val="28"/>
          <w:szCs w:val="28"/>
        </w:rPr>
        <w:t>一百零</w:t>
      </w:r>
      <w:r>
        <w:rPr>
          <w:rFonts w:ascii="標楷體" w:eastAsia="標楷體" w:hAnsi="標楷體" w:hint="eastAsia"/>
          <w:sz w:val="28"/>
          <w:szCs w:val="28"/>
        </w:rPr>
        <w:t>四</w:t>
      </w:r>
      <w:r w:rsidRPr="001628DE">
        <w:rPr>
          <w:rFonts w:ascii="標楷體" w:eastAsia="標楷體" w:hAnsi="標楷體"/>
          <w:sz w:val="28"/>
          <w:szCs w:val="28"/>
        </w:rPr>
        <w:t>年</w:t>
      </w:r>
      <w:r>
        <w:rPr>
          <w:rFonts w:ascii="標楷體" w:eastAsia="標楷體" w:hAnsi="標楷體" w:hint="eastAsia"/>
          <w:sz w:val="28"/>
          <w:szCs w:val="28"/>
        </w:rPr>
        <w:t>五</w:t>
      </w:r>
      <w:r w:rsidRPr="001628DE">
        <w:rPr>
          <w:rFonts w:ascii="標楷體" w:eastAsia="標楷體" w:hAnsi="標楷體"/>
          <w:sz w:val="28"/>
          <w:szCs w:val="28"/>
        </w:rPr>
        <w:t>月</w:t>
      </w:r>
      <w:r>
        <w:rPr>
          <w:rFonts w:ascii="標楷體" w:eastAsia="標楷體" w:hAnsi="標楷體" w:hint="eastAsia"/>
          <w:sz w:val="28"/>
          <w:szCs w:val="28"/>
        </w:rPr>
        <w:t>十二</w:t>
      </w:r>
      <w:r w:rsidRPr="001628DE">
        <w:rPr>
          <w:rFonts w:ascii="標楷體" w:eastAsia="標楷體" w:hAnsi="標楷體"/>
          <w:sz w:val="28"/>
          <w:szCs w:val="28"/>
        </w:rPr>
        <w:t>日</w:t>
      </w:r>
      <w:r>
        <w:rPr>
          <w:rFonts w:ascii="標楷體" w:eastAsia="標楷體" w:hAnsi="標楷體" w:hint="eastAsia"/>
          <w:sz w:val="28"/>
          <w:szCs w:val="28"/>
        </w:rPr>
        <w:t>五</w:t>
      </w:r>
      <w:r w:rsidRPr="001628DE">
        <w:rPr>
          <w:rFonts w:ascii="標楷體" w:eastAsia="標楷體" w:hAnsi="標楷體"/>
          <w:sz w:val="28"/>
          <w:szCs w:val="28"/>
        </w:rPr>
        <w:t>次修正。</w:t>
      </w:r>
      <w:r w:rsidR="00333BC0" w:rsidRPr="00370008">
        <w:rPr>
          <w:rFonts w:ascii="標楷體" w:eastAsia="標楷體" w:hAnsi="標楷體" w:hint="eastAsia"/>
          <w:sz w:val="28"/>
          <w:szCs w:val="28"/>
        </w:rPr>
        <w:t>茲為</w:t>
      </w:r>
      <w:r w:rsidR="0057542D" w:rsidRPr="00AB1A32">
        <w:rPr>
          <w:rFonts w:ascii="標楷體" w:eastAsia="標楷體" w:hAnsi="標楷體" w:hint="eastAsia"/>
          <w:sz w:val="28"/>
          <w:szCs w:val="28"/>
        </w:rPr>
        <w:t>聚焦金融機構內部稽核報告申報內容，以符監理所需，</w:t>
      </w:r>
      <w:r w:rsidR="00CD6EAC">
        <w:rPr>
          <w:rFonts w:ascii="標楷體" w:eastAsia="標楷體" w:hAnsi="標楷體" w:hint="eastAsia"/>
          <w:sz w:val="28"/>
          <w:szCs w:val="28"/>
        </w:rPr>
        <w:t>爰於</w:t>
      </w:r>
      <w:r w:rsidR="00CD6EAC" w:rsidRPr="00370008">
        <w:rPr>
          <w:rFonts w:ascii="標楷體" w:eastAsia="標楷體" w:hAnsi="標楷體" w:hint="eastAsia"/>
          <w:sz w:val="28"/>
          <w:szCs w:val="28"/>
        </w:rPr>
        <w:t>本辦法第二十條第二項</w:t>
      </w:r>
      <w:r w:rsidR="0057542D" w:rsidRPr="00AB1A32">
        <w:rPr>
          <w:rFonts w:ascii="標楷體" w:eastAsia="標楷體" w:hAnsi="標楷體" w:hint="eastAsia"/>
          <w:sz w:val="28"/>
          <w:szCs w:val="28"/>
        </w:rPr>
        <w:t>有關內部稽核報告報送主管機關之規範，</w:t>
      </w:r>
      <w:r w:rsidR="0057542D" w:rsidRPr="00370008">
        <w:rPr>
          <w:rFonts w:ascii="標楷體" w:eastAsia="標楷體" w:hAnsi="標楷體" w:hint="eastAsia"/>
          <w:sz w:val="28"/>
          <w:szCs w:val="28"/>
        </w:rPr>
        <w:t>增訂</w:t>
      </w:r>
      <w:r w:rsidR="0057542D" w:rsidRPr="00AB1A32">
        <w:rPr>
          <w:rFonts w:ascii="標楷體" w:eastAsia="標楷體" w:hAnsi="標楷體" w:hint="eastAsia"/>
          <w:sz w:val="28"/>
          <w:szCs w:val="28"/>
        </w:rPr>
        <w:t>除主管機關另有規定外之文字，以</w:t>
      </w:r>
      <w:r w:rsidR="00CE595C">
        <w:rPr>
          <w:rFonts w:ascii="標楷體" w:eastAsia="標楷體" w:hAnsi="標楷體" w:hint="eastAsia"/>
          <w:sz w:val="28"/>
          <w:szCs w:val="28"/>
        </w:rPr>
        <w:t>利</w:t>
      </w:r>
      <w:r w:rsidR="0057542D" w:rsidRPr="00AB1A32">
        <w:rPr>
          <w:rFonts w:ascii="標楷體" w:eastAsia="標楷體" w:hAnsi="標楷體" w:hint="eastAsia"/>
          <w:sz w:val="28"/>
          <w:szCs w:val="28"/>
        </w:rPr>
        <w:t>簡化內部稽核報告申報作業。</w:t>
      </w:r>
    </w:p>
    <w:p w:rsidR="004C43EB" w:rsidRPr="00333BC0" w:rsidRDefault="004C43EB" w:rsidP="004C43EB">
      <w:pPr>
        <w:pStyle w:val="HTML"/>
        <w:spacing w:beforeLines="20" w:before="72" w:line="400" w:lineRule="exact"/>
        <w:ind w:firstLineChars="202" w:firstLine="566"/>
        <w:jc w:val="both"/>
        <w:rPr>
          <w:rFonts w:ascii="標楷體" w:eastAsia="標楷體" w:hAnsi="標楷體"/>
          <w:sz w:val="28"/>
        </w:rPr>
      </w:pPr>
    </w:p>
    <w:p w:rsidR="009E794D" w:rsidRDefault="009E794D">
      <w:pPr>
        <w:widowControl/>
        <w:rPr>
          <w:rFonts w:ascii="標楷體" w:eastAsia="標楷體" w:hAnsi="標楷體" w:cs="細明體"/>
          <w:kern w:val="0"/>
          <w:sz w:val="28"/>
          <w:szCs w:val="28"/>
        </w:rPr>
      </w:pPr>
      <w:r>
        <w:rPr>
          <w:rFonts w:ascii="標楷體" w:eastAsia="標楷體" w:hAnsi="標楷體"/>
          <w:sz w:val="28"/>
          <w:szCs w:val="28"/>
        </w:rPr>
        <w:br w:type="page"/>
      </w:r>
    </w:p>
    <w:p w:rsidR="009E794D" w:rsidRPr="00E31B1C" w:rsidRDefault="009E794D" w:rsidP="00277908">
      <w:pPr>
        <w:spacing w:afterLines="50" w:after="180" w:line="460" w:lineRule="exact"/>
        <w:jc w:val="both"/>
        <w:rPr>
          <w:rFonts w:ascii="標楷體" w:eastAsia="標楷體" w:hAnsi="標楷體"/>
          <w:sz w:val="40"/>
          <w:szCs w:val="40"/>
        </w:rPr>
      </w:pPr>
      <w:r w:rsidRPr="00E31B1C">
        <w:rPr>
          <w:rFonts w:ascii="標楷體" w:eastAsia="標楷體" w:hAnsi="標楷體" w:hint="eastAsia"/>
          <w:sz w:val="40"/>
          <w:szCs w:val="40"/>
        </w:rPr>
        <w:lastRenderedPageBreak/>
        <w:t>保險業內部控制及稽核制度實施辦法第二十條修正</w:t>
      </w:r>
      <w:r w:rsidR="002A0824">
        <w:rPr>
          <w:rFonts w:ascii="標楷體" w:eastAsia="標楷體" w:hAnsi="標楷體" w:hint="eastAsia"/>
          <w:sz w:val="40"/>
          <w:szCs w:val="40"/>
        </w:rPr>
        <w:t>草案</w:t>
      </w:r>
      <w:bookmarkStart w:id="0" w:name="_GoBack"/>
      <w:bookmarkEnd w:id="0"/>
      <w:r w:rsidRPr="00E31B1C">
        <w:rPr>
          <w:rFonts w:ascii="標楷體" w:eastAsia="標楷體" w:hAnsi="標楷體" w:hint="eastAsia"/>
          <w:sz w:val="40"/>
          <w:szCs w:val="40"/>
        </w:rPr>
        <w:t>條文對照表</w:t>
      </w:r>
    </w:p>
    <w:tbl>
      <w:tblPr>
        <w:tblStyle w:val="a3"/>
        <w:tblW w:w="8789" w:type="dxa"/>
        <w:tblInd w:w="108" w:type="dxa"/>
        <w:tblLook w:val="01E0" w:firstRow="1" w:lastRow="1" w:firstColumn="1" w:lastColumn="1" w:noHBand="0" w:noVBand="0"/>
      </w:tblPr>
      <w:tblGrid>
        <w:gridCol w:w="2929"/>
        <w:gridCol w:w="2930"/>
        <w:gridCol w:w="2930"/>
      </w:tblGrid>
      <w:tr w:rsidR="009E794D" w:rsidRPr="00277908" w:rsidTr="00D07931">
        <w:trPr>
          <w:tblHeader/>
        </w:trPr>
        <w:tc>
          <w:tcPr>
            <w:tcW w:w="2929" w:type="dxa"/>
          </w:tcPr>
          <w:p w:rsidR="009E794D" w:rsidRPr="00277908" w:rsidRDefault="009E794D" w:rsidP="00774654">
            <w:pPr>
              <w:spacing w:line="400" w:lineRule="exact"/>
              <w:jc w:val="center"/>
              <w:rPr>
                <w:rFonts w:ascii="標楷體" w:eastAsia="標楷體" w:hAnsi="標楷體"/>
              </w:rPr>
            </w:pPr>
            <w:r w:rsidRPr="00277908">
              <w:rPr>
                <w:rFonts w:ascii="標楷體" w:eastAsia="標楷體" w:hAnsi="標楷體" w:hint="eastAsia"/>
              </w:rPr>
              <w:t>修正條文</w:t>
            </w:r>
          </w:p>
        </w:tc>
        <w:tc>
          <w:tcPr>
            <w:tcW w:w="2930" w:type="dxa"/>
          </w:tcPr>
          <w:p w:rsidR="009E794D" w:rsidRPr="00277908" w:rsidRDefault="009E794D" w:rsidP="00774654">
            <w:pPr>
              <w:spacing w:line="400" w:lineRule="exact"/>
              <w:jc w:val="center"/>
              <w:rPr>
                <w:rFonts w:ascii="標楷體" w:eastAsia="標楷體" w:hAnsi="標楷體"/>
              </w:rPr>
            </w:pPr>
            <w:r w:rsidRPr="00277908">
              <w:rPr>
                <w:rFonts w:ascii="標楷體" w:eastAsia="標楷體" w:hAnsi="標楷體" w:hint="eastAsia"/>
              </w:rPr>
              <w:t>現行條文</w:t>
            </w:r>
          </w:p>
        </w:tc>
        <w:tc>
          <w:tcPr>
            <w:tcW w:w="2930" w:type="dxa"/>
          </w:tcPr>
          <w:p w:rsidR="009E794D" w:rsidRPr="00277908" w:rsidRDefault="009E794D" w:rsidP="00774654">
            <w:pPr>
              <w:spacing w:line="400" w:lineRule="exact"/>
              <w:jc w:val="center"/>
              <w:rPr>
                <w:rFonts w:ascii="標楷體" w:eastAsia="標楷體" w:hAnsi="標楷體"/>
              </w:rPr>
            </w:pPr>
            <w:r w:rsidRPr="00277908">
              <w:rPr>
                <w:rFonts w:ascii="標楷體" w:eastAsia="標楷體" w:hAnsi="標楷體" w:hint="eastAsia"/>
              </w:rPr>
              <w:t>說明</w:t>
            </w:r>
          </w:p>
        </w:tc>
      </w:tr>
      <w:tr w:rsidR="009E794D" w:rsidRPr="00277908" w:rsidTr="00D07931">
        <w:tc>
          <w:tcPr>
            <w:tcW w:w="2929" w:type="dxa"/>
          </w:tcPr>
          <w:p w:rsidR="009E794D" w:rsidRPr="00277908" w:rsidRDefault="009E794D" w:rsidP="002864EA">
            <w:pPr>
              <w:pStyle w:val="HTML"/>
              <w:ind w:left="271" w:hangingChars="113" w:hanging="271"/>
              <w:jc w:val="both"/>
              <w:rPr>
                <w:rFonts w:ascii="標楷體" w:eastAsia="標楷體" w:hAnsi="標楷體"/>
              </w:rPr>
            </w:pPr>
            <w:r w:rsidRPr="00277908">
              <w:rPr>
                <w:rFonts w:ascii="標楷體" w:eastAsia="標楷體" w:hAnsi="標楷體" w:hint="eastAsia"/>
              </w:rPr>
              <w:t>第二十條</w:t>
            </w:r>
            <w:r w:rsidR="00E31B1C" w:rsidRPr="00277908">
              <w:rPr>
                <w:rFonts w:ascii="標楷體" w:eastAsia="標楷體" w:hAnsi="標楷體" w:hint="eastAsia"/>
              </w:rPr>
              <w:t xml:space="preserve">  </w:t>
            </w:r>
            <w:r w:rsidRPr="00277908">
              <w:rPr>
                <w:rFonts w:ascii="標楷體" w:eastAsia="標楷體" w:hAnsi="標楷體" w:hint="eastAsia"/>
              </w:rPr>
              <w:t>內部稽核單位對主管機關、會計師、內部稽核單位（含金融控股公司內部稽核單位）與自行查核所提列之檢查意見或查核缺失事項及內部控制制度聲明書所列應加強改善事項，應持續追蹤覆查，並將其追蹤考核改善辦理情形，以書面提報董（理）事會及交付各監察人（監事）或審計委員會查閱，並應列為對各單位獎懲及績效考核之重要項目。</w:t>
            </w:r>
          </w:p>
          <w:p w:rsidR="009E794D" w:rsidRPr="00277908" w:rsidRDefault="009E794D" w:rsidP="002864EA">
            <w:pPr>
              <w:pStyle w:val="HTML"/>
              <w:ind w:leftChars="132" w:left="317" w:firstLineChars="202" w:firstLine="485"/>
              <w:jc w:val="both"/>
              <w:rPr>
                <w:rFonts w:ascii="標楷體" w:eastAsia="標楷體" w:hAnsi="標楷體"/>
              </w:rPr>
            </w:pPr>
            <w:r w:rsidRPr="00277908">
              <w:rPr>
                <w:rFonts w:ascii="標楷體" w:eastAsia="標楷體" w:hAnsi="標楷體" w:hint="eastAsia"/>
              </w:rPr>
              <w:t>內部稽核報告應交付各監察人（監事）或審計委員會查閱</w:t>
            </w:r>
            <w:r w:rsidR="00F514A0" w:rsidRPr="00F514A0">
              <w:rPr>
                <w:rFonts w:ascii="標楷體" w:eastAsia="標楷體" w:hAnsi="標楷體" w:hint="eastAsia"/>
              </w:rPr>
              <w:t>，</w:t>
            </w:r>
            <w:r w:rsidR="009550C7" w:rsidRPr="00454B4A">
              <w:rPr>
                <w:rFonts w:ascii="標楷體" w:eastAsia="標楷體" w:hAnsi="標楷體" w:hint="eastAsia"/>
                <w:u w:val="single"/>
              </w:rPr>
              <w:t>除</w:t>
            </w:r>
            <w:r w:rsidR="00CA2D86">
              <w:rPr>
                <w:rFonts w:ascii="標楷體" w:eastAsia="標楷體" w:hAnsi="標楷體" w:hint="eastAsia"/>
                <w:u w:val="single"/>
              </w:rPr>
              <w:t>主管機關</w:t>
            </w:r>
            <w:r w:rsidR="009550C7" w:rsidRPr="00454B4A">
              <w:rPr>
                <w:rFonts w:ascii="標楷體" w:eastAsia="標楷體" w:hAnsi="標楷體" w:hint="eastAsia"/>
                <w:u w:val="single"/>
              </w:rPr>
              <w:t>另有規定外，應</w:t>
            </w:r>
            <w:r w:rsidR="009550C7" w:rsidRPr="009550C7">
              <w:rPr>
                <w:rFonts w:ascii="標楷體" w:eastAsia="標楷體" w:hAnsi="標楷體" w:hint="eastAsia"/>
              </w:rPr>
              <w:t>於查核結束日起二個月內報主管機關</w:t>
            </w:r>
            <w:r w:rsidR="009550C7" w:rsidRPr="00277908">
              <w:rPr>
                <w:rFonts w:ascii="標楷體" w:eastAsia="標楷體" w:hAnsi="標楷體" w:hint="eastAsia"/>
              </w:rPr>
              <w:t>。</w:t>
            </w:r>
          </w:p>
          <w:p w:rsidR="009E794D" w:rsidRPr="00277908" w:rsidRDefault="009E794D" w:rsidP="002864EA">
            <w:pPr>
              <w:pStyle w:val="HTML"/>
              <w:ind w:leftChars="132" w:left="317" w:firstLineChars="202" w:firstLine="485"/>
              <w:jc w:val="both"/>
              <w:rPr>
                <w:rFonts w:ascii="標楷體" w:eastAsia="標楷體" w:hAnsi="標楷體"/>
              </w:rPr>
            </w:pPr>
            <w:r w:rsidRPr="00277908">
              <w:rPr>
                <w:rFonts w:ascii="標楷體" w:eastAsia="標楷體" w:hAnsi="標楷體" w:hint="eastAsia"/>
              </w:rPr>
              <w:lastRenderedPageBreak/>
              <w:t>保險業設有獨立董事者，於依前二項規定辦理時，應一併交付。</w:t>
            </w:r>
          </w:p>
          <w:p w:rsidR="009E794D" w:rsidRPr="00277908" w:rsidRDefault="009E794D" w:rsidP="002864EA">
            <w:pPr>
              <w:pStyle w:val="HTML"/>
              <w:ind w:leftChars="132" w:left="317" w:firstLineChars="202" w:firstLine="485"/>
              <w:jc w:val="both"/>
              <w:rPr>
                <w:rFonts w:ascii="標楷體" w:eastAsia="標楷體" w:hAnsi="標楷體"/>
                <w:u w:val="single"/>
              </w:rPr>
            </w:pPr>
          </w:p>
        </w:tc>
        <w:tc>
          <w:tcPr>
            <w:tcW w:w="2930" w:type="dxa"/>
          </w:tcPr>
          <w:p w:rsidR="009E794D" w:rsidRPr="00277908" w:rsidRDefault="009E794D" w:rsidP="005D16BE">
            <w:pPr>
              <w:pStyle w:val="HTML"/>
              <w:ind w:leftChars="-25" w:left="182" w:hangingChars="101" w:hanging="242"/>
              <w:jc w:val="both"/>
              <w:rPr>
                <w:rFonts w:ascii="標楷體" w:eastAsia="標楷體" w:hAnsi="標楷體"/>
              </w:rPr>
            </w:pPr>
            <w:r w:rsidRPr="00277908">
              <w:rPr>
                <w:rFonts w:ascii="標楷體" w:eastAsia="標楷體" w:hAnsi="標楷體" w:hint="eastAsia"/>
              </w:rPr>
              <w:lastRenderedPageBreak/>
              <w:t>第二十條</w:t>
            </w:r>
            <w:r w:rsidR="00E31B1C" w:rsidRPr="00277908">
              <w:rPr>
                <w:rFonts w:ascii="標楷體" w:eastAsia="標楷體" w:hAnsi="標楷體" w:hint="eastAsia"/>
              </w:rPr>
              <w:t xml:space="preserve">  </w:t>
            </w:r>
            <w:r w:rsidRPr="00277908">
              <w:rPr>
                <w:rFonts w:ascii="標楷體" w:eastAsia="標楷體" w:hAnsi="標楷體" w:hint="eastAsia"/>
              </w:rPr>
              <w:t>內部稽核單位對主管機關、會計師、內部稽核單位（含金融控股公司內部稽核單位）與自行查核所提列之檢查意見或查核缺失事項及內部控制制度聲明書所列應加強改善事項，應持續追蹤覆查，並將其追蹤考核改善辦理情形，以書面提報董（理）事會及交付各監察人（監事）或審計委員會查閱，並應列為對各單位獎懲及績效考核之重要項目。</w:t>
            </w:r>
          </w:p>
          <w:p w:rsidR="009E794D" w:rsidRPr="00277908" w:rsidRDefault="009E794D" w:rsidP="002864EA">
            <w:pPr>
              <w:pStyle w:val="HTML"/>
              <w:ind w:leftChars="93" w:left="223" w:firstLineChars="202" w:firstLine="485"/>
              <w:jc w:val="both"/>
              <w:rPr>
                <w:rFonts w:ascii="標楷體" w:eastAsia="標楷體" w:hAnsi="標楷體"/>
              </w:rPr>
            </w:pPr>
            <w:r w:rsidRPr="00277908">
              <w:rPr>
                <w:rFonts w:ascii="標楷體" w:eastAsia="標楷體" w:hAnsi="標楷體" w:hint="eastAsia"/>
              </w:rPr>
              <w:t>內部稽核報告應交付各監察人（監事）或審計委員會查閱</w:t>
            </w:r>
            <w:r w:rsidRPr="00F514A0">
              <w:rPr>
                <w:rFonts w:ascii="標楷體" w:eastAsia="標楷體" w:hAnsi="標楷體" w:hint="eastAsia"/>
              </w:rPr>
              <w:t>，</w:t>
            </w:r>
            <w:r w:rsidRPr="00277908">
              <w:rPr>
                <w:rFonts w:ascii="標楷體" w:eastAsia="標楷體" w:hAnsi="標楷體" w:hint="eastAsia"/>
                <w:u w:val="single"/>
              </w:rPr>
              <w:t>並</w:t>
            </w:r>
            <w:r w:rsidRPr="009550C7">
              <w:rPr>
                <w:rFonts w:ascii="標楷體" w:eastAsia="標楷體" w:hAnsi="標楷體" w:hint="eastAsia"/>
              </w:rPr>
              <w:t>於查核結束日起二個月內報主管機關</w:t>
            </w:r>
            <w:r w:rsidRPr="00277908">
              <w:rPr>
                <w:rFonts w:ascii="標楷體" w:eastAsia="標楷體" w:hAnsi="標楷體" w:hint="eastAsia"/>
              </w:rPr>
              <w:t>。</w:t>
            </w:r>
          </w:p>
          <w:p w:rsidR="009E794D" w:rsidRPr="00277908" w:rsidRDefault="009E794D" w:rsidP="002864EA">
            <w:pPr>
              <w:pStyle w:val="HTML"/>
              <w:ind w:leftChars="93" w:left="223" w:firstLineChars="202" w:firstLine="485"/>
              <w:jc w:val="both"/>
              <w:rPr>
                <w:rFonts w:ascii="標楷體" w:eastAsia="標楷體" w:hAnsi="標楷體"/>
              </w:rPr>
            </w:pPr>
            <w:r w:rsidRPr="00277908">
              <w:rPr>
                <w:rFonts w:ascii="標楷體" w:eastAsia="標楷體" w:hAnsi="標楷體" w:hint="eastAsia"/>
              </w:rPr>
              <w:t>保險業設有獨立董事者，於依前二項規定辦理時，應一併交付。</w:t>
            </w:r>
          </w:p>
          <w:p w:rsidR="009E794D" w:rsidRPr="00277908" w:rsidRDefault="009E794D" w:rsidP="002864EA">
            <w:pPr>
              <w:pStyle w:val="HTML"/>
              <w:ind w:firstLineChars="202" w:firstLine="485"/>
              <w:jc w:val="both"/>
              <w:rPr>
                <w:rFonts w:ascii="標楷體" w:eastAsia="標楷體" w:hAnsi="標楷體"/>
              </w:rPr>
            </w:pPr>
          </w:p>
          <w:p w:rsidR="009E794D" w:rsidRPr="00277908" w:rsidRDefault="009E794D" w:rsidP="002864EA">
            <w:pPr>
              <w:pStyle w:val="HTML"/>
              <w:ind w:firstLineChars="202" w:firstLine="485"/>
              <w:jc w:val="both"/>
              <w:rPr>
                <w:rFonts w:ascii="標楷體" w:eastAsia="標楷體" w:hAnsi="標楷體"/>
              </w:rPr>
            </w:pPr>
          </w:p>
        </w:tc>
        <w:tc>
          <w:tcPr>
            <w:tcW w:w="2930" w:type="dxa"/>
          </w:tcPr>
          <w:p w:rsidR="009E794D" w:rsidRPr="0057542D" w:rsidRDefault="0057542D" w:rsidP="008463DE">
            <w:pPr>
              <w:ind w:leftChars="-5" w:hangingChars="5" w:hanging="12"/>
              <w:jc w:val="both"/>
              <w:rPr>
                <w:rFonts w:ascii="標楷體" w:eastAsia="標楷體" w:hAnsi="標楷體"/>
              </w:rPr>
            </w:pPr>
            <w:r w:rsidRPr="0057542D">
              <w:rPr>
                <w:rFonts w:ascii="標楷體" w:eastAsia="標楷體" w:hAnsi="標楷體" w:hint="eastAsia"/>
              </w:rPr>
              <w:lastRenderedPageBreak/>
              <w:t>茲為聚焦金融機構內部稽核報告申報內容，以符監理所需，</w:t>
            </w:r>
            <w:r w:rsidR="008463DE" w:rsidRPr="0057542D">
              <w:rPr>
                <w:rFonts w:ascii="標楷體" w:eastAsia="標楷體" w:hAnsi="標楷體" w:hint="eastAsia"/>
              </w:rPr>
              <w:t>爰第二項</w:t>
            </w:r>
            <w:r w:rsidRPr="0057542D">
              <w:rPr>
                <w:rFonts w:ascii="標楷體" w:eastAsia="標楷體" w:hAnsi="標楷體" w:hint="eastAsia"/>
              </w:rPr>
              <w:t>有關內部稽核報告報送主管機關之規範，增訂除主管機關另有規定外之文字，以</w:t>
            </w:r>
            <w:r w:rsidR="00202098">
              <w:rPr>
                <w:rFonts w:ascii="標楷體" w:eastAsia="標楷體" w:hAnsi="標楷體" w:hint="eastAsia"/>
              </w:rPr>
              <w:t>利</w:t>
            </w:r>
            <w:r w:rsidRPr="0057542D">
              <w:rPr>
                <w:rFonts w:ascii="標楷體" w:eastAsia="標楷體" w:hAnsi="標楷體" w:hint="eastAsia"/>
              </w:rPr>
              <w:t>簡化內部稽核報告申報作業。</w:t>
            </w:r>
          </w:p>
        </w:tc>
      </w:tr>
    </w:tbl>
    <w:p w:rsidR="00B2756A" w:rsidRPr="00277908" w:rsidRDefault="00B2756A" w:rsidP="00277908">
      <w:pPr>
        <w:widowControl/>
        <w:rPr>
          <w:rFonts w:ascii="標楷體" w:eastAsia="標楷體" w:hAnsi="標楷體" w:cs="細明體"/>
          <w:kern w:val="0"/>
        </w:rPr>
      </w:pPr>
    </w:p>
    <w:sectPr w:rsidR="00B2756A" w:rsidRPr="00277908" w:rsidSect="00277908">
      <w:footerReference w:type="default" r:id="rId8"/>
      <w:pgSz w:w="11906" w:h="16838"/>
      <w:pgMar w:top="1418" w:right="1416" w:bottom="1418" w:left="1701"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1F" w:rsidRDefault="00DE341F" w:rsidP="00F40792">
      <w:r>
        <w:separator/>
      </w:r>
    </w:p>
  </w:endnote>
  <w:endnote w:type="continuationSeparator" w:id="0">
    <w:p w:rsidR="00DE341F" w:rsidRDefault="00DE341F" w:rsidP="00F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569980"/>
      <w:docPartObj>
        <w:docPartGallery w:val="Page Numbers (Bottom of Page)"/>
        <w:docPartUnique/>
      </w:docPartObj>
    </w:sdtPr>
    <w:sdtEndPr/>
    <w:sdtContent>
      <w:p w:rsidR="009C1107" w:rsidRDefault="009C1107">
        <w:pPr>
          <w:pStyle w:val="a7"/>
          <w:jc w:val="center"/>
        </w:pPr>
        <w:r>
          <w:fldChar w:fldCharType="begin"/>
        </w:r>
        <w:r>
          <w:instrText>PAGE   \* MERGEFORMAT</w:instrText>
        </w:r>
        <w:r>
          <w:fldChar w:fldCharType="separate"/>
        </w:r>
        <w:r w:rsidR="002A0824" w:rsidRPr="002A0824">
          <w:rPr>
            <w:noProof/>
            <w:lang w:val="zh-TW"/>
          </w:rPr>
          <w:t>2</w:t>
        </w:r>
        <w:r>
          <w:fldChar w:fldCharType="end"/>
        </w:r>
      </w:p>
    </w:sdtContent>
  </w:sdt>
  <w:p w:rsidR="009C1107" w:rsidRDefault="009C11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1F" w:rsidRDefault="00DE341F" w:rsidP="00F40792">
      <w:r>
        <w:separator/>
      </w:r>
    </w:p>
  </w:footnote>
  <w:footnote w:type="continuationSeparator" w:id="0">
    <w:p w:rsidR="00DE341F" w:rsidRDefault="00DE341F" w:rsidP="00F40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67DC7"/>
    <w:multiLevelType w:val="hybridMultilevel"/>
    <w:tmpl w:val="4926B046"/>
    <w:lvl w:ilvl="0" w:tplc="8B5CB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D1"/>
    <w:rsid w:val="00023DAD"/>
    <w:rsid w:val="0004060F"/>
    <w:rsid w:val="00044D14"/>
    <w:rsid w:val="00046610"/>
    <w:rsid w:val="00062E74"/>
    <w:rsid w:val="000869AE"/>
    <w:rsid w:val="00094492"/>
    <w:rsid w:val="000B1A0C"/>
    <w:rsid w:val="000B1DFD"/>
    <w:rsid w:val="000B2BC2"/>
    <w:rsid w:val="000B3B1E"/>
    <w:rsid w:val="000E5228"/>
    <w:rsid w:val="000E69FD"/>
    <w:rsid w:val="000F2681"/>
    <w:rsid w:val="000F6640"/>
    <w:rsid w:val="0010102B"/>
    <w:rsid w:val="00101A82"/>
    <w:rsid w:val="00120AA9"/>
    <w:rsid w:val="00120AE6"/>
    <w:rsid w:val="00120E08"/>
    <w:rsid w:val="0012471A"/>
    <w:rsid w:val="001628DE"/>
    <w:rsid w:val="00164801"/>
    <w:rsid w:val="001715C4"/>
    <w:rsid w:val="001806B1"/>
    <w:rsid w:val="001A2D17"/>
    <w:rsid w:val="001A5050"/>
    <w:rsid w:val="001A567A"/>
    <w:rsid w:val="001A6B9C"/>
    <w:rsid w:val="001B00A6"/>
    <w:rsid w:val="001D79EB"/>
    <w:rsid w:val="0020039C"/>
    <w:rsid w:val="00202098"/>
    <w:rsid w:val="00202F2D"/>
    <w:rsid w:val="00203187"/>
    <w:rsid w:val="00232041"/>
    <w:rsid w:val="0023256D"/>
    <w:rsid w:val="002658C3"/>
    <w:rsid w:val="00275556"/>
    <w:rsid w:val="00277908"/>
    <w:rsid w:val="002864EA"/>
    <w:rsid w:val="00286C24"/>
    <w:rsid w:val="00290EE6"/>
    <w:rsid w:val="00297C79"/>
    <w:rsid w:val="002A0824"/>
    <w:rsid w:val="002A7903"/>
    <w:rsid w:val="002B35B4"/>
    <w:rsid w:val="002B6725"/>
    <w:rsid w:val="002C17A2"/>
    <w:rsid w:val="002D73DA"/>
    <w:rsid w:val="002E2268"/>
    <w:rsid w:val="002F0444"/>
    <w:rsid w:val="002F0CE3"/>
    <w:rsid w:val="002F5D7E"/>
    <w:rsid w:val="00300696"/>
    <w:rsid w:val="00304630"/>
    <w:rsid w:val="003161CB"/>
    <w:rsid w:val="00317797"/>
    <w:rsid w:val="00324668"/>
    <w:rsid w:val="00333BC0"/>
    <w:rsid w:val="00334BCA"/>
    <w:rsid w:val="003473EC"/>
    <w:rsid w:val="0034748A"/>
    <w:rsid w:val="00350CF2"/>
    <w:rsid w:val="00351BCC"/>
    <w:rsid w:val="00354D49"/>
    <w:rsid w:val="00370008"/>
    <w:rsid w:val="00377F34"/>
    <w:rsid w:val="00390583"/>
    <w:rsid w:val="003930D3"/>
    <w:rsid w:val="003A29B0"/>
    <w:rsid w:val="003A29BA"/>
    <w:rsid w:val="003A4B45"/>
    <w:rsid w:val="003D0CF0"/>
    <w:rsid w:val="003D3F7B"/>
    <w:rsid w:val="003D7E4E"/>
    <w:rsid w:val="003E5B4B"/>
    <w:rsid w:val="003F1AE7"/>
    <w:rsid w:val="003F7E86"/>
    <w:rsid w:val="0040701E"/>
    <w:rsid w:val="004079CD"/>
    <w:rsid w:val="00411AF1"/>
    <w:rsid w:val="00417079"/>
    <w:rsid w:val="004259AE"/>
    <w:rsid w:val="004316EF"/>
    <w:rsid w:val="00453F61"/>
    <w:rsid w:val="004545DA"/>
    <w:rsid w:val="00455839"/>
    <w:rsid w:val="0046726F"/>
    <w:rsid w:val="004724D1"/>
    <w:rsid w:val="00474798"/>
    <w:rsid w:val="00475501"/>
    <w:rsid w:val="00477453"/>
    <w:rsid w:val="00483ADE"/>
    <w:rsid w:val="004841A3"/>
    <w:rsid w:val="00492429"/>
    <w:rsid w:val="0049486F"/>
    <w:rsid w:val="004A337B"/>
    <w:rsid w:val="004B560F"/>
    <w:rsid w:val="004C1E52"/>
    <w:rsid w:val="004C43B1"/>
    <w:rsid w:val="004C43EB"/>
    <w:rsid w:val="004D0814"/>
    <w:rsid w:val="004D1B1E"/>
    <w:rsid w:val="004D5DDD"/>
    <w:rsid w:val="004E0148"/>
    <w:rsid w:val="004E73CD"/>
    <w:rsid w:val="00503FB5"/>
    <w:rsid w:val="00524C49"/>
    <w:rsid w:val="00526250"/>
    <w:rsid w:val="00527D8C"/>
    <w:rsid w:val="005419CC"/>
    <w:rsid w:val="0055531F"/>
    <w:rsid w:val="0055594E"/>
    <w:rsid w:val="00557A0C"/>
    <w:rsid w:val="00561954"/>
    <w:rsid w:val="0057338B"/>
    <w:rsid w:val="0057542D"/>
    <w:rsid w:val="00577135"/>
    <w:rsid w:val="00581648"/>
    <w:rsid w:val="00582455"/>
    <w:rsid w:val="005A5664"/>
    <w:rsid w:val="005A722C"/>
    <w:rsid w:val="005B0752"/>
    <w:rsid w:val="005C33E8"/>
    <w:rsid w:val="005D16BE"/>
    <w:rsid w:val="005D43C4"/>
    <w:rsid w:val="006040A6"/>
    <w:rsid w:val="0061770B"/>
    <w:rsid w:val="00621C44"/>
    <w:rsid w:val="00622A58"/>
    <w:rsid w:val="00623C42"/>
    <w:rsid w:val="006242E0"/>
    <w:rsid w:val="00634AE8"/>
    <w:rsid w:val="006369B3"/>
    <w:rsid w:val="00652525"/>
    <w:rsid w:val="00652B10"/>
    <w:rsid w:val="00671B09"/>
    <w:rsid w:val="0067334D"/>
    <w:rsid w:val="00677947"/>
    <w:rsid w:val="006824A3"/>
    <w:rsid w:val="00683AD1"/>
    <w:rsid w:val="00692E5B"/>
    <w:rsid w:val="006A4A8F"/>
    <w:rsid w:val="006B2689"/>
    <w:rsid w:val="006C1BFC"/>
    <w:rsid w:val="006C3501"/>
    <w:rsid w:val="006C61B4"/>
    <w:rsid w:val="006D0CC1"/>
    <w:rsid w:val="006E0ABA"/>
    <w:rsid w:val="006E5680"/>
    <w:rsid w:val="006E657C"/>
    <w:rsid w:val="007042AF"/>
    <w:rsid w:val="00705C11"/>
    <w:rsid w:val="0070794F"/>
    <w:rsid w:val="0074476F"/>
    <w:rsid w:val="00745AB2"/>
    <w:rsid w:val="007471FF"/>
    <w:rsid w:val="00752480"/>
    <w:rsid w:val="007751DB"/>
    <w:rsid w:val="00777433"/>
    <w:rsid w:val="00787045"/>
    <w:rsid w:val="0078732F"/>
    <w:rsid w:val="007A5321"/>
    <w:rsid w:val="007B3428"/>
    <w:rsid w:val="007C0F78"/>
    <w:rsid w:val="007D24CB"/>
    <w:rsid w:val="007E2DB7"/>
    <w:rsid w:val="007E540A"/>
    <w:rsid w:val="00811233"/>
    <w:rsid w:val="00811FC6"/>
    <w:rsid w:val="00826D71"/>
    <w:rsid w:val="00840FAE"/>
    <w:rsid w:val="008463DE"/>
    <w:rsid w:val="00846758"/>
    <w:rsid w:val="00862D3E"/>
    <w:rsid w:val="008740F0"/>
    <w:rsid w:val="0089646E"/>
    <w:rsid w:val="008A1A6C"/>
    <w:rsid w:val="008C09B1"/>
    <w:rsid w:val="008E02B5"/>
    <w:rsid w:val="008E04AF"/>
    <w:rsid w:val="008F549B"/>
    <w:rsid w:val="009024C7"/>
    <w:rsid w:val="00905255"/>
    <w:rsid w:val="00907DD1"/>
    <w:rsid w:val="00916208"/>
    <w:rsid w:val="00924CA5"/>
    <w:rsid w:val="00930AC1"/>
    <w:rsid w:val="00935929"/>
    <w:rsid w:val="009362F1"/>
    <w:rsid w:val="00944FCF"/>
    <w:rsid w:val="009500C8"/>
    <w:rsid w:val="009550C7"/>
    <w:rsid w:val="00962616"/>
    <w:rsid w:val="009713E2"/>
    <w:rsid w:val="009926E5"/>
    <w:rsid w:val="00993709"/>
    <w:rsid w:val="00997BA3"/>
    <w:rsid w:val="009A73CF"/>
    <w:rsid w:val="009B7056"/>
    <w:rsid w:val="009C1107"/>
    <w:rsid w:val="009D02E6"/>
    <w:rsid w:val="009D5643"/>
    <w:rsid w:val="009E3EB9"/>
    <w:rsid w:val="009E794D"/>
    <w:rsid w:val="009F278F"/>
    <w:rsid w:val="009F6226"/>
    <w:rsid w:val="00A07EE9"/>
    <w:rsid w:val="00A10CBE"/>
    <w:rsid w:val="00A125FE"/>
    <w:rsid w:val="00A235C2"/>
    <w:rsid w:val="00A3530F"/>
    <w:rsid w:val="00A42988"/>
    <w:rsid w:val="00A42DF8"/>
    <w:rsid w:val="00A74615"/>
    <w:rsid w:val="00A77FFE"/>
    <w:rsid w:val="00A86260"/>
    <w:rsid w:val="00A924A3"/>
    <w:rsid w:val="00A95C42"/>
    <w:rsid w:val="00AA0A00"/>
    <w:rsid w:val="00AA2AE9"/>
    <w:rsid w:val="00AB0E4A"/>
    <w:rsid w:val="00AD7BDD"/>
    <w:rsid w:val="00AE3120"/>
    <w:rsid w:val="00AE5895"/>
    <w:rsid w:val="00AF4CC7"/>
    <w:rsid w:val="00B000C7"/>
    <w:rsid w:val="00B04900"/>
    <w:rsid w:val="00B108D0"/>
    <w:rsid w:val="00B154E3"/>
    <w:rsid w:val="00B21AB3"/>
    <w:rsid w:val="00B258F6"/>
    <w:rsid w:val="00B2756A"/>
    <w:rsid w:val="00B37CF2"/>
    <w:rsid w:val="00B4269D"/>
    <w:rsid w:val="00B4403C"/>
    <w:rsid w:val="00B460E7"/>
    <w:rsid w:val="00B518B9"/>
    <w:rsid w:val="00B628FC"/>
    <w:rsid w:val="00B71A87"/>
    <w:rsid w:val="00B83295"/>
    <w:rsid w:val="00B9130C"/>
    <w:rsid w:val="00B970C8"/>
    <w:rsid w:val="00BB0545"/>
    <w:rsid w:val="00BB4770"/>
    <w:rsid w:val="00BC4D7B"/>
    <w:rsid w:val="00BF0DF2"/>
    <w:rsid w:val="00C068D4"/>
    <w:rsid w:val="00C14F64"/>
    <w:rsid w:val="00C241C5"/>
    <w:rsid w:val="00C32905"/>
    <w:rsid w:val="00C4453C"/>
    <w:rsid w:val="00C477A7"/>
    <w:rsid w:val="00C54D42"/>
    <w:rsid w:val="00C57CAE"/>
    <w:rsid w:val="00C6140A"/>
    <w:rsid w:val="00C664FA"/>
    <w:rsid w:val="00C668E3"/>
    <w:rsid w:val="00C70613"/>
    <w:rsid w:val="00C876E3"/>
    <w:rsid w:val="00C94A6E"/>
    <w:rsid w:val="00CA2D86"/>
    <w:rsid w:val="00CA4967"/>
    <w:rsid w:val="00CB6514"/>
    <w:rsid w:val="00CD1712"/>
    <w:rsid w:val="00CD3C71"/>
    <w:rsid w:val="00CD6EAC"/>
    <w:rsid w:val="00CE0ECA"/>
    <w:rsid w:val="00CE595C"/>
    <w:rsid w:val="00CF6ABA"/>
    <w:rsid w:val="00CF6FC6"/>
    <w:rsid w:val="00D07931"/>
    <w:rsid w:val="00D11011"/>
    <w:rsid w:val="00D15DEC"/>
    <w:rsid w:val="00D17A32"/>
    <w:rsid w:val="00D257D2"/>
    <w:rsid w:val="00D27AE6"/>
    <w:rsid w:val="00D33459"/>
    <w:rsid w:val="00D343F9"/>
    <w:rsid w:val="00D4021A"/>
    <w:rsid w:val="00D50C03"/>
    <w:rsid w:val="00D703C7"/>
    <w:rsid w:val="00D8067D"/>
    <w:rsid w:val="00D81530"/>
    <w:rsid w:val="00D821A4"/>
    <w:rsid w:val="00D85954"/>
    <w:rsid w:val="00D924C7"/>
    <w:rsid w:val="00DA19AA"/>
    <w:rsid w:val="00DB3240"/>
    <w:rsid w:val="00DB5E8A"/>
    <w:rsid w:val="00DC14B7"/>
    <w:rsid w:val="00DE341F"/>
    <w:rsid w:val="00DE6A1F"/>
    <w:rsid w:val="00DF4E04"/>
    <w:rsid w:val="00E13E5E"/>
    <w:rsid w:val="00E14825"/>
    <w:rsid w:val="00E17035"/>
    <w:rsid w:val="00E17547"/>
    <w:rsid w:val="00E176DD"/>
    <w:rsid w:val="00E27476"/>
    <w:rsid w:val="00E31B1C"/>
    <w:rsid w:val="00E45E74"/>
    <w:rsid w:val="00E578B1"/>
    <w:rsid w:val="00E72D54"/>
    <w:rsid w:val="00E76E6B"/>
    <w:rsid w:val="00E80C0D"/>
    <w:rsid w:val="00E835C8"/>
    <w:rsid w:val="00E85CAD"/>
    <w:rsid w:val="00E878B3"/>
    <w:rsid w:val="00EA0B88"/>
    <w:rsid w:val="00EA3477"/>
    <w:rsid w:val="00EA49D7"/>
    <w:rsid w:val="00EB2AD6"/>
    <w:rsid w:val="00EC0900"/>
    <w:rsid w:val="00EC4F6B"/>
    <w:rsid w:val="00EC5F1A"/>
    <w:rsid w:val="00ED0147"/>
    <w:rsid w:val="00ED684D"/>
    <w:rsid w:val="00F03DBF"/>
    <w:rsid w:val="00F057F9"/>
    <w:rsid w:val="00F230E1"/>
    <w:rsid w:val="00F23FEA"/>
    <w:rsid w:val="00F278D0"/>
    <w:rsid w:val="00F27CE0"/>
    <w:rsid w:val="00F3269D"/>
    <w:rsid w:val="00F34280"/>
    <w:rsid w:val="00F34DE5"/>
    <w:rsid w:val="00F40792"/>
    <w:rsid w:val="00F433F5"/>
    <w:rsid w:val="00F514A0"/>
    <w:rsid w:val="00F61059"/>
    <w:rsid w:val="00F71AB7"/>
    <w:rsid w:val="00F76B52"/>
    <w:rsid w:val="00F822CA"/>
    <w:rsid w:val="00F8244D"/>
    <w:rsid w:val="00F86AE7"/>
    <w:rsid w:val="00F87E02"/>
    <w:rsid w:val="00F92799"/>
    <w:rsid w:val="00F961E8"/>
    <w:rsid w:val="00FA1CB9"/>
    <w:rsid w:val="00FA31C9"/>
    <w:rsid w:val="00FC6436"/>
    <w:rsid w:val="00FC7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5A5725-0C0C-405D-9F58-6ED92AA8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4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A56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4">
    <w:name w:val="字元"/>
    <w:basedOn w:val="a"/>
    <w:rsid w:val="007E540A"/>
    <w:pPr>
      <w:widowControl/>
      <w:spacing w:after="160" w:line="240" w:lineRule="exact"/>
    </w:pPr>
    <w:rPr>
      <w:rFonts w:ascii="Verdana" w:hAnsi="Verdana"/>
      <w:kern w:val="0"/>
      <w:sz w:val="20"/>
      <w:szCs w:val="20"/>
      <w:lang w:eastAsia="en-US"/>
    </w:rPr>
  </w:style>
  <w:style w:type="character" w:customStyle="1" w:styleId="HTML0">
    <w:name w:val="HTML 預設格式 字元"/>
    <w:basedOn w:val="a0"/>
    <w:link w:val="HTML"/>
    <w:uiPriority w:val="99"/>
    <w:rsid w:val="00FA31C9"/>
    <w:rPr>
      <w:rFonts w:ascii="細明體" w:eastAsia="細明體" w:hAnsi="細明體" w:cs="細明體"/>
      <w:sz w:val="24"/>
      <w:szCs w:val="24"/>
    </w:rPr>
  </w:style>
  <w:style w:type="paragraph" w:styleId="a5">
    <w:name w:val="header"/>
    <w:basedOn w:val="a"/>
    <w:link w:val="a6"/>
    <w:rsid w:val="00F40792"/>
    <w:pPr>
      <w:tabs>
        <w:tab w:val="center" w:pos="4153"/>
        <w:tab w:val="right" w:pos="8306"/>
      </w:tabs>
      <w:snapToGrid w:val="0"/>
    </w:pPr>
    <w:rPr>
      <w:sz w:val="20"/>
      <w:szCs w:val="20"/>
    </w:rPr>
  </w:style>
  <w:style w:type="character" w:customStyle="1" w:styleId="a6">
    <w:name w:val="頁首 字元"/>
    <w:basedOn w:val="a0"/>
    <w:link w:val="a5"/>
    <w:rsid w:val="00F40792"/>
    <w:rPr>
      <w:kern w:val="2"/>
    </w:rPr>
  </w:style>
  <w:style w:type="paragraph" w:styleId="a7">
    <w:name w:val="footer"/>
    <w:basedOn w:val="a"/>
    <w:link w:val="a8"/>
    <w:uiPriority w:val="99"/>
    <w:rsid w:val="00F40792"/>
    <w:pPr>
      <w:tabs>
        <w:tab w:val="center" w:pos="4153"/>
        <w:tab w:val="right" w:pos="8306"/>
      </w:tabs>
      <w:snapToGrid w:val="0"/>
    </w:pPr>
    <w:rPr>
      <w:sz w:val="20"/>
      <w:szCs w:val="20"/>
    </w:rPr>
  </w:style>
  <w:style w:type="character" w:customStyle="1" w:styleId="a8">
    <w:name w:val="頁尾 字元"/>
    <w:basedOn w:val="a0"/>
    <w:link w:val="a7"/>
    <w:uiPriority w:val="99"/>
    <w:rsid w:val="00F40792"/>
    <w:rPr>
      <w:kern w:val="2"/>
    </w:rPr>
  </w:style>
  <w:style w:type="paragraph" w:styleId="a9">
    <w:name w:val="Balloon Text"/>
    <w:basedOn w:val="a"/>
    <w:link w:val="aa"/>
    <w:rsid w:val="008F549B"/>
    <w:rPr>
      <w:rFonts w:asciiTheme="majorHAnsi" w:eastAsiaTheme="majorEastAsia" w:hAnsiTheme="majorHAnsi" w:cstheme="majorBidi"/>
      <w:sz w:val="18"/>
      <w:szCs w:val="18"/>
    </w:rPr>
  </w:style>
  <w:style w:type="character" w:customStyle="1" w:styleId="aa">
    <w:name w:val="註解方塊文字 字元"/>
    <w:basedOn w:val="a0"/>
    <w:link w:val="a9"/>
    <w:rsid w:val="008F549B"/>
    <w:rPr>
      <w:rFonts w:asciiTheme="majorHAnsi" w:eastAsiaTheme="majorEastAsia" w:hAnsiTheme="majorHAnsi" w:cstheme="majorBidi"/>
      <w:kern w:val="2"/>
      <w:sz w:val="18"/>
      <w:szCs w:val="18"/>
    </w:rPr>
  </w:style>
  <w:style w:type="paragraph" w:styleId="ab">
    <w:name w:val="List Paragraph"/>
    <w:basedOn w:val="a"/>
    <w:uiPriority w:val="34"/>
    <w:qFormat/>
    <w:rsid w:val="00DF4E04"/>
    <w:pPr>
      <w:ind w:leftChars="200" w:left="480"/>
    </w:pPr>
  </w:style>
  <w:style w:type="paragraph" w:customStyle="1" w:styleId="Default">
    <w:name w:val="Default"/>
    <w:rsid w:val="001628DE"/>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943">
      <w:bodyDiv w:val="1"/>
      <w:marLeft w:val="0"/>
      <w:marRight w:val="0"/>
      <w:marTop w:val="0"/>
      <w:marBottom w:val="0"/>
      <w:divBdr>
        <w:top w:val="none" w:sz="0" w:space="0" w:color="auto"/>
        <w:left w:val="none" w:sz="0" w:space="0" w:color="auto"/>
        <w:bottom w:val="none" w:sz="0" w:space="0" w:color="auto"/>
        <w:right w:val="none" w:sz="0" w:space="0" w:color="auto"/>
      </w:divBdr>
    </w:div>
    <w:div w:id="1144540672">
      <w:bodyDiv w:val="1"/>
      <w:marLeft w:val="0"/>
      <w:marRight w:val="0"/>
      <w:marTop w:val="0"/>
      <w:marBottom w:val="0"/>
      <w:divBdr>
        <w:top w:val="none" w:sz="0" w:space="0" w:color="auto"/>
        <w:left w:val="none" w:sz="0" w:space="0" w:color="auto"/>
        <w:bottom w:val="none" w:sz="0" w:space="0" w:color="auto"/>
        <w:right w:val="none" w:sz="0" w:space="0" w:color="auto"/>
      </w:divBdr>
    </w:div>
    <w:div w:id="2006081669">
      <w:bodyDiv w:val="1"/>
      <w:marLeft w:val="0"/>
      <w:marRight w:val="0"/>
      <w:marTop w:val="0"/>
      <w:marBottom w:val="0"/>
      <w:divBdr>
        <w:top w:val="none" w:sz="0" w:space="0" w:color="auto"/>
        <w:left w:val="none" w:sz="0" w:space="0" w:color="auto"/>
        <w:bottom w:val="none" w:sz="0" w:space="0" w:color="auto"/>
        <w:right w:val="none" w:sz="0" w:space="0" w:color="auto"/>
      </w:divBdr>
    </w:div>
    <w:div w:id="2063600420">
      <w:bodyDiv w:val="1"/>
      <w:marLeft w:val="0"/>
      <w:marRight w:val="0"/>
      <w:marTop w:val="0"/>
      <w:marBottom w:val="0"/>
      <w:divBdr>
        <w:top w:val="none" w:sz="0" w:space="0" w:color="auto"/>
        <w:left w:val="none" w:sz="0" w:space="0" w:color="auto"/>
        <w:bottom w:val="none" w:sz="0" w:space="0" w:color="auto"/>
        <w:right w:val="none" w:sz="0" w:space="0" w:color="auto"/>
      </w:divBdr>
    </w:div>
    <w:div w:id="2106876570">
      <w:bodyDiv w:val="1"/>
      <w:marLeft w:val="0"/>
      <w:marRight w:val="0"/>
      <w:marTop w:val="0"/>
      <w:marBottom w:val="0"/>
      <w:divBdr>
        <w:top w:val="none" w:sz="0" w:space="0" w:color="auto"/>
        <w:left w:val="none" w:sz="0" w:space="0" w:color="auto"/>
        <w:bottom w:val="none" w:sz="0" w:space="0" w:color="auto"/>
        <w:right w:val="none" w:sz="0" w:space="0" w:color="auto"/>
      </w:divBdr>
      <w:divsChild>
        <w:div w:id="638609358">
          <w:marLeft w:val="0"/>
          <w:marRight w:val="0"/>
          <w:marTop w:val="0"/>
          <w:marBottom w:val="0"/>
          <w:divBdr>
            <w:top w:val="none" w:sz="0" w:space="0" w:color="auto"/>
            <w:left w:val="single" w:sz="6" w:space="0" w:color="9BA4B6"/>
            <w:bottom w:val="single" w:sz="6" w:space="0" w:color="9BA4B6"/>
            <w:right w:val="single" w:sz="6" w:space="0" w:color="9BA4B6"/>
          </w:divBdr>
          <w:divsChild>
            <w:div w:id="1484928198">
              <w:marLeft w:val="0"/>
              <w:marRight w:val="0"/>
              <w:marTop w:val="0"/>
              <w:marBottom w:val="0"/>
              <w:divBdr>
                <w:top w:val="none" w:sz="0" w:space="0" w:color="auto"/>
                <w:left w:val="none" w:sz="0" w:space="0" w:color="auto"/>
                <w:bottom w:val="none" w:sz="0" w:space="0" w:color="auto"/>
                <w:right w:val="none" w:sz="0" w:space="0" w:color="auto"/>
              </w:divBdr>
              <w:divsChild>
                <w:div w:id="497428008">
                  <w:marLeft w:val="0"/>
                  <w:marRight w:val="0"/>
                  <w:marTop w:val="100"/>
                  <w:marBottom w:val="100"/>
                  <w:divBdr>
                    <w:top w:val="none" w:sz="0" w:space="0" w:color="auto"/>
                    <w:left w:val="none" w:sz="0" w:space="0" w:color="auto"/>
                    <w:bottom w:val="none" w:sz="0" w:space="0" w:color="auto"/>
                    <w:right w:val="none" w:sz="0" w:space="0" w:color="auto"/>
                  </w:divBdr>
                  <w:divsChild>
                    <w:div w:id="12879296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70EA-BF0F-4735-8AB3-5048B68C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696</Characters>
  <Application>Microsoft Office Word</Application>
  <DocSecurity>0</DocSecurity>
  <Lines>5</Lines>
  <Paragraphs>1</Paragraphs>
  <ScaleCrop>false</ScaleCrop>
  <Company>USER</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金融控股公司及銀行業內部控制及稽核制度實施辦法修正條文對照表</dc:title>
  <dc:creator>夏美業</dc:creator>
  <cp:lastModifiedBy>林俊廷</cp:lastModifiedBy>
  <cp:revision>2</cp:revision>
  <cp:lastPrinted>2016-04-26T09:27:00Z</cp:lastPrinted>
  <dcterms:created xsi:type="dcterms:W3CDTF">2016-06-28T08:07:00Z</dcterms:created>
  <dcterms:modified xsi:type="dcterms:W3CDTF">2016-06-28T08:07:00Z</dcterms:modified>
</cp:coreProperties>
</file>