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6"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686"/>
        <w:gridCol w:w="4320"/>
        <w:gridCol w:w="751"/>
        <w:gridCol w:w="2849"/>
      </w:tblGrid>
      <w:tr w:rsidR="00FE004E" w:rsidRPr="00765DBB">
        <w:trPr>
          <w:trHeight w:val="878"/>
        </w:trPr>
        <w:tc>
          <w:tcPr>
            <w:tcW w:w="6006" w:type="dxa"/>
            <w:gridSpan w:val="2"/>
            <w:vAlign w:val="center"/>
          </w:tcPr>
          <w:p w:rsidR="00FE004E" w:rsidRPr="00765DBB" w:rsidRDefault="00FE004E" w:rsidP="00BE19F4">
            <w:pPr>
              <w:snapToGrid w:val="0"/>
              <w:spacing w:line="480" w:lineRule="exact"/>
              <w:jc w:val="both"/>
              <w:rPr>
                <w:rFonts w:eastAsia="標楷體"/>
                <w:sz w:val="28"/>
                <w:szCs w:val="28"/>
              </w:rPr>
            </w:pPr>
            <w:r w:rsidRPr="00765DBB">
              <w:rPr>
                <w:rFonts w:eastAsia="標楷體" w:cs="標楷體" w:hint="eastAsia"/>
                <w:sz w:val="32"/>
                <w:szCs w:val="32"/>
              </w:rPr>
              <w:t>臺灣期貨交易所</w:t>
            </w:r>
            <w:proofErr w:type="gramStart"/>
            <w:r w:rsidRPr="00765DBB">
              <w:rPr>
                <w:rFonts w:eastAsia="標楷體"/>
                <w:sz w:val="32"/>
                <w:szCs w:val="32"/>
              </w:rPr>
              <w:t>102</w:t>
            </w:r>
            <w:proofErr w:type="gramEnd"/>
            <w:r w:rsidRPr="00765DBB">
              <w:rPr>
                <w:rFonts w:eastAsia="標楷體" w:cs="標楷體" w:hint="eastAsia"/>
                <w:sz w:val="32"/>
                <w:szCs w:val="32"/>
              </w:rPr>
              <w:t>年度研究報告提要表</w:t>
            </w:r>
          </w:p>
        </w:tc>
        <w:tc>
          <w:tcPr>
            <w:tcW w:w="3600" w:type="dxa"/>
            <w:gridSpan w:val="2"/>
            <w:vAlign w:val="center"/>
          </w:tcPr>
          <w:p w:rsidR="00FE004E" w:rsidRPr="00765DBB" w:rsidRDefault="00FE004E" w:rsidP="00BE19F4">
            <w:pPr>
              <w:widowControl/>
              <w:snapToGrid w:val="0"/>
              <w:spacing w:line="480" w:lineRule="exact"/>
              <w:rPr>
                <w:rFonts w:eastAsia="標楷體"/>
                <w:sz w:val="28"/>
                <w:szCs w:val="28"/>
              </w:rPr>
            </w:pPr>
            <w:r w:rsidRPr="00765DBB">
              <w:rPr>
                <w:rFonts w:eastAsia="標楷體" w:cs="標楷體" w:hint="eastAsia"/>
                <w:sz w:val="28"/>
                <w:szCs w:val="28"/>
              </w:rPr>
              <w:t>填表人：李福慶</w:t>
            </w:r>
          </w:p>
          <w:p w:rsidR="00FE004E" w:rsidRPr="00765DBB" w:rsidRDefault="00FE004E" w:rsidP="00BE19F4">
            <w:pPr>
              <w:snapToGrid w:val="0"/>
              <w:spacing w:line="480" w:lineRule="exact"/>
              <w:jc w:val="both"/>
              <w:rPr>
                <w:rFonts w:eastAsia="標楷體"/>
                <w:sz w:val="28"/>
                <w:szCs w:val="28"/>
              </w:rPr>
            </w:pPr>
            <w:r w:rsidRPr="00765DBB">
              <w:rPr>
                <w:rFonts w:eastAsia="標楷體" w:cs="標楷體" w:hint="eastAsia"/>
                <w:sz w:val="28"/>
                <w:szCs w:val="28"/>
              </w:rPr>
              <w:t>填表日期：</w:t>
            </w:r>
            <w:r w:rsidRPr="00765DBB">
              <w:rPr>
                <w:rFonts w:eastAsia="標楷體"/>
                <w:sz w:val="28"/>
                <w:szCs w:val="28"/>
              </w:rPr>
              <w:t>102</w:t>
            </w:r>
            <w:r w:rsidRPr="00765DBB">
              <w:rPr>
                <w:rFonts w:eastAsia="標楷體" w:cs="標楷體" w:hint="eastAsia"/>
                <w:sz w:val="28"/>
                <w:szCs w:val="28"/>
              </w:rPr>
              <w:t>年</w:t>
            </w:r>
            <w:r w:rsidRPr="00765DBB">
              <w:rPr>
                <w:rFonts w:eastAsia="標楷體"/>
                <w:sz w:val="28"/>
                <w:szCs w:val="28"/>
              </w:rPr>
              <w:t>10</w:t>
            </w:r>
            <w:r w:rsidRPr="00765DBB">
              <w:rPr>
                <w:rFonts w:eastAsia="標楷體" w:cs="標楷體" w:hint="eastAsia"/>
                <w:sz w:val="28"/>
                <w:szCs w:val="28"/>
              </w:rPr>
              <w:t>月</w:t>
            </w:r>
            <w:r w:rsidRPr="00765DBB">
              <w:rPr>
                <w:rFonts w:eastAsia="標楷體"/>
                <w:sz w:val="28"/>
                <w:szCs w:val="28"/>
              </w:rPr>
              <w:t>28</w:t>
            </w:r>
            <w:r w:rsidRPr="00765DBB">
              <w:rPr>
                <w:rFonts w:eastAsia="標楷體" w:cs="標楷體" w:hint="eastAsia"/>
                <w:sz w:val="28"/>
                <w:szCs w:val="28"/>
              </w:rPr>
              <w:t>日</w:t>
            </w:r>
          </w:p>
        </w:tc>
      </w:tr>
      <w:tr w:rsidR="00FE004E" w:rsidRPr="00765DBB">
        <w:trPr>
          <w:trHeight w:val="450"/>
        </w:trPr>
        <w:tc>
          <w:tcPr>
            <w:tcW w:w="1686" w:type="dxa"/>
            <w:vAlign w:val="center"/>
          </w:tcPr>
          <w:p w:rsidR="00FE004E" w:rsidRPr="00765DBB" w:rsidRDefault="00FE004E" w:rsidP="00BE19F4">
            <w:pPr>
              <w:snapToGrid w:val="0"/>
              <w:spacing w:line="480" w:lineRule="exact"/>
              <w:jc w:val="center"/>
              <w:rPr>
                <w:rFonts w:eastAsia="標楷體"/>
                <w:sz w:val="28"/>
                <w:szCs w:val="28"/>
              </w:rPr>
            </w:pPr>
            <w:r w:rsidRPr="00765DBB">
              <w:rPr>
                <w:rFonts w:eastAsia="標楷體" w:cs="標楷體" w:hint="eastAsia"/>
                <w:sz w:val="28"/>
                <w:szCs w:val="28"/>
              </w:rPr>
              <w:t>研究項目</w:t>
            </w:r>
          </w:p>
        </w:tc>
        <w:tc>
          <w:tcPr>
            <w:tcW w:w="7920" w:type="dxa"/>
            <w:gridSpan w:val="3"/>
            <w:vAlign w:val="center"/>
          </w:tcPr>
          <w:p w:rsidR="00FE004E" w:rsidRPr="00765DBB" w:rsidRDefault="00FE004E" w:rsidP="00BE19F4">
            <w:pPr>
              <w:widowControl/>
              <w:snapToGrid w:val="0"/>
              <w:spacing w:line="480" w:lineRule="exact"/>
              <w:rPr>
                <w:rFonts w:eastAsia="標楷體"/>
                <w:sz w:val="28"/>
                <w:szCs w:val="28"/>
              </w:rPr>
            </w:pPr>
            <w:bookmarkStart w:id="0" w:name="_GoBack"/>
            <w:r w:rsidRPr="00765DBB">
              <w:rPr>
                <w:rFonts w:eastAsia="標楷體" w:cs="標楷體" w:hint="eastAsia"/>
                <w:sz w:val="28"/>
                <w:szCs w:val="28"/>
              </w:rPr>
              <w:t>新台幣計價之香港股票期貨商品上市可行性之研究</w:t>
            </w:r>
            <w:bookmarkEnd w:id="0"/>
          </w:p>
        </w:tc>
      </w:tr>
      <w:tr w:rsidR="00FE004E" w:rsidRPr="00765DBB">
        <w:trPr>
          <w:trHeight w:val="1412"/>
        </w:trPr>
        <w:tc>
          <w:tcPr>
            <w:tcW w:w="1686" w:type="dxa"/>
            <w:vAlign w:val="center"/>
          </w:tcPr>
          <w:p w:rsidR="00FE004E" w:rsidRPr="00765DBB" w:rsidRDefault="00FE004E" w:rsidP="00BE19F4">
            <w:pPr>
              <w:snapToGrid w:val="0"/>
              <w:spacing w:line="480" w:lineRule="exact"/>
              <w:jc w:val="center"/>
              <w:rPr>
                <w:rFonts w:eastAsia="標楷體"/>
                <w:sz w:val="28"/>
                <w:szCs w:val="28"/>
              </w:rPr>
            </w:pPr>
            <w:r w:rsidRPr="00765DBB">
              <w:rPr>
                <w:rFonts w:eastAsia="標楷體" w:cs="標楷體" w:hint="eastAsia"/>
                <w:sz w:val="28"/>
                <w:szCs w:val="28"/>
              </w:rPr>
              <w:t>研究單位</w:t>
            </w:r>
          </w:p>
          <w:p w:rsidR="00FE004E" w:rsidRPr="00765DBB" w:rsidRDefault="00FE004E" w:rsidP="00BE19F4">
            <w:pPr>
              <w:snapToGrid w:val="0"/>
              <w:spacing w:line="480" w:lineRule="exact"/>
              <w:jc w:val="center"/>
              <w:rPr>
                <w:rFonts w:eastAsia="標楷體"/>
                <w:sz w:val="28"/>
                <w:szCs w:val="28"/>
              </w:rPr>
            </w:pPr>
            <w:r w:rsidRPr="00765DBB">
              <w:rPr>
                <w:rFonts w:eastAsia="標楷體" w:cs="標楷體" w:hint="eastAsia"/>
                <w:sz w:val="28"/>
                <w:szCs w:val="28"/>
              </w:rPr>
              <w:t>及人員</w:t>
            </w:r>
          </w:p>
        </w:tc>
        <w:tc>
          <w:tcPr>
            <w:tcW w:w="4320" w:type="dxa"/>
            <w:vAlign w:val="center"/>
          </w:tcPr>
          <w:p w:rsidR="00FE004E" w:rsidRPr="00765DBB" w:rsidRDefault="00FE004E" w:rsidP="00BE19F4">
            <w:pPr>
              <w:widowControl/>
              <w:snapToGrid w:val="0"/>
              <w:spacing w:line="480" w:lineRule="exact"/>
              <w:jc w:val="both"/>
              <w:rPr>
                <w:rFonts w:eastAsia="標楷體"/>
                <w:sz w:val="28"/>
                <w:szCs w:val="28"/>
              </w:rPr>
            </w:pPr>
            <w:r w:rsidRPr="00765DBB">
              <w:rPr>
                <w:rFonts w:eastAsia="標楷體" w:cs="標楷體" w:hint="eastAsia"/>
                <w:sz w:val="28"/>
                <w:szCs w:val="28"/>
              </w:rPr>
              <w:t>研究單位：臺灣期貨交易所</w:t>
            </w:r>
          </w:p>
          <w:p w:rsidR="00FE004E" w:rsidRPr="00765DBB" w:rsidRDefault="00FE004E" w:rsidP="00BE19F4">
            <w:pPr>
              <w:snapToGrid w:val="0"/>
              <w:spacing w:line="480" w:lineRule="exact"/>
              <w:jc w:val="both"/>
              <w:rPr>
                <w:rFonts w:eastAsia="標楷體"/>
                <w:sz w:val="28"/>
                <w:szCs w:val="28"/>
              </w:rPr>
            </w:pPr>
            <w:r w:rsidRPr="00765DBB">
              <w:rPr>
                <w:rFonts w:eastAsia="標楷體" w:cs="標楷體" w:hint="eastAsia"/>
                <w:sz w:val="28"/>
                <w:szCs w:val="28"/>
              </w:rPr>
              <w:t>研究人員：李福慶</w:t>
            </w:r>
          </w:p>
        </w:tc>
        <w:tc>
          <w:tcPr>
            <w:tcW w:w="751" w:type="dxa"/>
            <w:vAlign w:val="center"/>
          </w:tcPr>
          <w:p w:rsidR="00FE004E" w:rsidRPr="00765DBB" w:rsidRDefault="00FE004E" w:rsidP="00BE19F4">
            <w:pPr>
              <w:snapToGrid w:val="0"/>
              <w:spacing w:line="480" w:lineRule="exact"/>
              <w:jc w:val="both"/>
              <w:rPr>
                <w:rFonts w:eastAsia="標楷體"/>
                <w:sz w:val="28"/>
                <w:szCs w:val="28"/>
              </w:rPr>
            </w:pPr>
            <w:r w:rsidRPr="00765DBB">
              <w:rPr>
                <w:rFonts w:eastAsia="標楷體" w:cs="標楷體" w:hint="eastAsia"/>
                <w:sz w:val="28"/>
                <w:szCs w:val="28"/>
              </w:rPr>
              <w:t>研究</w:t>
            </w:r>
          </w:p>
          <w:p w:rsidR="00FE004E" w:rsidRPr="00765DBB" w:rsidRDefault="00FE004E" w:rsidP="00BE19F4">
            <w:pPr>
              <w:snapToGrid w:val="0"/>
              <w:spacing w:line="480" w:lineRule="exact"/>
              <w:jc w:val="both"/>
              <w:rPr>
                <w:rFonts w:eastAsia="標楷體"/>
                <w:sz w:val="28"/>
                <w:szCs w:val="28"/>
              </w:rPr>
            </w:pPr>
            <w:r w:rsidRPr="00765DBB">
              <w:rPr>
                <w:rFonts w:eastAsia="標楷體" w:cs="標楷體" w:hint="eastAsia"/>
                <w:sz w:val="28"/>
                <w:szCs w:val="28"/>
              </w:rPr>
              <w:t>時間</w:t>
            </w:r>
          </w:p>
        </w:tc>
        <w:tc>
          <w:tcPr>
            <w:tcW w:w="2849" w:type="dxa"/>
            <w:vAlign w:val="center"/>
          </w:tcPr>
          <w:p w:rsidR="00FE004E" w:rsidRPr="00765DBB" w:rsidRDefault="00FE004E" w:rsidP="00BE19F4">
            <w:pPr>
              <w:widowControl/>
              <w:snapToGrid w:val="0"/>
              <w:spacing w:line="480" w:lineRule="exact"/>
              <w:jc w:val="both"/>
              <w:rPr>
                <w:rFonts w:eastAsia="標楷體"/>
                <w:sz w:val="28"/>
                <w:szCs w:val="28"/>
              </w:rPr>
            </w:pPr>
            <w:r w:rsidRPr="00765DBB">
              <w:rPr>
                <w:rFonts w:eastAsia="標楷體" w:cs="標楷體" w:hint="eastAsia"/>
                <w:sz w:val="28"/>
                <w:szCs w:val="28"/>
              </w:rPr>
              <w:t>自</w:t>
            </w:r>
            <w:r w:rsidRPr="00765DBB">
              <w:rPr>
                <w:rFonts w:eastAsia="標楷體"/>
                <w:sz w:val="28"/>
                <w:szCs w:val="28"/>
              </w:rPr>
              <w:t>102</w:t>
            </w:r>
            <w:r w:rsidRPr="00765DBB">
              <w:rPr>
                <w:rFonts w:eastAsia="標楷體" w:cs="標楷體" w:hint="eastAsia"/>
                <w:sz w:val="28"/>
                <w:szCs w:val="28"/>
              </w:rPr>
              <w:t>年</w:t>
            </w:r>
            <w:r w:rsidRPr="00765DBB">
              <w:rPr>
                <w:rFonts w:eastAsia="標楷體"/>
                <w:sz w:val="28"/>
                <w:szCs w:val="28"/>
              </w:rPr>
              <w:t>01</w:t>
            </w:r>
            <w:r w:rsidRPr="00765DBB">
              <w:rPr>
                <w:rFonts w:eastAsia="標楷體" w:cs="標楷體" w:hint="eastAsia"/>
                <w:sz w:val="28"/>
                <w:szCs w:val="28"/>
              </w:rPr>
              <w:t>月</w:t>
            </w:r>
            <w:r w:rsidRPr="00765DBB">
              <w:rPr>
                <w:rFonts w:eastAsia="標楷體"/>
                <w:sz w:val="28"/>
                <w:szCs w:val="28"/>
              </w:rPr>
              <w:t>01</w:t>
            </w:r>
            <w:r w:rsidRPr="00765DBB">
              <w:rPr>
                <w:rFonts w:eastAsia="標楷體" w:cs="標楷體" w:hint="eastAsia"/>
                <w:sz w:val="28"/>
                <w:szCs w:val="28"/>
              </w:rPr>
              <w:t>日</w:t>
            </w:r>
          </w:p>
          <w:p w:rsidR="00FE004E" w:rsidRPr="00765DBB" w:rsidRDefault="00FE004E" w:rsidP="00BE19F4">
            <w:pPr>
              <w:widowControl/>
              <w:snapToGrid w:val="0"/>
              <w:spacing w:line="480" w:lineRule="exact"/>
              <w:jc w:val="both"/>
              <w:rPr>
                <w:rFonts w:eastAsia="標楷體"/>
                <w:sz w:val="28"/>
                <w:szCs w:val="28"/>
              </w:rPr>
            </w:pPr>
            <w:r w:rsidRPr="00765DBB">
              <w:rPr>
                <w:rFonts w:eastAsia="標楷體" w:cs="標楷體" w:hint="eastAsia"/>
                <w:sz w:val="28"/>
                <w:szCs w:val="28"/>
              </w:rPr>
              <w:t>至</w:t>
            </w:r>
            <w:r w:rsidRPr="00765DBB">
              <w:rPr>
                <w:rFonts w:eastAsia="標楷體"/>
                <w:sz w:val="28"/>
                <w:szCs w:val="28"/>
              </w:rPr>
              <w:t>102</w:t>
            </w:r>
            <w:r w:rsidRPr="00765DBB">
              <w:rPr>
                <w:rFonts w:eastAsia="標楷體" w:cs="標楷體" w:hint="eastAsia"/>
                <w:sz w:val="28"/>
                <w:szCs w:val="28"/>
              </w:rPr>
              <w:t>年</w:t>
            </w:r>
            <w:r w:rsidRPr="00765DBB">
              <w:rPr>
                <w:rFonts w:eastAsia="標楷體"/>
                <w:sz w:val="28"/>
                <w:szCs w:val="28"/>
              </w:rPr>
              <w:t>11</w:t>
            </w:r>
            <w:r w:rsidRPr="00765DBB">
              <w:rPr>
                <w:rFonts w:eastAsia="標楷體" w:cs="標楷體" w:hint="eastAsia"/>
                <w:sz w:val="28"/>
                <w:szCs w:val="28"/>
              </w:rPr>
              <w:t>月</w:t>
            </w:r>
            <w:r w:rsidRPr="00765DBB">
              <w:rPr>
                <w:rFonts w:eastAsia="標楷體"/>
                <w:sz w:val="28"/>
                <w:szCs w:val="28"/>
              </w:rPr>
              <w:t>30</w:t>
            </w:r>
            <w:r w:rsidRPr="00765DBB">
              <w:rPr>
                <w:rFonts w:eastAsia="標楷體" w:cs="標楷體" w:hint="eastAsia"/>
                <w:sz w:val="28"/>
                <w:szCs w:val="28"/>
              </w:rPr>
              <w:t>日</w:t>
            </w:r>
          </w:p>
        </w:tc>
      </w:tr>
      <w:tr w:rsidR="00FE004E" w:rsidRPr="00765DBB">
        <w:trPr>
          <w:cantSplit/>
        </w:trPr>
        <w:tc>
          <w:tcPr>
            <w:tcW w:w="9606" w:type="dxa"/>
            <w:gridSpan w:val="4"/>
          </w:tcPr>
          <w:p w:rsidR="00FE004E" w:rsidRPr="00765DBB" w:rsidRDefault="00FE004E" w:rsidP="00BE19F4">
            <w:pPr>
              <w:snapToGrid w:val="0"/>
              <w:spacing w:line="480" w:lineRule="exact"/>
              <w:jc w:val="center"/>
              <w:rPr>
                <w:rFonts w:eastAsia="標楷體"/>
                <w:sz w:val="28"/>
                <w:szCs w:val="28"/>
              </w:rPr>
            </w:pPr>
            <w:r w:rsidRPr="00765DBB">
              <w:rPr>
                <w:rFonts w:eastAsia="標楷體" w:cs="標楷體" w:hint="eastAsia"/>
                <w:sz w:val="28"/>
                <w:szCs w:val="28"/>
              </w:rPr>
              <w:t>報告內容提要</w:t>
            </w:r>
          </w:p>
        </w:tc>
      </w:tr>
      <w:tr w:rsidR="00FE004E" w:rsidRPr="00765DBB">
        <w:trPr>
          <w:trHeight w:val="1068"/>
        </w:trPr>
        <w:tc>
          <w:tcPr>
            <w:tcW w:w="9606" w:type="dxa"/>
            <w:gridSpan w:val="4"/>
          </w:tcPr>
          <w:p w:rsidR="00FE004E" w:rsidRPr="00765DBB" w:rsidRDefault="00FE004E" w:rsidP="00E47935">
            <w:pPr>
              <w:widowControl/>
              <w:adjustRightInd w:val="0"/>
              <w:snapToGrid w:val="0"/>
              <w:spacing w:line="480" w:lineRule="exact"/>
              <w:ind w:rightChars="50" w:right="120"/>
              <w:rPr>
                <w:rFonts w:eastAsia="標楷體"/>
                <w:sz w:val="28"/>
                <w:szCs w:val="28"/>
              </w:rPr>
            </w:pPr>
            <w:r w:rsidRPr="00765DBB">
              <w:rPr>
                <w:rFonts w:eastAsia="標楷體" w:cs="標楷體" w:hint="eastAsia"/>
                <w:sz w:val="28"/>
                <w:szCs w:val="28"/>
              </w:rPr>
              <w:t>壹、研究內容重點</w:t>
            </w:r>
            <w:r w:rsidRPr="00765DBB">
              <w:rPr>
                <w:rFonts w:eastAsia="標楷體"/>
                <w:sz w:val="28"/>
                <w:szCs w:val="28"/>
              </w:rPr>
              <w:t xml:space="preserve"> </w:t>
            </w:r>
          </w:p>
          <w:p w:rsidR="00FE004E" w:rsidRPr="00765DBB" w:rsidRDefault="00FE004E" w:rsidP="00E47935">
            <w:pPr>
              <w:widowControl/>
              <w:numPr>
                <w:ilvl w:val="0"/>
                <w:numId w:val="11"/>
              </w:numPr>
              <w:adjustRightInd w:val="0"/>
              <w:snapToGrid w:val="0"/>
              <w:spacing w:line="480" w:lineRule="exact"/>
              <w:ind w:rightChars="50" w:right="120"/>
              <w:rPr>
                <w:rStyle w:val="ac"/>
                <w:rFonts w:eastAsia="標楷體"/>
                <w:color w:val="auto"/>
                <w:sz w:val="28"/>
                <w:szCs w:val="28"/>
                <w:u w:val="none"/>
              </w:rPr>
            </w:pPr>
            <w:r w:rsidRPr="00765DBB">
              <w:rPr>
                <w:rStyle w:val="ac"/>
                <w:rFonts w:eastAsia="標楷體" w:cs="標楷體" w:hint="eastAsia"/>
                <w:noProof/>
                <w:color w:val="auto"/>
                <w:sz w:val="28"/>
                <w:szCs w:val="28"/>
                <w:u w:val="none"/>
              </w:rPr>
              <w:t>香港股票及股票期貨市場概況介紹</w:t>
            </w:r>
          </w:p>
          <w:p w:rsidR="00FE004E" w:rsidRPr="00765DBB" w:rsidRDefault="00FE004E" w:rsidP="00E47935">
            <w:pPr>
              <w:widowControl/>
              <w:numPr>
                <w:ilvl w:val="0"/>
                <w:numId w:val="11"/>
              </w:numPr>
              <w:adjustRightInd w:val="0"/>
              <w:snapToGrid w:val="0"/>
              <w:spacing w:line="480" w:lineRule="exact"/>
              <w:ind w:rightChars="50" w:right="120"/>
              <w:rPr>
                <w:rStyle w:val="ac"/>
                <w:rFonts w:eastAsia="標楷體"/>
                <w:noProof/>
                <w:color w:val="auto"/>
                <w:sz w:val="28"/>
                <w:szCs w:val="28"/>
                <w:u w:val="none"/>
              </w:rPr>
            </w:pPr>
            <w:r w:rsidRPr="00765DBB">
              <w:rPr>
                <w:rStyle w:val="ac"/>
                <w:rFonts w:eastAsia="標楷體" w:cs="標楷體" w:hint="eastAsia"/>
                <w:noProof/>
                <w:color w:val="auto"/>
                <w:sz w:val="28"/>
                <w:szCs w:val="28"/>
                <w:u w:val="none"/>
              </w:rPr>
              <w:t>全球主要交易所掛牌香港股票期貨概況</w:t>
            </w:r>
          </w:p>
          <w:p w:rsidR="00FE004E" w:rsidRPr="00765DBB" w:rsidRDefault="00FE004E" w:rsidP="00E47935">
            <w:pPr>
              <w:widowControl/>
              <w:numPr>
                <w:ilvl w:val="0"/>
                <w:numId w:val="11"/>
              </w:numPr>
              <w:adjustRightInd w:val="0"/>
              <w:snapToGrid w:val="0"/>
              <w:spacing w:line="480" w:lineRule="exact"/>
              <w:ind w:rightChars="50" w:right="120"/>
              <w:rPr>
                <w:rStyle w:val="ac"/>
                <w:rFonts w:eastAsia="標楷體"/>
                <w:noProof/>
                <w:color w:val="auto"/>
                <w:sz w:val="28"/>
                <w:szCs w:val="28"/>
                <w:u w:val="none"/>
              </w:rPr>
            </w:pPr>
            <w:r w:rsidRPr="00765DBB">
              <w:rPr>
                <w:rStyle w:val="ac"/>
                <w:rFonts w:eastAsia="標楷體" w:cs="標楷體" w:hint="eastAsia"/>
                <w:noProof/>
                <w:color w:val="auto"/>
                <w:sz w:val="28"/>
                <w:szCs w:val="28"/>
                <w:u w:val="none"/>
              </w:rPr>
              <w:t>本公司推出新台幣計價香港股票期貨之市場需求分析</w:t>
            </w:r>
          </w:p>
          <w:p w:rsidR="00FE004E" w:rsidRPr="00765DBB" w:rsidRDefault="00FE004E" w:rsidP="00E47935">
            <w:pPr>
              <w:widowControl/>
              <w:numPr>
                <w:ilvl w:val="0"/>
                <w:numId w:val="11"/>
              </w:numPr>
              <w:adjustRightInd w:val="0"/>
              <w:snapToGrid w:val="0"/>
              <w:spacing w:line="480" w:lineRule="exact"/>
              <w:ind w:rightChars="50" w:right="120"/>
              <w:rPr>
                <w:rStyle w:val="ac"/>
                <w:rFonts w:eastAsia="標楷體"/>
                <w:noProof/>
                <w:color w:val="auto"/>
                <w:sz w:val="28"/>
                <w:szCs w:val="28"/>
                <w:u w:val="none"/>
              </w:rPr>
            </w:pPr>
            <w:r w:rsidRPr="00765DBB">
              <w:rPr>
                <w:rStyle w:val="ac"/>
                <w:rFonts w:eastAsia="標楷體" w:cs="標楷體" w:hint="eastAsia"/>
                <w:noProof/>
                <w:color w:val="auto"/>
                <w:sz w:val="28"/>
                <w:szCs w:val="28"/>
                <w:u w:val="none"/>
              </w:rPr>
              <w:t>新台幣計價香港股票期貨之經濟效益與公共利益</w:t>
            </w:r>
          </w:p>
          <w:p w:rsidR="00FE004E" w:rsidRPr="00765DBB" w:rsidRDefault="00FE004E" w:rsidP="00E47935">
            <w:pPr>
              <w:widowControl/>
              <w:numPr>
                <w:ilvl w:val="0"/>
                <w:numId w:val="11"/>
              </w:numPr>
              <w:adjustRightInd w:val="0"/>
              <w:snapToGrid w:val="0"/>
              <w:spacing w:line="480" w:lineRule="exact"/>
              <w:ind w:rightChars="50" w:right="120"/>
              <w:rPr>
                <w:rStyle w:val="ac"/>
                <w:rFonts w:eastAsia="標楷體"/>
                <w:noProof/>
                <w:color w:val="auto"/>
                <w:sz w:val="28"/>
                <w:szCs w:val="28"/>
                <w:u w:val="none"/>
              </w:rPr>
            </w:pPr>
            <w:r w:rsidRPr="00765DBB">
              <w:rPr>
                <w:rStyle w:val="ac"/>
                <w:rFonts w:eastAsia="標楷體" w:cs="標楷體" w:hint="eastAsia"/>
                <w:noProof/>
                <w:color w:val="auto"/>
                <w:sz w:val="28"/>
                <w:szCs w:val="28"/>
                <w:u w:val="none"/>
              </w:rPr>
              <w:t>新台幣計價香港股票期貨上市之可行性評估</w:t>
            </w:r>
          </w:p>
          <w:p w:rsidR="00FE004E" w:rsidRPr="00765DBB" w:rsidRDefault="00FE004E" w:rsidP="00E47935">
            <w:pPr>
              <w:widowControl/>
              <w:numPr>
                <w:ilvl w:val="0"/>
                <w:numId w:val="11"/>
              </w:numPr>
              <w:adjustRightInd w:val="0"/>
              <w:snapToGrid w:val="0"/>
              <w:spacing w:line="480" w:lineRule="exact"/>
              <w:ind w:rightChars="50" w:right="120"/>
              <w:rPr>
                <w:rFonts w:eastAsia="標楷體"/>
                <w:sz w:val="28"/>
                <w:szCs w:val="28"/>
              </w:rPr>
            </w:pPr>
            <w:r w:rsidRPr="00765DBB">
              <w:rPr>
                <w:rFonts w:eastAsia="標楷體" w:cs="標楷體" w:hint="eastAsia"/>
                <w:sz w:val="28"/>
                <w:szCs w:val="28"/>
              </w:rPr>
              <w:t>結論與建議</w:t>
            </w:r>
          </w:p>
          <w:p w:rsidR="00FE004E" w:rsidRPr="00765DBB" w:rsidRDefault="00FE004E" w:rsidP="00E47935">
            <w:pPr>
              <w:widowControl/>
              <w:adjustRightInd w:val="0"/>
              <w:snapToGrid w:val="0"/>
              <w:spacing w:line="480" w:lineRule="exact"/>
              <w:ind w:rightChars="50" w:right="120"/>
              <w:rPr>
                <w:rFonts w:eastAsia="標楷體"/>
                <w:sz w:val="28"/>
                <w:szCs w:val="28"/>
              </w:rPr>
            </w:pPr>
            <w:r w:rsidRPr="00765DBB">
              <w:rPr>
                <w:rFonts w:eastAsia="標楷體" w:cs="標楷體" w:hint="eastAsia"/>
                <w:sz w:val="28"/>
                <w:szCs w:val="28"/>
              </w:rPr>
              <w:t>貳、結論與建議事項</w:t>
            </w:r>
          </w:p>
          <w:p w:rsidR="00FE004E" w:rsidRPr="00765DBB" w:rsidRDefault="00FE004E" w:rsidP="00E47935">
            <w:pPr>
              <w:spacing w:line="500" w:lineRule="exact"/>
              <w:ind w:left="538" w:hangingChars="192" w:hanging="538"/>
              <w:jc w:val="both"/>
              <w:rPr>
                <w:rFonts w:eastAsia="標楷體"/>
                <w:sz w:val="28"/>
                <w:szCs w:val="28"/>
              </w:rPr>
            </w:pPr>
            <w:r w:rsidRPr="00765DBB">
              <w:rPr>
                <w:rFonts w:eastAsia="標楷體" w:cs="標楷體" w:hint="eastAsia"/>
                <w:sz w:val="28"/>
                <w:szCs w:val="28"/>
              </w:rPr>
              <w:t>一、</w:t>
            </w:r>
            <w:r w:rsidRPr="00765DBB">
              <w:rPr>
                <w:rFonts w:eastAsia="標楷體"/>
                <w:sz w:val="28"/>
                <w:szCs w:val="28"/>
              </w:rPr>
              <w:t>2013</w:t>
            </w:r>
            <w:r w:rsidRPr="00765DBB">
              <w:rPr>
                <w:rFonts w:eastAsia="標楷體" w:cs="標楷體" w:hint="eastAsia"/>
                <w:sz w:val="28"/>
                <w:szCs w:val="28"/>
              </w:rPr>
              <w:t>年股票期貨交易</w:t>
            </w:r>
            <w:proofErr w:type="gramStart"/>
            <w:r w:rsidRPr="00765DBB">
              <w:rPr>
                <w:rFonts w:eastAsia="標楷體" w:cs="標楷體" w:hint="eastAsia"/>
                <w:sz w:val="28"/>
                <w:szCs w:val="28"/>
              </w:rPr>
              <w:t>日均量已</w:t>
            </w:r>
            <w:proofErr w:type="gramEnd"/>
            <w:r w:rsidRPr="00765DBB">
              <w:rPr>
                <w:rFonts w:eastAsia="標楷體" w:cs="標楷體" w:hint="eastAsia"/>
                <w:sz w:val="28"/>
                <w:szCs w:val="28"/>
              </w:rPr>
              <w:t>達</w:t>
            </w:r>
            <w:r w:rsidRPr="00765DBB">
              <w:rPr>
                <w:rFonts w:eastAsia="標楷體"/>
                <w:sz w:val="28"/>
                <w:szCs w:val="28"/>
              </w:rPr>
              <w:t>22,000</w:t>
            </w:r>
            <w:r w:rsidRPr="00765DBB">
              <w:rPr>
                <w:rFonts w:eastAsia="標楷體" w:cs="標楷體" w:hint="eastAsia"/>
                <w:sz w:val="28"/>
                <w:szCs w:val="28"/>
              </w:rPr>
              <w:t>口，雖僅占整體期貨市場交易比重</w:t>
            </w:r>
            <w:r w:rsidRPr="00765DBB">
              <w:rPr>
                <w:rFonts w:eastAsia="標楷體"/>
                <w:sz w:val="28"/>
                <w:szCs w:val="28"/>
              </w:rPr>
              <w:t>3.5%</w:t>
            </w:r>
            <w:r w:rsidRPr="00765DBB">
              <w:rPr>
                <w:rFonts w:eastAsia="標楷體" w:cs="標楷體" w:hint="eastAsia"/>
                <w:sz w:val="28"/>
                <w:szCs w:val="28"/>
              </w:rPr>
              <w:t>，本公司陸續推動各項改革措施，並積極推廣股票期貨，未來交易量可望穩步成長，有機會成為臺灣期貨市場的主力商品之</w:t>
            </w:r>
            <w:proofErr w:type="gramStart"/>
            <w:r w:rsidRPr="00765DBB">
              <w:rPr>
                <w:rFonts w:eastAsia="標楷體" w:cs="標楷體" w:hint="eastAsia"/>
                <w:sz w:val="28"/>
                <w:szCs w:val="28"/>
              </w:rPr>
              <w:t>一</w:t>
            </w:r>
            <w:proofErr w:type="gramEnd"/>
            <w:r w:rsidRPr="00765DBB">
              <w:rPr>
                <w:rFonts w:eastAsia="標楷體" w:cs="標楷體" w:hint="eastAsia"/>
                <w:sz w:val="28"/>
                <w:szCs w:val="28"/>
              </w:rPr>
              <w:t>。</w:t>
            </w:r>
          </w:p>
          <w:p w:rsidR="00FE004E" w:rsidRPr="00765DBB" w:rsidRDefault="00FE004E" w:rsidP="00E47935">
            <w:pPr>
              <w:spacing w:line="500" w:lineRule="exact"/>
              <w:ind w:left="538" w:hangingChars="192" w:hanging="538"/>
              <w:jc w:val="both"/>
              <w:rPr>
                <w:rFonts w:eastAsia="標楷體"/>
                <w:sz w:val="28"/>
                <w:szCs w:val="28"/>
              </w:rPr>
            </w:pPr>
            <w:r w:rsidRPr="00765DBB">
              <w:rPr>
                <w:rFonts w:eastAsia="標楷體" w:cs="標楷體" w:hint="eastAsia"/>
                <w:sz w:val="28"/>
                <w:szCs w:val="28"/>
              </w:rPr>
              <w:t>二、另我國交易人投資香港股票之交易金額達相當規模，且具成長趨勢，具有潛在之避險需求。本公司若</w:t>
            </w:r>
            <w:r>
              <w:rPr>
                <w:rFonts w:eastAsia="標楷體" w:cs="標楷體" w:hint="eastAsia"/>
                <w:sz w:val="28"/>
                <w:szCs w:val="28"/>
              </w:rPr>
              <w:t>推出</w:t>
            </w:r>
            <w:r w:rsidRPr="00765DBB">
              <w:rPr>
                <w:rFonts w:eastAsia="標楷體" w:cs="標楷體" w:hint="eastAsia"/>
                <w:sz w:val="28"/>
                <w:szCs w:val="28"/>
              </w:rPr>
              <w:t>新台幣計價之香港股票期貨，應可提供大中華地區股票投資人便利且交易成本低之交易與避險管道，增進其交易彈性及資金運用效率，使我國期貨市場商品線更加多元完整，並有助於提升我國期貨市場之國際化程度，顯見商品推出已具備相當之經濟效益及公共利益。</w:t>
            </w:r>
          </w:p>
          <w:p w:rsidR="00FE004E" w:rsidRPr="00765DBB" w:rsidRDefault="00FE004E" w:rsidP="00E47935">
            <w:pPr>
              <w:spacing w:line="500" w:lineRule="exact"/>
              <w:ind w:left="538" w:hangingChars="192" w:hanging="538"/>
              <w:jc w:val="both"/>
              <w:rPr>
                <w:rFonts w:eastAsia="標楷體"/>
                <w:sz w:val="28"/>
                <w:szCs w:val="28"/>
              </w:rPr>
            </w:pPr>
            <w:r w:rsidRPr="00765DBB">
              <w:rPr>
                <w:rFonts w:eastAsia="標楷體" w:cs="標楷體" w:hint="eastAsia"/>
                <w:sz w:val="28"/>
                <w:szCs w:val="28"/>
              </w:rPr>
              <w:t>三、我國金管會已於</w:t>
            </w:r>
            <w:r w:rsidRPr="00765DBB">
              <w:rPr>
                <w:rFonts w:eastAsia="標楷體"/>
                <w:sz w:val="28"/>
                <w:szCs w:val="28"/>
              </w:rPr>
              <w:t>2011</w:t>
            </w:r>
            <w:r w:rsidRPr="00765DBB">
              <w:rPr>
                <w:rFonts w:eastAsia="標楷體" w:cs="標楷體" w:hint="eastAsia"/>
                <w:sz w:val="28"/>
                <w:szCs w:val="28"/>
              </w:rPr>
              <w:t>年</w:t>
            </w:r>
            <w:r w:rsidRPr="00765DBB">
              <w:rPr>
                <w:rFonts w:eastAsia="標楷體"/>
                <w:sz w:val="28"/>
                <w:szCs w:val="28"/>
              </w:rPr>
              <w:t>3</w:t>
            </w:r>
            <w:r w:rsidRPr="00765DBB">
              <w:rPr>
                <w:rFonts w:eastAsia="標楷體" w:cs="標楷體" w:hint="eastAsia"/>
                <w:sz w:val="28"/>
                <w:szCs w:val="28"/>
              </w:rPr>
              <w:t>月</w:t>
            </w:r>
            <w:r w:rsidRPr="00765DBB">
              <w:rPr>
                <w:rFonts w:eastAsia="標楷體"/>
                <w:sz w:val="28"/>
                <w:szCs w:val="28"/>
              </w:rPr>
              <w:t>15</w:t>
            </w:r>
            <w:r w:rsidRPr="00765DBB">
              <w:rPr>
                <w:rFonts w:eastAsia="標楷體" w:cs="標楷體" w:hint="eastAsia"/>
                <w:sz w:val="28"/>
                <w:szCs w:val="28"/>
              </w:rPr>
              <w:t>日簽署國際證券管理機構組織諮商、合作與資訊交換多邊瞭解備忘錄（</w:t>
            </w:r>
            <w:r w:rsidRPr="00765DBB">
              <w:rPr>
                <w:rFonts w:eastAsia="標楷體"/>
                <w:sz w:val="28"/>
                <w:szCs w:val="28"/>
              </w:rPr>
              <w:t xml:space="preserve">IOSCO </w:t>
            </w:r>
            <w:proofErr w:type="spellStart"/>
            <w:r w:rsidRPr="00765DBB">
              <w:rPr>
                <w:rFonts w:eastAsia="標楷體"/>
                <w:sz w:val="28"/>
                <w:szCs w:val="28"/>
              </w:rPr>
              <w:t>MMoU</w:t>
            </w:r>
            <w:proofErr w:type="spellEnd"/>
            <w:r w:rsidRPr="00765DBB">
              <w:rPr>
                <w:rFonts w:eastAsia="標楷體" w:cs="標楷體" w:hint="eastAsia"/>
                <w:sz w:val="28"/>
                <w:szCs w:val="28"/>
              </w:rPr>
              <w:t>），簽署</w:t>
            </w:r>
            <w:proofErr w:type="gramStart"/>
            <w:r w:rsidRPr="00765DBB">
              <w:rPr>
                <w:rFonts w:eastAsia="標楷體" w:cs="標楷體" w:hint="eastAsia"/>
                <w:sz w:val="28"/>
                <w:szCs w:val="28"/>
              </w:rPr>
              <w:t>會員間能依法</w:t>
            </w:r>
            <w:proofErr w:type="gramEnd"/>
            <w:r w:rsidRPr="00765DBB">
              <w:rPr>
                <w:rFonts w:eastAsia="標楷體" w:cs="標楷體" w:hint="eastAsia"/>
                <w:sz w:val="28"/>
                <w:szCs w:val="28"/>
              </w:rPr>
              <w:t>進行資訊交換、協助調查等</w:t>
            </w:r>
            <w:proofErr w:type="gramStart"/>
            <w:r w:rsidRPr="00765DBB">
              <w:rPr>
                <w:rFonts w:eastAsia="標楷體" w:cs="標楷體" w:hint="eastAsia"/>
                <w:sz w:val="28"/>
                <w:szCs w:val="28"/>
              </w:rPr>
              <w:t>跨境監理合</w:t>
            </w:r>
            <w:proofErr w:type="gramEnd"/>
            <w:r w:rsidRPr="00765DBB">
              <w:rPr>
                <w:rFonts w:eastAsia="標楷體" w:cs="標楷體" w:hint="eastAsia"/>
                <w:sz w:val="28"/>
                <w:szCs w:val="28"/>
              </w:rPr>
              <w:t>作，香港議亦為簽署會員，本公司如以香港交易所掛牌股票作為股票期貨標的證券，亦可取得相關監理資訊。至於標的證券遴選標準，除將</w:t>
            </w:r>
            <w:r>
              <w:rPr>
                <w:rFonts w:eastAsia="標楷體" w:cs="標楷體" w:hint="eastAsia"/>
                <w:sz w:val="28"/>
                <w:szCs w:val="28"/>
              </w:rPr>
              <w:t>認購</w:t>
            </w:r>
            <w:r>
              <w:rPr>
                <w:rFonts w:eastAsia="標楷體"/>
                <w:sz w:val="28"/>
                <w:szCs w:val="28"/>
              </w:rPr>
              <w:t>(</w:t>
            </w:r>
            <w:r>
              <w:rPr>
                <w:rFonts w:eastAsia="標楷體" w:cs="標楷體" w:hint="eastAsia"/>
                <w:sz w:val="28"/>
                <w:szCs w:val="28"/>
              </w:rPr>
              <w:t>售</w:t>
            </w:r>
            <w:r>
              <w:rPr>
                <w:rFonts w:eastAsia="標楷體"/>
                <w:sz w:val="28"/>
                <w:szCs w:val="28"/>
              </w:rPr>
              <w:t>)</w:t>
            </w:r>
            <w:r w:rsidRPr="00765DBB">
              <w:rPr>
                <w:rFonts w:eastAsia="標楷體" w:cs="標楷體" w:hint="eastAsia"/>
                <w:sz w:val="28"/>
                <w:szCs w:val="28"/>
              </w:rPr>
              <w:t>權證</w:t>
            </w:r>
            <w:r>
              <w:rPr>
                <w:rFonts w:eastAsia="標楷體" w:cs="標楷體" w:hint="eastAsia"/>
                <w:sz w:val="28"/>
                <w:szCs w:val="28"/>
              </w:rPr>
              <w:t>連結國外標的之</w:t>
            </w:r>
            <w:r w:rsidRPr="00765DBB">
              <w:rPr>
                <w:rFonts w:eastAsia="標楷體" w:cs="標楷體" w:hint="eastAsia"/>
                <w:sz w:val="28"/>
                <w:szCs w:val="28"/>
              </w:rPr>
              <w:t>市值及交易量標準納</w:t>
            </w:r>
            <w:r w:rsidRPr="00765DBB">
              <w:rPr>
                <w:rFonts w:eastAsia="標楷體" w:cs="標楷體" w:hint="eastAsia"/>
                <w:sz w:val="28"/>
                <w:szCs w:val="28"/>
              </w:rPr>
              <w:lastRenderedPageBreak/>
              <w:t>入外，建議將現行國內標的證券遴選標準</w:t>
            </w:r>
            <w:r>
              <w:rPr>
                <w:rFonts w:eastAsia="標楷體"/>
                <w:sz w:val="28"/>
                <w:szCs w:val="28"/>
              </w:rPr>
              <w:t>(</w:t>
            </w:r>
            <w:r w:rsidRPr="00765DBB">
              <w:rPr>
                <w:rFonts w:eastAsia="標楷體" w:cs="標楷體" w:hint="eastAsia"/>
                <w:sz w:val="28"/>
                <w:szCs w:val="28"/>
              </w:rPr>
              <w:t>如財務狀況、變更交易或停止買賣、暫停融資融券交易等</w:t>
            </w:r>
            <w:r>
              <w:rPr>
                <w:rFonts w:eastAsia="標楷體"/>
                <w:sz w:val="28"/>
                <w:szCs w:val="28"/>
              </w:rPr>
              <w:t>)</w:t>
            </w:r>
            <w:r>
              <w:rPr>
                <w:rFonts w:eastAsia="標楷體" w:cs="標楷體" w:hint="eastAsia"/>
                <w:sz w:val="28"/>
                <w:szCs w:val="28"/>
              </w:rPr>
              <w:t>一併</w:t>
            </w:r>
            <w:r w:rsidRPr="00765DBB">
              <w:rPr>
                <w:rFonts w:eastAsia="標楷體" w:cs="標楷體" w:hint="eastAsia"/>
                <w:sz w:val="28"/>
                <w:szCs w:val="28"/>
              </w:rPr>
              <w:t>納入選股標準，亦即香港標的證券仍須符合最近期</w:t>
            </w:r>
            <w:proofErr w:type="gramStart"/>
            <w:r w:rsidRPr="00765DBB">
              <w:rPr>
                <w:rFonts w:eastAsia="標楷體" w:cs="標楷體" w:hint="eastAsia"/>
                <w:sz w:val="28"/>
                <w:szCs w:val="28"/>
              </w:rPr>
              <w:t>財報無虧損</w:t>
            </w:r>
            <w:proofErr w:type="gramEnd"/>
            <w:r w:rsidRPr="00765DBB">
              <w:rPr>
                <w:rFonts w:eastAsia="標楷體" w:cs="標楷體" w:hint="eastAsia"/>
                <w:sz w:val="28"/>
                <w:szCs w:val="28"/>
              </w:rPr>
              <w:t>或最近期有虧損但無累積虧損、</w:t>
            </w:r>
            <w:r w:rsidRPr="00765DBB">
              <w:rPr>
                <w:rFonts w:eastAsia="標楷體"/>
                <w:sz w:val="28"/>
                <w:szCs w:val="28"/>
              </w:rPr>
              <w:t>1</w:t>
            </w:r>
            <w:r w:rsidRPr="00765DBB">
              <w:rPr>
                <w:rFonts w:eastAsia="標楷體" w:cs="標楷體" w:hint="eastAsia"/>
                <w:sz w:val="28"/>
                <w:szCs w:val="28"/>
              </w:rPr>
              <w:t>年內未曾暫停交易或停止買賣、香港交易所公告得為借</w:t>
            </w:r>
            <w:proofErr w:type="gramStart"/>
            <w:r w:rsidRPr="00765DBB">
              <w:rPr>
                <w:rFonts w:eastAsia="標楷體" w:cs="標楷體" w:hint="eastAsia"/>
                <w:sz w:val="28"/>
                <w:szCs w:val="28"/>
              </w:rPr>
              <w:t>券</w:t>
            </w:r>
            <w:proofErr w:type="gramEnd"/>
            <w:r w:rsidRPr="00765DBB">
              <w:rPr>
                <w:rFonts w:eastAsia="標楷體" w:cs="標楷體" w:hint="eastAsia"/>
                <w:sz w:val="28"/>
                <w:szCs w:val="28"/>
              </w:rPr>
              <w:t>放空之標的等標準。</w:t>
            </w:r>
          </w:p>
          <w:p w:rsidR="00FE004E" w:rsidRPr="00765DBB" w:rsidRDefault="00FE004E" w:rsidP="00E47935">
            <w:pPr>
              <w:spacing w:line="500" w:lineRule="exact"/>
              <w:ind w:left="538" w:hangingChars="192" w:hanging="538"/>
              <w:jc w:val="both"/>
              <w:rPr>
                <w:rFonts w:eastAsia="標楷體"/>
                <w:sz w:val="28"/>
                <w:szCs w:val="28"/>
              </w:rPr>
            </w:pPr>
            <w:r w:rsidRPr="00765DBB">
              <w:rPr>
                <w:rFonts w:eastAsia="標楷體" w:cs="標楷體" w:hint="eastAsia"/>
                <w:sz w:val="28"/>
                <w:szCs w:val="28"/>
              </w:rPr>
              <w:t>四、基於市場熟悉程度及交易需求等因素之考量，受訪期貨經紀業者建議台資企業概念股、香港藍籌股作為優先之掛牌標的；期貨造市</w:t>
            </w:r>
            <w:r>
              <w:rPr>
                <w:rFonts w:eastAsia="標楷體" w:cs="標楷體" w:hint="eastAsia"/>
                <w:sz w:val="28"/>
                <w:szCs w:val="28"/>
              </w:rPr>
              <w:t>者</w:t>
            </w:r>
            <w:r w:rsidRPr="00765DBB">
              <w:rPr>
                <w:rFonts w:eastAsia="標楷體" w:cs="標楷體" w:hint="eastAsia"/>
                <w:sz w:val="28"/>
                <w:szCs w:val="28"/>
              </w:rPr>
              <w:t>考量標的具備國際知名度、市場代表性，或與我國產業相關的股票等特性，建議初期可先推出國人較熟悉且具香港藍籌股身分之台資企業股</w:t>
            </w:r>
            <w:r w:rsidRPr="00765DBB">
              <w:rPr>
                <w:rFonts w:eastAsia="標楷體"/>
                <w:sz w:val="28"/>
                <w:szCs w:val="28"/>
              </w:rPr>
              <w:t>(</w:t>
            </w:r>
            <w:r w:rsidRPr="00765DBB">
              <w:rPr>
                <w:rFonts w:eastAsia="標楷體" w:cs="標楷體" w:hint="eastAsia"/>
                <w:sz w:val="28"/>
                <w:szCs w:val="28"/>
              </w:rPr>
              <w:t>如中國旺</w:t>
            </w:r>
            <w:proofErr w:type="gramStart"/>
            <w:r w:rsidRPr="00765DBB">
              <w:rPr>
                <w:rFonts w:eastAsia="標楷體" w:cs="標楷體" w:hint="eastAsia"/>
                <w:sz w:val="28"/>
                <w:szCs w:val="28"/>
              </w:rPr>
              <w:t>旺</w:t>
            </w:r>
            <w:proofErr w:type="gramEnd"/>
            <w:r w:rsidRPr="00765DBB">
              <w:rPr>
                <w:rFonts w:eastAsia="標楷體" w:cs="標楷體" w:hint="eastAsia"/>
                <w:sz w:val="28"/>
                <w:szCs w:val="28"/>
              </w:rPr>
              <w:t>、康師傅等</w:t>
            </w:r>
            <w:r w:rsidRPr="00765DBB">
              <w:rPr>
                <w:rFonts w:eastAsia="標楷體"/>
                <w:sz w:val="28"/>
                <w:szCs w:val="28"/>
              </w:rPr>
              <w:t>)</w:t>
            </w:r>
            <w:r w:rsidRPr="00765DBB">
              <w:rPr>
                <w:rFonts w:eastAsia="標楷體" w:cs="標楷體" w:hint="eastAsia"/>
                <w:sz w:val="28"/>
                <w:szCs w:val="28"/>
              </w:rPr>
              <w:t>或知名台資企業概念股</w:t>
            </w:r>
            <w:r w:rsidRPr="00765DBB">
              <w:rPr>
                <w:rFonts w:eastAsia="標楷體"/>
                <w:sz w:val="28"/>
                <w:szCs w:val="28"/>
              </w:rPr>
              <w:t>(</w:t>
            </w:r>
            <w:r w:rsidRPr="00765DBB">
              <w:rPr>
                <w:rFonts w:eastAsia="標楷體" w:cs="標楷體" w:hint="eastAsia"/>
                <w:sz w:val="28"/>
                <w:szCs w:val="28"/>
              </w:rPr>
              <w:t>如統一中國、高鑫零售、富士康國際</w:t>
            </w:r>
            <w:r w:rsidRPr="00765DBB">
              <w:rPr>
                <w:rFonts w:eastAsia="標楷體"/>
                <w:sz w:val="28"/>
                <w:szCs w:val="28"/>
              </w:rPr>
              <w:t>)</w:t>
            </w:r>
            <w:r w:rsidRPr="00765DBB">
              <w:rPr>
                <w:rFonts w:eastAsia="標楷體" w:cs="標楷體" w:hint="eastAsia"/>
                <w:sz w:val="28"/>
                <w:szCs w:val="28"/>
              </w:rPr>
              <w:t>。倘國內推出香港股票期貨商品，前揭業者建議香港股票似可作為本公司進行標的證券評選時之參考，並審慎利用前揭建議選股標準，評估掛牌之香港標的證券。</w:t>
            </w:r>
          </w:p>
          <w:p w:rsidR="00FE004E" w:rsidRDefault="00FE004E" w:rsidP="00E47935">
            <w:pPr>
              <w:spacing w:before="48" w:line="500" w:lineRule="exact"/>
              <w:ind w:left="538" w:hangingChars="192" w:hanging="538"/>
              <w:jc w:val="both"/>
              <w:rPr>
                <w:rFonts w:eastAsia="標楷體"/>
                <w:sz w:val="28"/>
                <w:szCs w:val="28"/>
              </w:rPr>
            </w:pPr>
            <w:r w:rsidRPr="00926489">
              <w:rPr>
                <w:rFonts w:eastAsia="標楷體" w:cs="標楷體" w:hint="eastAsia"/>
                <w:sz w:val="28"/>
                <w:szCs w:val="28"/>
              </w:rPr>
              <w:t>五、目前受訪</w:t>
            </w:r>
            <w:r>
              <w:rPr>
                <w:rFonts w:eastAsia="標楷體" w:cs="標楷體" w:hint="eastAsia"/>
                <w:sz w:val="28"/>
                <w:szCs w:val="28"/>
              </w:rPr>
              <w:t>期貨</w:t>
            </w:r>
            <w:r w:rsidRPr="00926489">
              <w:rPr>
                <w:rFonts w:eastAsia="標楷體" w:cs="標楷體" w:hint="eastAsia"/>
                <w:sz w:val="28"/>
                <w:szCs w:val="28"/>
              </w:rPr>
              <w:t>業者</w:t>
            </w:r>
            <w:r w:rsidRPr="00926489">
              <w:rPr>
                <w:rFonts w:eastAsia="標楷體"/>
                <w:sz w:val="28"/>
                <w:szCs w:val="28"/>
              </w:rPr>
              <w:t>(</w:t>
            </w:r>
            <w:r w:rsidRPr="00926489">
              <w:rPr>
                <w:rFonts w:eastAsia="標楷體" w:cs="標楷體" w:hint="eastAsia"/>
                <w:sz w:val="28"/>
                <w:szCs w:val="28"/>
              </w:rPr>
              <w:t>含經紀商</w:t>
            </w:r>
            <w:r>
              <w:rPr>
                <w:rFonts w:eastAsia="標楷體" w:cs="標楷體" w:hint="eastAsia"/>
                <w:sz w:val="28"/>
                <w:szCs w:val="28"/>
              </w:rPr>
              <w:t>及</w:t>
            </w:r>
            <w:r w:rsidRPr="00926489">
              <w:rPr>
                <w:rFonts w:eastAsia="標楷體" w:cs="標楷體" w:hint="eastAsia"/>
                <w:sz w:val="28"/>
                <w:szCs w:val="28"/>
              </w:rPr>
              <w:t>造市者</w:t>
            </w:r>
            <w:r w:rsidRPr="00926489">
              <w:rPr>
                <w:rFonts w:eastAsia="標楷體"/>
                <w:sz w:val="28"/>
                <w:szCs w:val="28"/>
              </w:rPr>
              <w:t>)</w:t>
            </w:r>
            <w:r w:rsidRPr="00926489">
              <w:rPr>
                <w:rFonts w:eastAsia="標楷體" w:cs="標楷體" w:hint="eastAsia"/>
                <w:sz w:val="28"/>
                <w:szCs w:val="28"/>
              </w:rPr>
              <w:t>雖有部分表示意願參與交易，惟現階段可能因國人對香港股票或國內個股期貨特性較不熟悉</w:t>
            </w:r>
            <w:r>
              <w:rPr>
                <w:rFonts w:eastAsia="標楷體" w:cs="標楷體" w:hint="eastAsia"/>
                <w:sz w:val="28"/>
                <w:szCs w:val="28"/>
              </w:rPr>
              <w:t>、加上港股資訊即時取得不如國內股票，且香港股票有市場透明度不足及資訊不對稱等風險</w:t>
            </w:r>
            <w:r w:rsidRPr="00926489">
              <w:rPr>
                <w:rFonts w:eastAsia="標楷體" w:cs="標楷體" w:hint="eastAsia"/>
                <w:sz w:val="28"/>
                <w:szCs w:val="28"/>
              </w:rPr>
              <w:t>，</w:t>
            </w:r>
            <w:r>
              <w:rPr>
                <w:rFonts w:eastAsia="標楷體" w:cs="標楷體" w:hint="eastAsia"/>
                <w:sz w:val="28"/>
                <w:szCs w:val="28"/>
              </w:rPr>
              <w:t>導致一般投資人</w:t>
            </w:r>
            <w:r w:rsidRPr="00926489">
              <w:rPr>
                <w:rFonts w:eastAsia="標楷體" w:cs="標楷體" w:hint="eastAsia"/>
                <w:sz w:val="28"/>
                <w:szCs w:val="28"/>
              </w:rPr>
              <w:t>參與</w:t>
            </w:r>
            <w:r>
              <w:rPr>
                <w:rFonts w:eastAsia="標楷體" w:cs="標楷體" w:hint="eastAsia"/>
                <w:sz w:val="28"/>
                <w:szCs w:val="28"/>
              </w:rPr>
              <w:t>本商品</w:t>
            </w:r>
            <w:r w:rsidRPr="00926489">
              <w:rPr>
                <w:rFonts w:eastAsia="標楷體" w:cs="標楷體" w:hint="eastAsia"/>
                <w:sz w:val="28"/>
                <w:szCs w:val="28"/>
              </w:rPr>
              <w:t>交易意願恐較不高</w:t>
            </w:r>
            <w:r>
              <w:rPr>
                <w:rFonts w:eastAsia="標楷體" w:cs="標楷體" w:hint="eastAsia"/>
                <w:sz w:val="28"/>
                <w:szCs w:val="28"/>
              </w:rPr>
              <w:t>。另投信與壽險業者亦表示，中國大陸或香港股票部位之避險操作，多以交易股價指數期貨為主，現階段尚無使用香港股票期貨進行避險之需求。</w:t>
            </w:r>
          </w:p>
          <w:p w:rsidR="00FE004E" w:rsidRDefault="00FE004E" w:rsidP="00E47935">
            <w:pPr>
              <w:spacing w:before="48" w:line="500" w:lineRule="exact"/>
              <w:ind w:left="538" w:hangingChars="192" w:hanging="538"/>
              <w:jc w:val="both"/>
              <w:rPr>
                <w:rFonts w:eastAsia="標楷體"/>
                <w:sz w:val="28"/>
                <w:szCs w:val="28"/>
              </w:rPr>
            </w:pPr>
            <w:r>
              <w:rPr>
                <w:rFonts w:eastAsia="標楷體" w:cs="標楷體" w:hint="eastAsia"/>
                <w:sz w:val="28"/>
                <w:szCs w:val="28"/>
              </w:rPr>
              <w:t>六、倘本公司規劃推出新臺幣計價香港股票期貨，則仍有</w:t>
            </w:r>
            <w:r w:rsidRPr="00926489">
              <w:rPr>
                <w:rFonts w:eastAsia="標楷體" w:cs="標楷體" w:hint="eastAsia"/>
                <w:sz w:val="28"/>
                <w:szCs w:val="28"/>
              </w:rPr>
              <w:t>收盤時間與香港</w:t>
            </w:r>
            <w:r>
              <w:rPr>
                <w:rFonts w:eastAsia="標楷體" w:cs="標楷體" w:hint="eastAsia"/>
                <w:sz w:val="28"/>
                <w:szCs w:val="28"/>
              </w:rPr>
              <w:t>交易所</w:t>
            </w:r>
            <w:r w:rsidRPr="00926489">
              <w:rPr>
                <w:rFonts w:eastAsia="標楷體" w:cs="標楷體" w:hint="eastAsia"/>
                <w:sz w:val="28"/>
                <w:szCs w:val="28"/>
              </w:rPr>
              <w:t>一致、造市者制度及</w:t>
            </w:r>
            <w:r>
              <w:rPr>
                <w:rFonts w:eastAsia="標楷體" w:cs="標楷體" w:hint="eastAsia"/>
                <w:sz w:val="28"/>
                <w:szCs w:val="28"/>
              </w:rPr>
              <w:t>香港</w:t>
            </w:r>
            <w:r w:rsidRPr="00926489">
              <w:rPr>
                <w:rFonts w:eastAsia="標楷體" w:cs="標楷體" w:hint="eastAsia"/>
                <w:sz w:val="28"/>
                <w:szCs w:val="28"/>
              </w:rPr>
              <w:t>股</w:t>
            </w:r>
            <w:r>
              <w:rPr>
                <w:rFonts w:eastAsia="標楷體" w:cs="標楷體" w:hint="eastAsia"/>
                <w:sz w:val="28"/>
                <w:szCs w:val="28"/>
              </w:rPr>
              <w:t>票</w:t>
            </w:r>
            <w:r w:rsidRPr="00926489">
              <w:rPr>
                <w:rFonts w:eastAsia="標楷體" w:cs="標楷體" w:hint="eastAsia"/>
                <w:sz w:val="28"/>
                <w:szCs w:val="28"/>
              </w:rPr>
              <w:t>即時資訊等項</w:t>
            </w:r>
            <w:r>
              <w:rPr>
                <w:rFonts w:eastAsia="標楷體" w:cs="標楷體" w:hint="eastAsia"/>
                <w:sz w:val="28"/>
                <w:szCs w:val="28"/>
              </w:rPr>
              <w:t>配套措施課題。</w:t>
            </w:r>
            <w:r w:rsidRPr="00926489">
              <w:rPr>
                <w:rFonts w:eastAsia="標楷體" w:cs="標楷體" w:hint="eastAsia"/>
                <w:sz w:val="28"/>
                <w:szCs w:val="28"/>
              </w:rPr>
              <w:t>目前國內現階段股票市場及期貨市場</w:t>
            </w:r>
            <w:r>
              <w:rPr>
                <w:rFonts w:eastAsia="標楷體" w:cs="標楷體" w:hint="eastAsia"/>
                <w:sz w:val="28"/>
                <w:szCs w:val="28"/>
              </w:rPr>
              <w:t>僅</w:t>
            </w:r>
            <w:r w:rsidRPr="00926489">
              <w:rPr>
                <w:rFonts w:eastAsia="標楷體" w:cs="標楷體" w:hint="eastAsia"/>
                <w:sz w:val="28"/>
                <w:szCs w:val="28"/>
              </w:rPr>
              <w:t>交易</w:t>
            </w:r>
            <w:r>
              <w:rPr>
                <w:rFonts w:eastAsia="標楷體" w:cs="標楷體" w:hint="eastAsia"/>
                <w:sz w:val="28"/>
                <w:szCs w:val="28"/>
              </w:rPr>
              <w:t>至下午</w:t>
            </w:r>
            <w:r>
              <w:rPr>
                <w:rFonts w:eastAsia="標楷體"/>
                <w:sz w:val="28"/>
                <w:szCs w:val="28"/>
              </w:rPr>
              <w:t>1</w:t>
            </w:r>
            <w:r>
              <w:rPr>
                <w:rFonts w:eastAsia="標楷體" w:cs="標楷體" w:hint="eastAsia"/>
                <w:sz w:val="28"/>
                <w:szCs w:val="28"/>
              </w:rPr>
              <w:t>點</w:t>
            </w:r>
            <w:r>
              <w:rPr>
                <w:rFonts w:eastAsia="標楷體"/>
                <w:sz w:val="28"/>
                <w:szCs w:val="28"/>
              </w:rPr>
              <w:t>30</w:t>
            </w:r>
            <w:r>
              <w:rPr>
                <w:rFonts w:eastAsia="標楷體" w:cs="標楷體" w:hint="eastAsia"/>
                <w:sz w:val="28"/>
                <w:szCs w:val="28"/>
              </w:rPr>
              <w:t>分及</w:t>
            </w:r>
            <w:r>
              <w:rPr>
                <w:rFonts w:eastAsia="標楷體"/>
                <w:sz w:val="28"/>
                <w:szCs w:val="28"/>
              </w:rPr>
              <w:t>1</w:t>
            </w:r>
            <w:r>
              <w:rPr>
                <w:rFonts w:eastAsia="標楷體" w:cs="標楷體" w:hint="eastAsia"/>
                <w:sz w:val="28"/>
                <w:szCs w:val="28"/>
              </w:rPr>
              <w:t>點</w:t>
            </w:r>
            <w:r>
              <w:rPr>
                <w:rFonts w:eastAsia="標楷體"/>
                <w:sz w:val="28"/>
                <w:szCs w:val="28"/>
              </w:rPr>
              <w:t>45</w:t>
            </w:r>
            <w:r>
              <w:rPr>
                <w:rFonts w:eastAsia="標楷體" w:cs="標楷體" w:hint="eastAsia"/>
                <w:sz w:val="28"/>
                <w:szCs w:val="28"/>
              </w:rPr>
              <w:t>分，較香港市場早收盤；且</w:t>
            </w:r>
            <w:proofErr w:type="gramStart"/>
            <w:r>
              <w:rPr>
                <w:rFonts w:eastAsia="標楷體" w:cs="標楷體" w:hint="eastAsia"/>
                <w:sz w:val="28"/>
                <w:szCs w:val="28"/>
              </w:rPr>
              <w:t>國內造</w:t>
            </w:r>
            <w:proofErr w:type="gramEnd"/>
            <w:r>
              <w:rPr>
                <w:rFonts w:eastAsia="標楷體" w:cs="標楷體" w:hint="eastAsia"/>
                <w:sz w:val="28"/>
                <w:szCs w:val="28"/>
              </w:rPr>
              <w:t>市者從事新臺幣計價</w:t>
            </w:r>
            <w:r w:rsidRPr="00926489">
              <w:rPr>
                <w:rFonts w:eastAsia="標楷體" w:cs="標楷體" w:hint="eastAsia"/>
                <w:sz w:val="28"/>
                <w:szCs w:val="28"/>
              </w:rPr>
              <w:t>香港股票期貨之</w:t>
            </w:r>
            <w:proofErr w:type="gramStart"/>
            <w:r w:rsidRPr="00926489">
              <w:rPr>
                <w:rFonts w:eastAsia="標楷體" w:cs="標楷體" w:hint="eastAsia"/>
                <w:sz w:val="28"/>
                <w:szCs w:val="28"/>
              </w:rPr>
              <w:t>造市避險</w:t>
            </w:r>
            <w:proofErr w:type="gramEnd"/>
            <w:r w:rsidRPr="00926489">
              <w:rPr>
                <w:rFonts w:eastAsia="標楷體" w:cs="標楷體" w:hint="eastAsia"/>
                <w:sz w:val="28"/>
                <w:szCs w:val="28"/>
              </w:rPr>
              <w:t>限制</w:t>
            </w:r>
            <w:r>
              <w:rPr>
                <w:rFonts w:eastAsia="標楷體"/>
                <w:sz w:val="28"/>
                <w:szCs w:val="28"/>
              </w:rPr>
              <w:t>(</w:t>
            </w:r>
            <w:r>
              <w:rPr>
                <w:rFonts w:eastAsia="標楷體" w:cs="標楷體" w:hint="eastAsia"/>
                <w:sz w:val="28"/>
                <w:szCs w:val="28"/>
              </w:rPr>
              <w:t>如證券商無法從事香港股票融券放空交易、無法至香港交易所從事借</w:t>
            </w:r>
            <w:proofErr w:type="gramStart"/>
            <w:r>
              <w:rPr>
                <w:rFonts w:eastAsia="標楷體" w:cs="標楷體" w:hint="eastAsia"/>
                <w:sz w:val="28"/>
                <w:szCs w:val="28"/>
              </w:rPr>
              <w:t>券</w:t>
            </w:r>
            <w:proofErr w:type="gramEnd"/>
            <w:r>
              <w:rPr>
                <w:rFonts w:eastAsia="標楷體" w:cs="標楷體" w:hint="eastAsia"/>
                <w:sz w:val="28"/>
                <w:szCs w:val="28"/>
              </w:rPr>
              <w:t>交易等</w:t>
            </w:r>
            <w:r>
              <w:rPr>
                <w:rFonts w:eastAsia="標楷體"/>
                <w:sz w:val="28"/>
                <w:szCs w:val="28"/>
              </w:rPr>
              <w:t>)</w:t>
            </w:r>
            <w:r w:rsidRPr="00926489">
              <w:rPr>
                <w:rFonts w:eastAsia="標楷體" w:cs="標楷體" w:hint="eastAsia"/>
                <w:sz w:val="28"/>
                <w:szCs w:val="28"/>
              </w:rPr>
              <w:t>仍多，不利提高造市者參與意願；另</w:t>
            </w:r>
            <w:r>
              <w:rPr>
                <w:rFonts w:eastAsia="標楷體" w:cs="標楷體" w:hint="eastAsia"/>
                <w:sz w:val="28"/>
                <w:szCs w:val="28"/>
              </w:rPr>
              <w:t>為獲取即時香港股票成交行情及標的證券重大訊息，</w:t>
            </w:r>
            <w:r w:rsidRPr="00926489">
              <w:rPr>
                <w:rFonts w:eastAsia="標楷體" w:cs="標楷體" w:hint="eastAsia"/>
                <w:sz w:val="28"/>
                <w:szCs w:val="28"/>
              </w:rPr>
              <w:t>本公司每月約須</w:t>
            </w:r>
            <w:r>
              <w:rPr>
                <w:rFonts w:eastAsia="標楷體" w:cs="標楷體" w:hint="eastAsia"/>
                <w:sz w:val="28"/>
                <w:szCs w:val="28"/>
              </w:rPr>
              <w:t>負擔資訊費用，期貨商仍須承擔系統改版成本</w:t>
            </w:r>
            <w:r w:rsidRPr="00926489">
              <w:rPr>
                <w:rFonts w:eastAsia="標楷體" w:cs="標楷體" w:hint="eastAsia"/>
                <w:sz w:val="28"/>
                <w:szCs w:val="28"/>
              </w:rPr>
              <w:t>。</w:t>
            </w:r>
          </w:p>
          <w:p w:rsidR="00FE004E" w:rsidRDefault="00FE004E" w:rsidP="00E47935">
            <w:pPr>
              <w:spacing w:before="48" w:line="500" w:lineRule="exact"/>
              <w:ind w:left="538" w:hangingChars="192" w:hanging="538"/>
              <w:jc w:val="both"/>
              <w:rPr>
                <w:rFonts w:eastAsia="標楷體"/>
                <w:sz w:val="28"/>
                <w:szCs w:val="28"/>
              </w:rPr>
            </w:pPr>
            <w:r>
              <w:rPr>
                <w:rFonts w:eastAsia="標楷體" w:cs="標楷體" w:hint="eastAsia"/>
                <w:sz w:val="28"/>
                <w:szCs w:val="28"/>
              </w:rPr>
              <w:t>七、另香港股票市場與國內股票市場不盡相同，現階段倘規劃推出本商品，相關配套</w:t>
            </w:r>
            <w:proofErr w:type="gramStart"/>
            <w:r>
              <w:rPr>
                <w:rFonts w:eastAsia="標楷體" w:cs="標楷體" w:hint="eastAsia"/>
                <w:sz w:val="28"/>
                <w:szCs w:val="28"/>
              </w:rPr>
              <w:t>措</w:t>
            </w:r>
            <w:proofErr w:type="gramEnd"/>
            <w:r>
              <w:rPr>
                <w:rFonts w:eastAsia="標楷體" w:cs="標楷體" w:hint="eastAsia"/>
                <w:sz w:val="28"/>
                <w:szCs w:val="28"/>
              </w:rPr>
              <w:t>除前</w:t>
            </w:r>
            <w:proofErr w:type="gramStart"/>
            <w:r>
              <w:rPr>
                <w:rFonts w:eastAsia="標楷體" w:cs="標楷體" w:hint="eastAsia"/>
                <w:sz w:val="28"/>
                <w:szCs w:val="28"/>
              </w:rPr>
              <w:t>揭造市避</w:t>
            </w:r>
            <w:proofErr w:type="gramEnd"/>
            <w:r>
              <w:rPr>
                <w:rFonts w:eastAsia="標楷體" w:cs="標楷體" w:hint="eastAsia"/>
                <w:sz w:val="28"/>
                <w:szCs w:val="28"/>
              </w:rPr>
              <w:t>險限制須予以放寬外，本商品漲跌幅限制亦應放寬</w:t>
            </w:r>
            <w:r>
              <w:rPr>
                <w:rFonts w:eastAsia="標楷體" w:cs="標楷體" w:hint="eastAsia"/>
                <w:sz w:val="28"/>
                <w:szCs w:val="28"/>
              </w:rPr>
              <w:lastRenderedPageBreak/>
              <w:t>為無漲跌幅限制；香港股票市場有盤中暫停交易機制，國內股票期貨停止交易相關規定亦須配合修訂。</w:t>
            </w:r>
          </w:p>
          <w:p w:rsidR="00FE004E" w:rsidRPr="00765DBB" w:rsidRDefault="00FE004E" w:rsidP="00E47935">
            <w:pPr>
              <w:spacing w:line="500" w:lineRule="exact"/>
              <w:ind w:left="538" w:hangingChars="192" w:hanging="538"/>
              <w:jc w:val="both"/>
              <w:rPr>
                <w:rFonts w:eastAsia="標楷體"/>
                <w:sz w:val="28"/>
                <w:szCs w:val="28"/>
              </w:rPr>
            </w:pPr>
            <w:r>
              <w:rPr>
                <w:rFonts w:eastAsia="標楷體" w:cs="標楷體" w:hint="eastAsia"/>
                <w:sz w:val="28"/>
                <w:szCs w:val="28"/>
              </w:rPr>
              <w:t>八</w:t>
            </w:r>
            <w:r w:rsidRPr="003D37EF">
              <w:rPr>
                <w:rFonts w:eastAsia="標楷體" w:cs="標楷體" w:hint="eastAsia"/>
                <w:sz w:val="28"/>
                <w:szCs w:val="28"/>
              </w:rPr>
              <w:t>、基於現階段</w:t>
            </w:r>
            <w:r>
              <w:rPr>
                <w:rFonts w:eastAsia="標楷體" w:cs="標楷體" w:hint="eastAsia"/>
                <w:sz w:val="28"/>
                <w:szCs w:val="28"/>
              </w:rPr>
              <w:t>本商品市場需求尚不明確</w:t>
            </w:r>
            <w:r w:rsidRPr="003D37EF">
              <w:rPr>
                <w:rFonts w:eastAsia="標楷體" w:cs="標楷體" w:hint="eastAsia"/>
                <w:sz w:val="28"/>
                <w:szCs w:val="28"/>
              </w:rPr>
              <w:t>、交易時間</w:t>
            </w:r>
            <w:r>
              <w:rPr>
                <w:rFonts w:eastAsia="標楷體" w:cs="標楷體" w:hint="eastAsia"/>
                <w:sz w:val="28"/>
                <w:szCs w:val="28"/>
              </w:rPr>
              <w:t>延長</w:t>
            </w:r>
            <w:r w:rsidRPr="003D37EF">
              <w:rPr>
                <w:rFonts w:eastAsia="標楷體" w:cs="標楷體" w:hint="eastAsia"/>
                <w:sz w:val="28"/>
                <w:szCs w:val="28"/>
              </w:rPr>
              <w:t>、</w:t>
            </w:r>
            <w:proofErr w:type="gramStart"/>
            <w:r w:rsidRPr="003D37EF">
              <w:rPr>
                <w:rFonts w:eastAsia="標楷體" w:cs="標楷體" w:hint="eastAsia"/>
                <w:sz w:val="28"/>
                <w:szCs w:val="28"/>
              </w:rPr>
              <w:t>造市避險</w:t>
            </w:r>
            <w:proofErr w:type="gramEnd"/>
            <w:r w:rsidRPr="003D37EF">
              <w:rPr>
                <w:rFonts w:eastAsia="標楷體" w:cs="標楷體" w:hint="eastAsia"/>
                <w:sz w:val="28"/>
                <w:szCs w:val="28"/>
              </w:rPr>
              <w:t>限制</w:t>
            </w:r>
            <w:r>
              <w:rPr>
                <w:rFonts w:eastAsia="標楷體" w:cs="標楷體" w:hint="eastAsia"/>
                <w:sz w:val="28"/>
                <w:szCs w:val="28"/>
              </w:rPr>
              <w:t>仍多</w:t>
            </w:r>
            <w:r w:rsidRPr="003D37EF">
              <w:rPr>
                <w:rFonts w:eastAsia="標楷體" w:cs="標楷體" w:hint="eastAsia"/>
                <w:sz w:val="28"/>
                <w:szCs w:val="28"/>
              </w:rPr>
              <w:t>、</w:t>
            </w:r>
            <w:r>
              <w:rPr>
                <w:rFonts w:eastAsia="標楷體" w:cs="標楷體" w:hint="eastAsia"/>
                <w:sz w:val="28"/>
                <w:szCs w:val="28"/>
              </w:rPr>
              <w:t>資訊傳輸與系統改版</w:t>
            </w:r>
            <w:r w:rsidRPr="003D37EF">
              <w:rPr>
                <w:rFonts w:eastAsia="標楷體" w:cs="標楷體" w:hint="eastAsia"/>
                <w:sz w:val="28"/>
                <w:szCs w:val="28"/>
              </w:rPr>
              <w:t>成本</w:t>
            </w:r>
            <w:r>
              <w:rPr>
                <w:rFonts w:eastAsia="標楷體" w:cs="標楷體" w:hint="eastAsia"/>
                <w:sz w:val="28"/>
                <w:szCs w:val="28"/>
              </w:rPr>
              <w:t>較高</w:t>
            </w:r>
            <w:r w:rsidRPr="003D37EF">
              <w:rPr>
                <w:rFonts w:eastAsia="標楷體" w:cs="標楷體" w:hint="eastAsia"/>
                <w:sz w:val="28"/>
                <w:szCs w:val="28"/>
              </w:rPr>
              <w:t>等因素考量，建議可先推出香港或中國大陸股價指數期貨商品</w:t>
            </w:r>
            <w:r w:rsidRPr="003D37EF">
              <w:rPr>
                <w:rFonts w:eastAsia="標楷體"/>
                <w:sz w:val="28"/>
                <w:szCs w:val="28"/>
              </w:rPr>
              <w:t>(</w:t>
            </w:r>
            <w:r w:rsidRPr="003D37EF">
              <w:rPr>
                <w:rFonts w:eastAsia="標楷體" w:cs="標楷體" w:hint="eastAsia"/>
                <w:sz w:val="28"/>
                <w:szCs w:val="28"/>
              </w:rPr>
              <w:t>如新台幣計價恆生指數期貨、</w:t>
            </w:r>
            <w:r w:rsidRPr="003D37EF">
              <w:rPr>
                <w:rFonts w:eastAsia="標楷體"/>
                <w:sz w:val="28"/>
                <w:szCs w:val="28"/>
              </w:rPr>
              <w:t>A50</w:t>
            </w:r>
            <w:proofErr w:type="gramStart"/>
            <w:r w:rsidRPr="003D37EF">
              <w:rPr>
                <w:rFonts w:eastAsia="標楷體" w:cs="標楷體" w:hint="eastAsia"/>
                <w:sz w:val="28"/>
                <w:szCs w:val="28"/>
              </w:rPr>
              <w:t>或滬深</w:t>
            </w:r>
            <w:proofErr w:type="gramEnd"/>
            <w:r w:rsidRPr="003D37EF">
              <w:rPr>
                <w:rFonts w:eastAsia="標楷體"/>
                <w:sz w:val="28"/>
                <w:szCs w:val="28"/>
              </w:rPr>
              <w:t>300</w:t>
            </w:r>
            <w:r w:rsidRPr="003D37EF">
              <w:rPr>
                <w:rFonts w:eastAsia="標楷體" w:cs="標楷體" w:hint="eastAsia"/>
                <w:sz w:val="28"/>
                <w:szCs w:val="28"/>
              </w:rPr>
              <w:t>股價指數期貨</w:t>
            </w:r>
            <w:r w:rsidRPr="003D37EF">
              <w:rPr>
                <w:rFonts w:eastAsia="標楷體"/>
                <w:sz w:val="28"/>
                <w:szCs w:val="28"/>
              </w:rPr>
              <w:t>)</w:t>
            </w:r>
            <w:r>
              <w:rPr>
                <w:rFonts w:eastAsia="標楷體" w:cs="標楷體" w:hint="eastAsia"/>
                <w:sz w:val="28"/>
                <w:szCs w:val="28"/>
              </w:rPr>
              <w:t>；</w:t>
            </w:r>
            <w:r w:rsidRPr="003D37EF">
              <w:rPr>
                <w:rFonts w:eastAsia="標楷體" w:cs="標楷體" w:hint="eastAsia"/>
                <w:sz w:val="28"/>
                <w:szCs w:val="28"/>
              </w:rPr>
              <w:t>待國人對香港或中國大陸股市較熟悉，或</w:t>
            </w:r>
            <w:r w:rsidRPr="00926489">
              <w:rPr>
                <w:rFonts w:eastAsia="標楷體" w:cs="標楷體" w:hint="eastAsia"/>
                <w:sz w:val="28"/>
                <w:szCs w:val="28"/>
              </w:rPr>
              <w:t>新制度推動使得</w:t>
            </w:r>
            <w:r w:rsidRPr="003D37EF">
              <w:rPr>
                <w:rFonts w:eastAsia="標楷體" w:cs="標楷體" w:hint="eastAsia"/>
                <w:sz w:val="28"/>
                <w:szCs w:val="28"/>
              </w:rPr>
              <w:t>股票期貨市場發展趨成熟後，再行推出新臺幣計價香港股票期貨商品。</w:t>
            </w:r>
          </w:p>
        </w:tc>
      </w:tr>
    </w:tbl>
    <w:p w:rsidR="00FE004E" w:rsidRPr="00765DBB" w:rsidRDefault="00FE004E" w:rsidP="00BD09D1">
      <w:pPr>
        <w:rPr>
          <w:rFonts w:eastAsia="標楷體"/>
        </w:rPr>
      </w:pPr>
      <w:r w:rsidRPr="00765DBB">
        <w:rPr>
          <w:rFonts w:eastAsia="標楷體" w:hAnsi="標楷體" w:cs="標楷體" w:hint="eastAsia"/>
        </w:rPr>
        <w:lastRenderedPageBreak/>
        <w:t>附註：一、報告內容提要應包括下列二部分：</w:t>
      </w:r>
    </w:p>
    <w:p w:rsidR="00FE004E" w:rsidRPr="00765DBB" w:rsidRDefault="00FE004E" w:rsidP="00BD09D1">
      <w:pPr>
        <w:ind w:left="720"/>
        <w:rPr>
          <w:rFonts w:eastAsia="標楷體"/>
        </w:rPr>
      </w:pPr>
      <w:r w:rsidRPr="00765DBB">
        <w:rPr>
          <w:rFonts w:eastAsia="標楷體" w:hAnsi="標楷體" w:cs="標楷體" w:hint="eastAsia"/>
        </w:rPr>
        <w:t>（一）研究內容重點</w:t>
      </w:r>
    </w:p>
    <w:p w:rsidR="00FE004E" w:rsidRPr="00765DBB" w:rsidRDefault="00FE004E" w:rsidP="00E47935">
      <w:pPr>
        <w:ind w:firstLineChars="303" w:firstLine="727"/>
        <w:rPr>
          <w:rFonts w:eastAsia="標楷體"/>
        </w:rPr>
      </w:pPr>
      <w:r w:rsidRPr="00765DBB">
        <w:rPr>
          <w:rFonts w:eastAsia="標楷體" w:hAnsi="標楷體" w:cs="標楷體" w:hint="eastAsia"/>
        </w:rPr>
        <w:t>（二）結論與建議事項</w:t>
      </w:r>
    </w:p>
    <w:p w:rsidR="00FE004E" w:rsidRPr="00765DBB" w:rsidRDefault="00FE004E" w:rsidP="00016264">
      <w:pPr>
        <w:ind w:firstLineChars="297" w:firstLine="713"/>
        <w:rPr>
          <w:rFonts w:eastAsia="標楷體"/>
        </w:rPr>
      </w:pPr>
      <w:r w:rsidRPr="00765DBB">
        <w:rPr>
          <w:rFonts w:eastAsia="標楷體" w:hAnsi="標楷體" w:cs="標楷體" w:hint="eastAsia"/>
        </w:rPr>
        <w:t>二、本</w:t>
      </w:r>
      <w:proofErr w:type="gramStart"/>
      <w:r w:rsidRPr="00765DBB">
        <w:rPr>
          <w:rFonts w:eastAsia="標楷體" w:hAnsi="標楷體" w:cs="標楷體" w:hint="eastAsia"/>
        </w:rPr>
        <w:t>提要表須附</w:t>
      </w:r>
      <w:proofErr w:type="gramEnd"/>
      <w:r w:rsidRPr="00765DBB">
        <w:rPr>
          <w:rFonts w:eastAsia="標楷體" w:hAnsi="標楷體" w:cs="標楷體" w:hint="eastAsia"/>
        </w:rPr>
        <w:t>電子</w:t>
      </w:r>
      <w:proofErr w:type="gramStart"/>
      <w:r w:rsidRPr="00765DBB">
        <w:rPr>
          <w:rFonts w:eastAsia="標楷體" w:hAnsi="標楷體" w:cs="標楷體" w:hint="eastAsia"/>
        </w:rPr>
        <w:t>檔</w:t>
      </w:r>
      <w:proofErr w:type="gramEnd"/>
    </w:p>
    <w:sectPr w:rsidR="00FE004E" w:rsidRPr="00765DBB" w:rsidSect="00BE19F4">
      <w:footerReference w:type="default" r:id="rId8"/>
      <w:pgSz w:w="11906" w:h="16838" w:code="9"/>
      <w:pgMar w:top="1258" w:right="1474" w:bottom="1258" w:left="147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04E" w:rsidRDefault="00FE004E">
      <w:r>
        <w:separator/>
      </w:r>
    </w:p>
  </w:endnote>
  <w:endnote w:type="continuationSeparator" w:id="0">
    <w:p w:rsidR="00FE004E" w:rsidRDefault="00FE0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004E" w:rsidRDefault="00FE004E" w:rsidP="0010287D">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E47935">
      <w:rPr>
        <w:rStyle w:val="a8"/>
        <w:noProof/>
      </w:rPr>
      <w:t>1</w:t>
    </w:r>
    <w:r>
      <w:rPr>
        <w:rStyle w:val="a8"/>
      </w:rPr>
      <w:fldChar w:fldCharType="end"/>
    </w:r>
  </w:p>
  <w:p w:rsidR="00FE004E" w:rsidRDefault="00FE00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04E" w:rsidRDefault="00FE004E">
      <w:r>
        <w:separator/>
      </w:r>
    </w:p>
  </w:footnote>
  <w:footnote w:type="continuationSeparator" w:id="0">
    <w:p w:rsidR="00FE004E" w:rsidRDefault="00FE004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978DA"/>
    <w:multiLevelType w:val="hybridMultilevel"/>
    <w:tmpl w:val="5C7469BC"/>
    <w:lvl w:ilvl="0" w:tplc="9DAE9242">
      <w:start w:val="1"/>
      <w:numFmt w:val="taiwaneseCountingThousand"/>
      <w:lvlText w:val="(%1)"/>
      <w:lvlJc w:val="left"/>
      <w:pPr>
        <w:tabs>
          <w:tab w:val="num" w:pos="1283"/>
        </w:tabs>
        <w:ind w:left="1283" w:hanging="720"/>
      </w:pPr>
      <w:rPr>
        <w:rFonts w:ascii="Times New Roman" w:hint="eastAsia"/>
      </w:rPr>
    </w:lvl>
    <w:lvl w:ilvl="1" w:tplc="04090019">
      <w:start w:val="1"/>
      <w:numFmt w:val="ideographTraditional"/>
      <w:lvlText w:val="%2、"/>
      <w:lvlJc w:val="left"/>
      <w:pPr>
        <w:tabs>
          <w:tab w:val="num" w:pos="1523"/>
        </w:tabs>
        <w:ind w:left="1523" w:hanging="480"/>
      </w:pPr>
    </w:lvl>
    <w:lvl w:ilvl="2" w:tplc="0409001B">
      <w:start w:val="1"/>
      <w:numFmt w:val="lowerRoman"/>
      <w:lvlText w:val="%3."/>
      <w:lvlJc w:val="right"/>
      <w:pPr>
        <w:tabs>
          <w:tab w:val="num" w:pos="2003"/>
        </w:tabs>
        <w:ind w:left="2003" w:hanging="480"/>
      </w:pPr>
    </w:lvl>
    <w:lvl w:ilvl="3" w:tplc="0409000F">
      <w:start w:val="1"/>
      <w:numFmt w:val="decimal"/>
      <w:lvlText w:val="%4."/>
      <w:lvlJc w:val="left"/>
      <w:pPr>
        <w:tabs>
          <w:tab w:val="num" w:pos="2483"/>
        </w:tabs>
        <w:ind w:left="2483" w:hanging="480"/>
      </w:pPr>
    </w:lvl>
    <w:lvl w:ilvl="4" w:tplc="04090019">
      <w:start w:val="1"/>
      <w:numFmt w:val="ideographTraditional"/>
      <w:lvlText w:val="%5、"/>
      <w:lvlJc w:val="left"/>
      <w:pPr>
        <w:tabs>
          <w:tab w:val="num" w:pos="2963"/>
        </w:tabs>
        <w:ind w:left="2963" w:hanging="480"/>
      </w:pPr>
    </w:lvl>
    <w:lvl w:ilvl="5" w:tplc="0409001B">
      <w:start w:val="1"/>
      <w:numFmt w:val="lowerRoman"/>
      <w:lvlText w:val="%6."/>
      <w:lvlJc w:val="right"/>
      <w:pPr>
        <w:tabs>
          <w:tab w:val="num" w:pos="3443"/>
        </w:tabs>
        <w:ind w:left="3443" w:hanging="480"/>
      </w:pPr>
    </w:lvl>
    <w:lvl w:ilvl="6" w:tplc="0409000F">
      <w:start w:val="1"/>
      <w:numFmt w:val="decimal"/>
      <w:lvlText w:val="%7."/>
      <w:lvlJc w:val="left"/>
      <w:pPr>
        <w:tabs>
          <w:tab w:val="num" w:pos="3923"/>
        </w:tabs>
        <w:ind w:left="3923" w:hanging="480"/>
      </w:pPr>
    </w:lvl>
    <w:lvl w:ilvl="7" w:tplc="04090019">
      <w:start w:val="1"/>
      <w:numFmt w:val="ideographTraditional"/>
      <w:lvlText w:val="%8、"/>
      <w:lvlJc w:val="left"/>
      <w:pPr>
        <w:tabs>
          <w:tab w:val="num" w:pos="4403"/>
        </w:tabs>
        <w:ind w:left="4403" w:hanging="480"/>
      </w:pPr>
    </w:lvl>
    <w:lvl w:ilvl="8" w:tplc="0409001B">
      <w:start w:val="1"/>
      <w:numFmt w:val="lowerRoman"/>
      <w:lvlText w:val="%9."/>
      <w:lvlJc w:val="right"/>
      <w:pPr>
        <w:tabs>
          <w:tab w:val="num" w:pos="4883"/>
        </w:tabs>
        <w:ind w:left="4883" w:hanging="480"/>
      </w:pPr>
    </w:lvl>
  </w:abstractNum>
  <w:abstractNum w:abstractNumId="1">
    <w:nsid w:val="18D26C1C"/>
    <w:multiLevelType w:val="hybridMultilevel"/>
    <w:tmpl w:val="65725282"/>
    <w:lvl w:ilvl="0" w:tplc="0409000F">
      <w:start w:val="1"/>
      <w:numFmt w:val="decimal"/>
      <w:lvlText w:val="%1."/>
      <w:lvlJc w:val="left"/>
      <w:pPr>
        <w:ind w:left="756" w:hanging="480"/>
      </w:pPr>
    </w:lvl>
    <w:lvl w:ilvl="1" w:tplc="04090019">
      <w:start w:val="1"/>
      <w:numFmt w:val="ideographTraditional"/>
      <w:lvlText w:val="%2、"/>
      <w:lvlJc w:val="left"/>
      <w:pPr>
        <w:ind w:left="1236" w:hanging="480"/>
      </w:pPr>
    </w:lvl>
    <w:lvl w:ilvl="2" w:tplc="0409001B">
      <w:start w:val="1"/>
      <w:numFmt w:val="lowerRoman"/>
      <w:lvlText w:val="%3."/>
      <w:lvlJc w:val="right"/>
      <w:pPr>
        <w:ind w:left="1716" w:hanging="480"/>
      </w:pPr>
    </w:lvl>
    <w:lvl w:ilvl="3" w:tplc="0409000F">
      <w:start w:val="1"/>
      <w:numFmt w:val="decimal"/>
      <w:lvlText w:val="%4."/>
      <w:lvlJc w:val="left"/>
      <w:pPr>
        <w:ind w:left="2196" w:hanging="480"/>
      </w:pPr>
    </w:lvl>
    <w:lvl w:ilvl="4" w:tplc="04090019">
      <w:start w:val="1"/>
      <w:numFmt w:val="ideographTraditional"/>
      <w:lvlText w:val="%5、"/>
      <w:lvlJc w:val="left"/>
      <w:pPr>
        <w:ind w:left="2676" w:hanging="480"/>
      </w:pPr>
    </w:lvl>
    <w:lvl w:ilvl="5" w:tplc="0409001B">
      <w:start w:val="1"/>
      <w:numFmt w:val="lowerRoman"/>
      <w:lvlText w:val="%6."/>
      <w:lvlJc w:val="right"/>
      <w:pPr>
        <w:ind w:left="3156" w:hanging="480"/>
      </w:pPr>
    </w:lvl>
    <w:lvl w:ilvl="6" w:tplc="0409000F">
      <w:start w:val="1"/>
      <w:numFmt w:val="decimal"/>
      <w:lvlText w:val="%7."/>
      <w:lvlJc w:val="left"/>
      <w:pPr>
        <w:ind w:left="3636" w:hanging="480"/>
      </w:pPr>
    </w:lvl>
    <w:lvl w:ilvl="7" w:tplc="04090019">
      <w:start w:val="1"/>
      <w:numFmt w:val="ideographTraditional"/>
      <w:lvlText w:val="%8、"/>
      <w:lvlJc w:val="left"/>
      <w:pPr>
        <w:ind w:left="4116" w:hanging="480"/>
      </w:pPr>
    </w:lvl>
    <w:lvl w:ilvl="8" w:tplc="0409001B">
      <w:start w:val="1"/>
      <w:numFmt w:val="lowerRoman"/>
      <w:lvlText w:val="%9."/>
      <w:lvlJc w:val="right"/>
      <w:pPr>
        <w:ind w:left="4596" w:hanging="480"/>
      </w:pPr>
    </w:lvl>
  </w:abstractNum>
  <w:abstractNum w:abstractNumId="2">
    <w:nsid w:val="2D827DB0"/>
    <w:multiLevelType w:val="hybridMultilevel"/>
    <w:tmpl w:val="D89A0B86"/>
    <w:lvl w:ilvl="0" w:tplc="A1108586">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nsid w:val="34974917"/>
    <w:multiLevelType w:val="hybridMultilevel"/>
    <w:tmpl w:val="C5A4B3B6"/>
    <w:lvl w:ilvl="0" w:tplc="2AA672BA">
      <w:start w:val="1"/>
      <w:numFmt w:val="taiwaneseCountingThousand"/>
      <w:lvlText w:val="%1、"/>
      <w:lvlJc w:val="left"/>
      <w:pPr>
        <w:ind w:left="1008" w:hanging="720"/>
      </w:pPr>
      <w:rPr>
        <w:rFonts w:hint="default"/>
      </w:rPr>
    </w:lvl>
    <w:lvl w:ilvl="1" w:tplc="04090019">
      <w:start w:val="1"/>
      <w:numFmt w:val="ideographTraditional"/>
      <w:lvlText w:val="%2、"/>
      <w:lvlJc w:val="left"/>
      <w:pPr>
        <w:ind w:left="1248" w:hanging="480"/>
      </w:pPr>
    </w:lvl>
    <w:lvl w:ilvl="2" w:tplc="0409001B">
      <w:start w:val="1"/>
      <w:numFmt w:val="lowerRoman"/>
      <w:lvlText w:val="%3."/>
      <w:lvlJc w:val="right"/>
      <w:pPr>
        <w:ind w:left="1728" w:hanging="480"/>
      </w:pPr>
    </w:lvl>
    <w:lvl w:ilvl="3" w:tplc="0409000F">
      <w:start w:val="1"/>
      <w:numFmt w:val="decimal"/>
      <w:lvlText w:val="%4."/>
      <w:lvlJc w:val="left"/>
      <w:pPr>
        <w:ind w:left="2208" w:hanging="480"/>
      </w:pPr>
    </w:lvl>
    <w:lvl w:ilvl="4" w:tplc="04090019">
      <w:start w:val="1"/>
      <w:numFmt w:val="ideographTraditional"/>
      <w:lvlText w:val="%5、"/>
      <w:lvlJc w:val="left"/>
      <w:pPr>
        <w:ind w:left="2688" w:hanging="480"/>
      </w:pPr>
    </w:lvl>
    <w:lvl w:ilvl="5" w:tplc="0409001B">
      <w:start w:val="1"/>
      <w:numFmt w:val="lowerRoman"/>
      <w:lvlText w:val="%6."/>
      <w:lvlJc w:val="right"/>
      <w:pPr>
        <w:ind w:left="3168" w:hanging="480"/>
      </w:pPr>
    </w:lvl>
    <w:lvl w:ilvl="6" w:tplc="0409000F">
      <w:start w:val="1"/>
      <w:numFmt w:val="decimal"/>
      <w:lvlText w:val="%7."/>
      <w:lvlJc w:val="left"/>
      <w:pPr>
        <w:ind w:left="3648" w:hanging="480"/>
      </w:pPr>
    </w:lvl>
    <w:lvl w:ilvl="7" w:tplc="04090019">
      <w:start w:val="1"/>
      <w:numFmt w:val="ideographTraditional"/>
      <w:lvlText w:val="%8、"/>
      <w:lvlJc w:val="left"/>
      <w:pPr>
        <w:ind w:left="4128" w:hanging="480"/>
      </w:pPr>
    </w:lvl>
    <w:lvl w:ilvl="8" w:tplc="0409001B">
      <w:start w:val="1"/>
      <w:numFmt w:val="lowerRoman"/>
      <w:lvlText w:val="%9."/>
      <w:lvlJc w:val="right"/>
      <w:pPr>
        <w:ind w:left="4608" w:hanging="480"/>
      </w:pPr>
    </w:lvl>
  </w:abstractNum>
  <w:abstractNum w:abstractNumId="4">
    <w:nsid w:val="3FA31B0B"/>
    <w:multiLevelType w:val="hybridMultilevel"/>
    <w:tmpl w:val="5D307A8C"/>
    <w:lvl w:ilvl="0" w:tplc="2AA672BA">
      <w:start w:val="1"/>
      <w:numFmt w:val="taiwaneseCountingThousand"/>
      <w:lvlText w:val="%1、"/>
      <w:lvlJc w:val="left"/>
      <w:pPr>
        <w:ind w:left="1008"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45F334B7"/>
    <w:multiLevelType w:val="multilevel"/>
    <w:tmpl w:val="DB865FA4"/>
    <w:lvl w:ilvl="0">
      <w:start w:val="1"/>
      <w:numFmt w:val="taiwaneseCountingThousand"/>
      <w:pStyle w:val="a"/>
      <w:suff w:val="nothing"/>
      <w:lvlText w:val="%1、"/>
      <w:lvlJc w:val="left"/>
      <w:pPr>
        <w:ind w:left="1012" w:hanging="652"/>
      </w:pPr>
      <w:rPr>
        <w:color w:val="auto"/>
      </w:rPr>
    </w:lvl>
    <w:lvl w:ilvl="1">
      <w:start w:val="1"/>
      <w:numFmt w:val="taiwaneseCountingThousand"/>
      <w:suff w:val="nothing"/>
      <w:lvlText w:val="(%2)"/>
      <w:lvlJc w:val="left"/>
      <w:pPr>
        <w:ind w:left="1389" w:hanging="538"/>
      </w:pPr>
    </w:lvl>
    <w:lvl w:ilvl="2">
      <w:start w:val="1"/>
      <w:numFmt w:val="decimal"/>
      <w:suff w:val="nothing"/>
      <w:lvlText w:val="%3、"/>
      <w:lvlJc w:val="left"/>
      <w:pPr>
        <w:ind w:left="1786" w:hanging="482"/>
      </w:pPr>
    </w:lvl>
    <w:lvl w:ilvl="3">
      <w:start w:val="1"/>
      <w:numFmt w:val="decimal"/>
      <w:suff w:val="nothing"/>
      <w:lvlText w:val="(%4)"/>
      <w:lvlJc w:val="left"/>
      <w:pPr>
        <w:ind w:left="1956" w:hanging="368"/>
      </w:pPr>
      <w:rPr>
        <w:rFonts w:ascii="Times New Roman" w:eastAsia="標楷體" w:hAnsi="Times New Roman" w:hint="eastAsia"/>
        <w:b w:val="0"/>
        <w:bCs w:val="0"/>
        <w:i w:val="0"/>
        <w:iCs w:val="0"/>
        <w:sz w:val="32"/>
        <w:szCs w:val="32"/>
      </w:rPr>
    </w:lvl>
    <w:lvl w:ilvl="4">
      <w:start w:val="1"/>
      <w:numFmt w:val="none"/>
      <w:lvlText w:val=""/>
      <w:lvlJc w:val="left"/>
      <w:pPr>
        <w:tabs>
          <w:tab w:val="num" w:pos="2551"/>
        </w:tabs>
        <w:ind w:left="2551" w:hanging="850"/>
      </w:pPr>
    </w:lvl>
    <w:lvl w:ilvl="5">
      <w:start w:val="1"/>
      <w:numFmt w:val="none"/>
      <w:lvlText w:val=""/>
      <w:lvlJc w:val="left"/>
      <w:pPr>
        <w:tabs>
          <w:tab w:val="num" w:pos="3260"/>
        </w:tabs>
        <w:ind w:left="3260" w:hanging="1134"/>
      </w:pPr>
    </w:lvl>
    <w:lvl w:ilvl="6">
      <w:start w:val="1"/>
      <w:numFmt w:val="none"/>
      <w:lvlText w:val=""/>
      <w:lvlJc w:val="left"/>
      <w:pPr>
        <w:tabs>
          <w:tab w:val="num" w:pos="3827"/>
        </w:tabs>
        <w:ind w:left="3827" w:hanging="1276"/>
      </w:pPr>
    </w:lvl>
    <w:lvl w:ilvl="7">
      <w:start w:val="1"/>
      <w:numFmt w:val="none"/>
      <w:lvlText w:val=""/>
      <w:lvlJc w:val="left"/>
      <w:pPr>
        <w:tabs>
          <w:tab w:val="num" w:pos="4394"/>
        </w:tabs>
        <w:ind w:left="4394" w:hanging="1418"/>
      </w:pPr>
    </w:lvl>
    <w:lvl w:ilvl="8">
      <w:start w:val="1"/>
      <w:numFmt w:val="none"/>
      <w:lvlText w:val=""/>
      <w:lvlJc w:val="left"/>
      <w:pPr>
        <w:tabs>
          <w:tab w:val="num" w:pos="5102"/>
        </w:tabs>
        <w:ind w:left="5102" w:hanging="1700"/>
      </w:pPr>
    </w:lvl>
  </w:abstractNum>
  <w:abstractNum w:abstractNumId="6">
    <w:nsid w:val="4D050A7F"/>
    <w:multiLevelType w:val="hybridMultilevel"/>
    <w:tmpl w:val="979CAD12"/>
    <w:lvl w:ilvl="0" w:tplc="66426F26">
      <w:start w:val="1"/>
      <w:numFmt w:val="taiwaneseCountingThousand"/>
      <w:lvlText w:val="（%1）"/>
      <w:lvlJc w:val="left"/>
      <w:pPr>
        <w:tabs>
          <w:tab w:val="num" w:pos="720"/>
        </w:tabs>
        <w:ind w:left="720" w:hanging="72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7">
    <w:nsid w:val="550C7F7F"/>
    <w:multiLevelType w:val="hybridMultilevel"/>
    <w:tmpl w:val="F6FEF92A"/>
    <w:lvl w:ilvl="0" w:tplc="677A4B24">
      <w:start w:val="1"/>
      <w:numFmt w:val="taiwaneseCountingThousand"/>
      <w:lvlText w:val="(%1)"/>
      <w:lvlJc w:val="left"/>
      <w:pPr>
        <w:tabs>
          <w:tab w:val="num" w:pos="1032"/>
        </w:tabs>
        <w:ind w:left="1032" w:hanging="720"/>
      </w:pPr>
      <w:rPr>
        <w:rFonts w:hint="default"/>
        <w:color w:val="000000"/>
      </w:rPr>
    </w:lvl>
    <w:lvl w:ilvl="1" w:tplc="04090019">
      <w:start w:val="1"/>
      <w:numFmt w:val="ideographTraditional"/>
      <w:lvlText w:val="%2、"/>
      <w:lvlJc w:val="left"/>
      <w:pPr>
        <w:tabs>
          <w:tab w:val="num" w:pos="1272"/>
        </w:tabs>
        <w:ind w:left="1272" w:hanging="480"/>
      </w:pPr>
    </w:lvl>
    <w:lvl w:ilvl="2" w:tplc="0409001B">
      <w:start w:val="1"/>
      <w:numFmt w:val="lowerRoman"/>
      <w:lvlText w:val="%3."/>
      <w:lvlJc w:val="right"/>
      <w:pPr>
        <w:tabs>
          <w:tab w:val="num" w:pos="1752"/>
        </w:tabs>
        <w:ind w:left="1752" w:hanging="480"/>
      </w:pPr>
    </w:lvl>
    <w:lvl w:ilvl="3" w:tplc="0409000F">
      <w:start w:val="1"/>
      <w:numFmt w:val="decimal"/>
      <w:lvlText w:val="%4."/>
      <w:lvlJc w:val="left"/>
      <w:pPr>
        <w:tabs>
          <w:tab w:val="num" w:pos="2232"/>
        </w:tabs>
        <w:ind w:left="2232" w:hanging="480"/>
      </w:pPr>
    </w:lvl>
    <w:lvl w:ilvl="4" w:tplc="04090019">
      <w:start w:val="1"/>
      <w:numFmt w:val="ideographTraditional"/>
      <w:lvlText w:val="%5、"/>
      <w:lvlJc w:val="left"/>
      <w:pPr>
        <w:tabs>
          <w:tab w:val="num" w:pos="2712"/>
        </w:tabs>
        <w:ind w:left="2712" w:hanging="480"/>
      </w:pPr>
    </w:lvl>
    <w:lvl w:ilvl="5" w:tplc="0409001B">
      <w:start w:val="1"/>
      <w:numFmt w:val="lowerRoman"/>
      <w:lvlText w:val="%6."/>
      <w:lvlJc w:val="right"/>
      <w:pPr>
        <w:tabs>
          <w:tab w:val="num" w:pos="3192"/>
        </w:tabs>
        <w:ind w:left="3192" w:hanging="480"/>
      </w:pPr>
    </w:lvl>
    <w:lvl w:ilvl="6" w:tplc="0409000F">
      <w:start w:val="1"/>
      <w:numFmt w:val="decimal"/>
      <w:lvlText w:val="%7."/>
      <w:lvlJc w:val="left"/>
      <w:pPr>
        <w:tabs>
          <w:tab w:val="num" w:pos="3672"/>
        </w:tabs>
        <w:ind w:left="3672" w:hanging="480"/>
      </w:pPr>
    </w:lvl>
    <w:lvl w:ilvl="7" w:tplc="04090019">
      <w:start w:val="1"/>
      <w:numFmt w:val="ideographTraditional"/>
      <w:lvlText w:val="%8、"/>
      <w:lvlJc w:val="left"/>
      <w:pPr>
        <w:tabs>
          <w:tab w:val="num" w:pos="4152"/>
        </w:tabs>
        <w:ind w:left="4152" w:hanging="480"/>
      </w:pPr>
    </w:lvl>
    <w:lvl w:ilvl="8" w:tplc="0409001B">
      <w:start w:val="1"/>
      <w:numFmt w:val="lowerRoman"/>
      <w:lvlText w:val="%9."/>
      <w:lvlJc w:val="right"/>
      <w:pPr>
        <w:tabs>
          <w:tab w:val="num" w:pos="4632"/>
        </w:tabs>
        <w:ind w:left="4632" w:hanging="480"/>
      </w:pPr>
    </w:lvl>
  </w:abstractNum>
  <w:abstractNum w:abstractNumId="8">
    <w:nsid w:val="5E7031C4"/>
    <w:multiLevelType w:val="hybridMultilevel"/>
    <w:tmpl w:val="B2284AF2"/>
    <w:lvl w:ilvl="0" w:tplc="A094B6D6">
      <w:start w:val="1"/>
      <w:numFmt w:val="taiwaneseCountingThousand"/>
      <w:lvlText w:val="%1、"/>
      <w:lvlJc w:val="left"/>
      <w:pPr>
        <w:ind w:left="996"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9">
    <w:nsid w:val="670E4DF0"/>
    <w:multiLevelType w:val="hybridMultilevel"/>
    <w:tmpl w:val="CCF464BE"/>
    <w:lvl w:ilvl="0" w:tplc="A094B6D6">
      <w:start w:val="1"/>
      <w:numFmt w:val="taiwaneseCountingThousand"/>
      <w:lvlText w:val="%1、"/>
      <w:lvlJc w:val="left"/>
      <w:pPr>
        <w:ind w:left="996" w:hanging="720"/>
      </w:pPr>
      <w:rPr>
        <w:rFonts w:hint="default"/>
      </w:rPr>
    </w:lvl>
    <w:lvl w:ilvl="1" w:tplc="04090019">
      <w:start w:val="1"/>
      <w:numFmt w:val="ideographTraditional"/>
      <w:lvlText w:val="%2、"/>
      <w:lvlJc w:val="left"/>
      <w:pPr>
        <w:ind w:left="1236" w:hanging="480"/>
      </w:pPr>
    </w:lvl>
    <w:lvl w:ilvl="2" w:tplc="0409001B">
      <w:start w:val="1"/>
      <w:numFmt w:val="lowerRoman"/>
      <w:lvlText w:val="%3."/>
      <w:lvlJc w:val="right"/>
      <w:pPr>
        <w:ind w:left="1716" w:hanging="480"/>
      </w:pPr>
    </w:lvl>
    <w:lvl w:ilvl="3" w:tplc="0409000F">
      <w:start w:val="1"/>
      <w:numFmt w:val="decimal"/>
      <w:lvlText w:val="%4."/>
      <w:lvlJc w:val="left"/>
      <w:pPr>
        <w:ind w:left="2196" w:hanging="480"/>
      </w:pPr>
    </w:lvl>
    <w:lvl w:ilvl="4" w:tplc="04090019">
      <w:start w:val="1"/>
      <w:numFmt w:val="ideographTraditional"/>
      <w:lvlText w:val="%5、"/>
      <w:lvlJc w:val="left"/>
      <w:pPr>
        <w:ind w:left="2676" w:hanging="480"/>
      </w:pPr>
    </w:lvl>
    <w:lvl w:ilvl="5" w:tplc="0409001B">
      <w:start w:val="1"/>
      <w:numFmt w:val="lowerRoman"/>
      <w:lvlText w:val="%6."/>
      <w:lvlJc w:val="right"/>
      <w:pPr>
        <w:ind w:left="3156" w:hanging="480"/>
      </w:pPr>
    </w:lvl>
    <w:lvl w:ilvl="6" w:tplc="0409000F">
      <w:start w:val="1"/>
      <w:numFmt w:val="decimal"/>
      <w:lvlText w:val="%7."/>
      <w:lvlJc w:val="left"/>
      <w:pPr>
        <w:ind w:left="3636" w:hanging="480"/>
      </w:pPr>
    </w:lvl>
    <w:lvl w:ilvl="7" w:tplc="04090019">
      <w:start w:val="1"/>
      <w:numFmt w:val="ideographTraditional"/>
      <w:lvlText w:val="%8、"/>
      <w:lvlJc w:val="left"/>
      <w:pPr>
        <w:ind w:left="4116" w:hanging="480"/>
      </w:pPr>
    </w:lvl>
    <w:lvl w:ilvl="8" w:tplc="0409001B">
      <w:start w:val="1"/>
      <w:numFmt w:val="lowerRoman"/>
      <w:lvlText w:val="%9."/>
      <w:lvlJc w:val="right"/>
      <w:pPr>
        <w:ind w:left="4596" w:hanging="480"/>
      </w:pPr>
    </w:lvl>
  </w:abstractNum>
  <w:abstractNum w:abstractNumId="10">
    <w:nsid w:val="673A6FD5"/>
    <w:multiLevelType w:val="hybridMultilevel"/>
    <w:tmpl w:val="666235D6"/>
    <w:lvl w:ilvl="0" w:tplc="DDBACB88">
      <w:start w:val="1"/>
      <w:numFmt w:val="decimal"/>
      <w:lvlText w:val="%1."/>
      <w:lvlJc w:val="left"/>
      <w:pPr>
        <w:tabs>
          <w:tab w:val="num" w:pos="-88"/>
        </w:tabs>
        <w:ind w:left="960" w:hanging="480"/>
      </w:pPr>
      <w:rPr>
        <w:rFonts w:hint="eastAsia"/>
        <w:sz w:val="28"/>
        <w:szCs w:val="28"/>
      </w:rPr>
    </w:lvl>
    <w:lvl w:ilvl="1" w:tplc="04090019">
      <w:start w:val="1"/>
      <w:numFmt w:val="ideographTraditional"/>
      <w:lvlText w:val="%2、"/>
      <w:lvlJc w:val="left"/>
      <w:pPr>
        <w:tabs>
          <w:tab w:val="num" w:pos="874"/>
        </w:tabs>
        <w:ind w:left="874" w:hanging="480"/>
      </w:pPr>
    </w:lvl>
    <w:lvl w:ilvl="2" w:tplc="0409001B">
      <w:start w:val="1"/>
      <w:numFmt w:val="lowerRoman"/>
      <w:lvlText w:val="%3."/>
      <w:lvlJc w:val="right"/>
      <w:pPr>
        <w:tabs>
          <w:tab w:val="num" w:pos="1354"/>
        </w:tabs>
        <w:ind w:left="1354" w:hanging="480"/>
      </w:pPr>
    </w:lvl>
    <w:lvl w:ilvl="3" w:tplc="0409000F">
      <w:start w:val="1"/>
      <w:numFmt w:val="decimal"/>
      <w:lvlText w:val="%4."/>
      <w:lvlJc w:val="left"/>
      <w:pPr>
        <w:tabs>
          <w:tab w:val="num" w:pos="1834"/>
        </w:tabs>
        <w:ind w:left="1834" w:hanging="480"/>
      </w:pPr>
    </w:lvl>
    <w:lvl w:ilvl="4" w:tplc="04090019">
      <w:start w:val="1"/>
      <w:numFmt w:val="ideographTraditional"/>
      <w:lvlText w:val="%5、"/>
      <w:lvlJc w:val="left"/>
      <w:pPr>
        <w:tabs>
          <w:tab w:val="num" w:pos="2314"/>
        </w:tabs>
        <w:ind w:left="2314" w:hanging="480"/>
      </w:pPr>
    </w:lvl>
    <w:lvl w:ilvl="5" w:tplc="0409001B">
      <w:start w:val="1"/>
      <w:numFmt w:val="lowerRoman"/>
      <w:lvlText w:val="%6."/>
      <w:lvlJc w:val="right"/>
      <w:pPr>
        <w:tabs>
          <w:tab w:val="num" w:pos="2794"/>
        </w:tabs>
        <w:ind w:left="2794" w:hanging="480"/>
      </w:pPr>
    </w:lvl>
    <w:lvl w:ilvl="6" w:tplc="0409000F">
      <w:start w:val="1"/>
      <w:numFmt w:val="decimal"/>
      <w:lvlText w:val="%7."/>
      <w:lvlJc w:val="left"/>
      <w:pPr>
        <w:tabs>
          <w:tab w:val="num" w:pos="3274"/>
        </w:tabs>
        <w:ind w:left="3274" w:hanging="480"/>
      </w:pPr>
    </w:lvl>
    <w:lvl w:ilvl="7" w:tplc="04090019">
      <w:start w:val="1"/>
      <w:numFmt w:val="ideographTraditional"/>
      <w:lvlText w:val="%8、"/>
      <w:lvlJc w:val="left"/>
      <w:pPr>
        <w:tabs>
          <w:tab w:val="num" w:pos="3754"/>
        </w:tabs>
        <w:ind w:left="3754" w:hanging="480"/>
      </w:pPr>
    </w:lvl>
    <w:lvl w:ilvl="8" w:tplc="0409001B">
      <w:start w:val="1"/>
      <w:numFmt w:val="lowerRoman"/>
      <w:lvlText w:val="%9."/>
      <w:lvlJc w:val="right"/>
      <w:pPr>
        <w:tabs>
          <w:tab w:val="num" w:pos="4234"/>
        </w:tabs>
        <w:ind w:left="4234" w:hanging="480"/>
      </w:pPr>
    </w:lvl>
  </w:abstractNum>
  <w:abstractNum w:abstractNumId="11">
    <w:nsid w:val="7518739E"/>
    <w:multiLevelType w:val="hybridMultilevel"/>
    <w:tmpl w:val="3ABEDB9A"/>
    <w:lvl w:ilvl="0" w:tplc="F81A96D8">
      <w:start w:val="1"/>
      <w:numFmt w:val="decimal"/>
      <w:lvlText w:val="(%1)"/>
      <w:lvlJc w:val="left"/>
      <w:pPr>
        <w:tabs>
          <w:tab w:val="num" w:pos="-9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2">
    <w:nsid w:val="7623701F"/>
    <w:multiLevelType w:val="hybridMultilevel"/>
    <w:tmpl w:val="4CF01566"/>
    <w:lvl w:ilvl="0" w:tplc="A094B6D6">
      <w:start w:val="1"/>
      <w:numFmt w:val="taiwaneseCountingThousand"/>
      <w:lvlText w:val="%1、"/>
      <w:lvlJc w:val="left"/>
      <w:pPr>
        <w:ind w:left="1284" w:hanging="720"/>
      </w:pPr>
      <w:rPr>
        <w:rFonts w:hint="default"/>
      </w:rPr>
    </w:lvl>
    <w:lvl w:ilvl="1" w:tplc="04090019">
      <w:start w:val="1"/>
      <w:numFmt w:val="ideographTraditional"/>
      <w:lvlText w:val="%2、"/>
      <w:lvlJc w:val="left"/>
      <w:pPr>
        <w:ind w:left="1248" w:hanging="480"/>
      </w:pPr>
    </w:lvl>
    <w:lvl w:ilvl="2" w:tplc="0409001B">
      <w:start w:val="1"/>
      <w:numFmt w:val="lowerRoman"/>
      <w:lvlText w:val="%3."/>
      <w:lvlJc w:val="right"/>
      <w:pPr>
        <w:ind w:left="1728" w:hanging="480"/>
      </w:pPr>
    </w:lvl>
    <w:lvl w:ilvl="3" w:tplc="0409000F">
      <w:start w:val="1"/>
      <w:numFmt w:val="decimal"/>
      <w:lvlText w:val="%4."/>
      <w:lvlJc w:val="left"/>
      <w:pPr>
        <w:ind w:left="2208" w:hanging="480"/>
      </w:pPr>
    </w:lvl>
    <w:lvl w:ilvl="4" w:tplc="04090019">
      <w:start w:val="1"/>
      <w:numFmt w:val="ideographTraditional"/>
      <w:lvlText w:val="%5、"/>
      <w:lvlJc w:val="left"/>
      <w:pPr>
        <w:ind w:left="2688" w:hanging="480"/>
      </w:pPr>
    </w:lvl>
    <w:lvl w:ilvl="5" w:tplc="0409001B">
      <w:start w:val="1"/>
      <w:numFmt w:val="lowerRoman"/>
      <w:lvlText w:val="%6."/>
      <w:lvlJc w:val="right"/>
      <w:pPr>
        <w:ind w:left="3168" w:hanging="480"/>
      </w:pPr>
    </w:lvl>
    <w:lvl w:ilvl="6" w:tplc="0409000F">
      <w:start w:val="1"/>
      <w:numFmt w:val="decimal"/>
      <w:lvlText w:val="%7."/>
      <w:lvlJc w:val="left"/>
      <w:pPr>
        <w:ind w:left="3648" w:hanging="480"/>
      </w:pPr>
    </w:lvl>
    <w:lvl w:ilvl="7" w:tplc="04090019">
      <w:start w:val="1"/>
      <w:numFmt w:val="ideographTraditional"/>
      <w:lvlText w:val="%8、"/>
      <w:lvlJc w:val="left"/>
      <w:pPr>
        <w:ind w:left="4128" w:hanging="480"/>
      </w:pPr>
    </w:lvl>
    <w:lvl w:ilvl="8" w:tplc="0409001B">
      <w:start w:val="1"/>
      <w:numFmt w:val="lowerRoman"/>
      <w:lvlText w:val="%9."/>
      <w:lvlJc w:val="right"/>
      <w:pPr>
        <w:ind w:left="4608" w:hanging="480"/>
      </w:pPr>
    </w:lvl>
  </w:abstractNum>
  <w:num w:numId="1">
    <w:abstractNumId w:val="6"/>
  </w:num>
  <w:num w:numId="2">
    <w:abstractNumId w:val="0"/>
  </w:num>
  <w:num w:numId="3">
    <w:abstractNumId w:val="1"/>
  </w:num>
  <w:num w:numId="4">
    <w:abstractNumId w:val="9"/>
  </w:num>
  <w:num w:numId="5">
    <w:abstractNumId w:val="10"/>
  </w:num>
  <w:num w:numId="6">
    <w:abstractNumId w:val="12"/>
  </w:num>
  <w:num w:numId="7">
    <w:abstractNumId w:val="3"/>
  </w:num>
  <w:num w:numId="8">
    <w:abstractNumId w:val="2"/>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8"/>
  </w:num>
  <w:num w:numId="12">
    <w:abstractNumId w:val="4"/>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80"/>
  <w:doNotHyphenateCaps/>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x?W???f???????E?Q?~??????s?????i???n??.doc"/>
    <w:docVar w:name="VTCASE" w:val="4"/>
    <w:docVar w:name="VTCommandPending" w:val="NONE"/>
    <w:docVar w:name="VTCurMacroFlags$" w:val="NNNN"/>
    <w:docVar w:name="VTINIT" w:val="1"/>
    <w:docVar w:name="VTypeCAPFlag$" w:val="FALSE"/>
    <w:docVar w:name="VTypeJoinDigitFlag$" w:val="FALSE"/>
    <w:docVar w:name="VTypeLCFlag$" w:val="FALSE"/>
    <w:docVar w:name="VTypeNoSpaceFlag$" w:val="TRUE"/>
    <w:docVar w:name="VTypeSpaceFlag$" w:val="FALSE"/>
    <w:docVar w:name="VTypeUCFlag$" w:val="FALSE"/>
  </w:docVars>
  <w:rsids>
    <w:rsidRoot w:val="000732AD"/>
    <w:rsid w:val="00016264"/>
    <w:rsid w:val="00046ED0"/>
    <w:rsid w:val="0005206C"/>
    <w:rsid w:val="000720F3"/>
    <w:rsid w:val="000732AD"/>
    <w:rsid w:val="000A670F"/>
    <w:rsid w:val="000B24E6"/>
    <w:rsid w:val="000B73CF"/>
    <w:rsid w:val="000E3776"/>
    <w:rsid w:val="000E532D"/>
    <w:rsid w:val="000E7C16"/>
    <w:rsid w:val="000F2B7F"/>
    <w:rsid w:val="000F6707"/>
    <w:rsid w:val="000F6CC3"/>
    <w:rsid w:val="000F7C99"/>
    <w:rsid w:val="0010287D"/>
    <w:rsid w:val="00112002"/>
    <w:rsid w:val="001458A2"/>
    <w:rsid w:val="001614D7"/>
    <w:rsid w:val="00185158"/>
    <w:rsid w:val="0019562F"/>
    <w:rsid w:val="001A27EF"/>
    <w:rsid w:val="001D664F"/>
    <w:rsid w:val="001F13D8"/>
    <w:rsid w:val="00212669"/>
    <w:rsid w:val="00215515"/>
    <w:rsid w:val="00220343"/>
    <w:rsid w:val="0022296D"/>
    <w:rsid w:val="00232D9A"/>
    <w:rsid w:val="00253E08"/>
    <w:rsid w:val="002555A1"/>
    <w:rsid w:val="0026261C"/>
    <w:rsid w:val="00267793"/>
    <w:rsid w:val="00271C15"/>
    <w:rsid w:val="00287C66"/>
    <w:rsid w:val="0029215C"/>
    <w:rsid w:val="002A2E75"/>
    <w:rsid w:val="002A396C"/>
    <w:rsid w:val="002B4A86"/>
    <w:rsid w:val="002C1AD6"/>
    <w:rsid w:val="002C576F"/>
    <w:rsid w:val="002D2874"/>
    <w:rsid w:val="002D3CC6"/>
    <w:rsid w:val="002F005C"/>
    <w:rsid w:val="0030258F"/>
    <w:rsid w:val="00335DAC"/>
    <w:rsid w:val="00350C4D"/>
    <w:rsid w:val="00380AC2"/>
    <w:rsid w:val="0039029F"/>
    <w:rsid w:val="00392EA1"/>
    <w:rsid w:val="003943B9"/>
    <w:rsid w:val="00396D07"/>
    <w:rsid w:val="003D37EF"/>
    <w:rsid w:val="003F0BA2"/>
    <w:rsid w:val="003F140B"/>
    <w:rsid w:val="003F35AE"/>
    <w:rsid w:val="00413FE1"/>
    <w:rsid w:val="00416E74"/>
    <w:rsid w:val="00433E68"/>
    <w:rsid w:val="00462A2D"/>
    <w:rsid w:val="00465FF3"/>
    <w:rsid w:val="004772B8"/>
    <w:rsid w:val="004907E6"/>
    <w:rsid w:val="004B71F0"/>
    <w:rsid w:val="004B7670"/>
    <w:rsid w:val="004C6523"/>
    <w:rsid w:val="004D0C2D"/>
    <w:rsid w:val="00557982"/>
    <w:rsid w:val="005604E7"/>
    <w:rsid w:val="00583045"/>
    <w:rsid w:val="00585632"/>
    <w:rsid w:val="005A2A80"/>
    <w:rsid w:val="005A2DB1"/>
    <w:rsid w:val="005B3603"/>
    <w:rsid w:val="005D1CC6"/>
    <w:rsid w:val="005E0376"/>
    <w:rsid w:val="005E6DF2"/>
    <w:rsid w:val="00607EED"/>
    <w:rsid w:val="00610C8A"/>
    <w:rsid w:val="006225EC"/>
    <w:rsid w:val="00632616"/>
    <w:rsid w:val="00657A89"/>
    <w:rsid w:val="00657BD8"/>
    <w:rsid w:val="00667C9B"/>
    <w:rsid w:val="00691BA9"/>
    <w:rsid w:val="006A0C4C"/>
    <w:rsid w:val="006C72E7"/>
    <w:rsid w:val="006F1897"/>
    <w:rsid w:val="006F44D9"/>
    <w:rsid w:val="00706482"/>
    <w:rsid w:val="00724E13"/>
    <w:rsid w:val="00731E27"/>
    <w:rsid w:val="00735E3A"/>
    <w:rsid w:val="00737D9F"/>
    <w:rsid w:val="00754553"/>
    <w:rsid w:val="00765DBB"/>
    <w:rsid w:val="007673CE"/>
    <w:rsid w:val="00767980"/>
    <w:rsid w:val="00782001"/>
    <w:rsid w:val="007B21FE"/>
    <w:rsid w:val="007B2350"/>
    <w:rsid w:val="007B321D"/>
    <w:rsid w:val="007C4530"/>
    <w:rsid w:val="008753D7"/>
    <w:rsid w:val="00884310"/>
    <w:rsid w:val="008A1504"/>
    <w:rsid w:val="008C5FE2"/>
    <w:rsid w:val="008D03EB"/>
    <w:rsid w:val="008D2343"/>
    <w:rsid w:val="008E2768"/>
    <w:rsid w:val="008F2841"/>
    <w:rsid w:val="0090037C"/>
    <w:rsid w:val="00915FAE"/>
    <w:rsid w:val="00917DE7"/>
    <w:rsid w:val="00926489"/>
    <w:rsid w:val="009940C1"/>
    <w:rsid w:val="009B0EB4"/>
    <w:rsid w:val="009F6321"/>
    <w:rsid w:val="00A06B35"/>
    <w:rsid w:val="00A10E5E"/>
    <w:rsid w:val="00A201E5"/>
    <w:rsid w:val="00A74A64"/>
    <w:rsid w:val="00A75FBD"/>
    <w:rsid w:val="00A831AC"/>
    <w:rsid w:val="00A92E53"/>
    <w:rsid w:val="00AA6EB9"/>
    <w:rsid w:val="00AA71D5"/>
    <w:rsid w:val="00AB717E"/>
    <w:rsid w:val="00AE3779"/>
    <w:rsid w:val="00AE6E48"/>
    <w:rsid w:val="00AF258A"/>
    <w:rsid w:val="00B03AC2"/>
    <w:rsid w:val="00B14542"/>
    <w:rsid w:val="00B30E6A"/>
    <w:rsid w:val="00B35C58"/>
    <w:rsid w:val="00B37643"/>
    <w:rsid w:val="00B50E05"/>
    <w:rsid w:val="00B566D8"/>
    <w:rsid w:val="00B84DCE"/>
    <w:rsid w:val="00BB54B1"/>
    <w:rsid w:val="00BD09D1"/>
    <w:rsid w:val="00BD3169"/>
    <w:rsid w:val="00BE19F4"/>
    <w:rsid w:val="00BE3CCC"/>
    <w:rsid w:val="00C00855"/>
    <w:rsid w:val="00C348D8"/>
    <w:rsid w:val="00C4304D"/>
    <w:rsid w:val="00C616BD"/>
    <w:rsid w:val="00C701B5"/>
    <w:rsid w:val="00C7425A"/>
    <w:rsid w:val="00C816B8"/>
    <w:rsid w:val="00C825D5"/>
    <w:rsid w:val="00C87247"/>
    <w:rsid w:val="00C87AE4"/>
    <w:rsid w:val="00CB29C8"/>
    <w:rsid w:val="00CB5D2A"/>
    <w:rsid w:val="00CC150C"/>
    <w:rsid w:val="00CC296A"/>
    <w:rsid w:val="00CD1355"/>
    <w:rsid w:val="00CD47A0"/>
    <w:rsid w:val="00CE06CB"/>
    <w:rsid w:val="00D06CA4"/>
    <w:rsid w:val="00D21ED0"/>
    <w:rsid w:val="00D353B3"/>
    <w:rsid w:val="00D5649D"/>
    <w:rsid w:val="00D64609"/>
    <w:rsid w:val="00D67D90"/>
    <w:rsid w:val="00D90EA1"/>
    <w:rsid w:val="00DA46C5"/>
    <w:rsid w:val="00DB3550"/>
    <w:rsid w:val="00DB6EB4"/>
    <w:rsid w:val="00DF531F"/>
    <w:rsid w:val="00E2108C"/>
    <w:rsid w:val="00E23E3C"/>
    <w:rsid w:val="00E47935"/>
    <w:rsid w:val="00E50B49"/>
    <w:rsid w:val="00E55131"/>
    <w:rsid w:val="00E62122"/>
    <w:rsid w:val="00E73A27"/>
    <w:rsid w:val="00EA18A0"/>
    <w:rsid w:val="00EB034D"/>
    <w:rsid w:val="00EB2947"/>
    <w:rsid w:val="00F068DD"/>
    <w:rsid w:val="00F10C80"/>
    <w:rsid w:val="00F36939"/>
    <w:rsid w:val="00F3777E"/>
    <w:rsid w:val="00F444FF"/>
    <w:rsid w:val="00F6279E"/>
    <w:rsid w:val="00F90610"/>
    <w:rsid w:val="00FA1221"/>
    <w:rsid w:val="00FA76E9"/>
    <w:rsid w:val="00FA77F5"/>
    <w:rsid w:val="00FB1E52"/>
    <w:rsid w:val="00FC4CEA"/>
    <w:rsid w:val="00FD1790"/>
    <w:rsid w:val="00FD787D"/>
    <w:rsid w:val="00FE004E"/>
    <w:rsid w:val="00FE36B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6939"/>
    <w:pPr>
      <w:widowControl w:val="0"/>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rsid w:val="00E55131"/>
    <w:rPr>
      <w:rFonts w:ascii="Cambria" w:hAnsi="Cambria" w:cs="Cambria"/>
      <w:sz w:val="18"/>
      <w:szCs w:val="18"/>
    </w:rPr>
  </w:style>
  <w:style w:type="character" w:customStyle="1" w:styleId="a5">
    <w:name w:val="註解方塊文字 字元"/>
    <w:basedOn w:val="a1"/>
    <w:link w:val="a4"/>
    <w:uiPriority w:val="99"/>
    <w:semiHidden/>
    <w:locked/>
    <w:rsid w:val="00E55131"/>
    <w:rPr>
      <w:rFonts w:ascii="Cambria" w:eastAsia="新細明體" w:hAnsi="Cambria" w:cs="Cambria"/>
      <w:kern w:val="2"/>
      <w:sz w:val="18"/>
      <w:szCs w:val="18"/>
    </w:rPr>
  </w:style>
  <w:style w:type="paragraph" w:styleId="a6">
    <w:name w:val="header"/>
    <w:basedOn w:val="a0"/>
    <w:link w:val="a7"/>
    <w:uiPriority w:val="99"/>
    <w:semiHidden/>
    <w:rsid w:val="00F36939"/>
    <w:pPr>
      <w:tabs>
        <w:tab w:val="center" w:pos="4153"/>
        <w:tab w:val="right" w:pos="8306"/>
      </w:tabs>
      <w:snapToGrid w:val="0"/>
    </w:pPr>
    <w:rPr>
      <w:sz w:val="20"/>
      <w:szCs w:val="20"/>
    </w:rPr>
  </w:style>
  <w:style w:type="character" w:customStyle="1" w:styleId="a7">
    <w:name w:val="頁首 字元"/>
    <w:basedOn w:val="a1"/>
    <w:link w:val="a6"/>
    <w:uiPriority w:val="99"/>
    <w:semiHidden/>
    <w:locked/>
    <w:rsid w:val="00C4304D"/>
    <w:rPr>
      <w:sz w:val="20"/>
      <w:szCs w:val="20"/>
    </w:rPr>
  </w:style>
  <w:style w:type="character" w:styleId="a8">
    <w:name w:val="page number"/>
    <w:basedOn w:val="a1"/>
    <w:uiPriority w:val="99"/>
    <w:semiHidden/>
    <w:rsid w:val="00F36939"/>
  </w:style>
  <w:style w:type="paragraph" w:styleId="a9">
    <w:name w:val="footer"/>
    <w:basedOn w:val="a0"/>
    <w:link w:val="aa"/>
    <w:uiPriority w:val="99"/>
    <w:semiHidden/>
    <w:rsid w:val="000732AD"/>
    <w:pPr>
      <w:tabs>
        <w:tab w:val="center" w:pos="4153"/>
        <w:tab w:val="right" w:pos="8306"/>
      </w:tabs>
      <w:snapToGrid w:val="0"/>
    </w:pPr>
    <w:rPr>
      <w:sz w:val="20"/>
      <w:szCs w:val="20"/>
    </w:rPr>
  </w:style>
  <w:style w:type="character" w:customStyle="1" w:styleId="aa">
    <w:name w:val="頁尾 字元"/>
    <w:basedOn w:val="a1"/>
    <w:link w:val="a9"/>
    <w:uiPriority w:val="99"/>
    <w:semiHidden/>
    <w:locked/>
    <w:rsid w:val="000732AD"/>
    <w:rPr>
      <w:kern w:val="2"/>
    </w:rPr>
  </w:style>
  <w:style w:type="paragraph" w:styleId="HTML">
    <w:name w:val="HTML Preformatted"/>
    <w:basedOn w:val="a0"/>
    <w:link w:val="HTML0"/>
    <w:uiPriority w:val="99"/>
    <w:rsid w:val="00350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locked/>
    <w:rsid w:val="00C4304D"/>
    <w:rPr>
      <w:rFonts w:ascii="Courier New" w:hAnsi="Courier New" w:cs="Courier New"/>
      <w:sz w:val="20"/>
      <w:szCs w:val="20"/>
    </w:rPr>
  </w:style>
  <w:style w:type="paragraph" w:styleId="ab">
    <w:name w:val="List Paragraph"/>
    <w:basedOn w:val="a0"/>
    <w:uiPriority w:val="99"/>
    <w:qFormat/>
    <w:rsid w:val="00D06CA4"/>
    <w:pPr>
      <w:ind w:leftChars="200" w:left="480"/>
    </w:pPr>
  </w:style>
  <w:style w:type="paragraph" w:styleId="1">
    <w:name w:val="toc 1"/>
    <w:basedOn w:val="a0"/>
    <w:next w:val="a0"/>
    <w:autoRedefine/>
    <w:uiPriority w:val="99"/>
    <w:semiHidden/>
    <w:locked/>
    <w:rsid w:val="000F6CC3"/>
    <w:pPr>
      <w:spacing w:before="360"/>
      <w:ind w:leftChars="-118" w:left="-283" w:rightChars="-260" w:right="-624"/>
    </w:pPr>
    <w:rPr>
      <w:rFonts w:ascii="Arial" w:hAnsi="Arial" w:cs="Arial"/>
      <w:b/>
      <w:bCs/>
      <w:caps/>
    </w:rPr>
  </w:style>
  <w:style w:type="character" w:styleId="ac">
    <w:name w:val="Hyperlink"/>
    <w:basedOn w:val="a1"/>
    <w:uiPriority w:val="99"/>
    <w:rsid w:val="000F6CC3"/>
    <w:rPr>
      <w:color w:val="0000FF"/>
      <w:u w:val="single"/>
    </w:rPr>
  </w:style>
  <w:style w:type="paragraph" w:customStyle="1" w:styleId="a">
    <w:name w:val="分項段落"/>
    <w:basedOn w:val="a0"/>
    <w:uiPriority w:val="99"/>
    <w:rsid w:val="00EB2947"/>
    <w:pPr>
      <w:numPr>
        <w:numId w:val="9"/>
      </w:numPr>
      <w:adjustRightInd w:val="0"/>
      <w:snapToGrid w:val="0"/>
      <w:spacing w:line="480" w:lineRule="exact"/>
      <w:ind w:right="284"/>
      <w:jc w:val="both"/>
    </w:pPr>
    <w:rPr>
      <w:rFonts w:eastAsia="標楷體"/>
      <w:kern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36939"/>
    <w:pPr>
      <w:widowControl w:val="0"/>
    </w:pPr>
    <w:rPr>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iPriority w:val="99"/>
    <w:semiHidden/>
    <w:rsid w:val="00E55131"/>
    <w:rPr>
      <w:rFonts w:ascii="Cambria" w:hAnsi="Cambria" w:cs="Cambria"/>
      <w:sz w:val="18"/>
      <w:szCs w:val="18"/>
    </w:rPr>
  </w:style>
  <w:style w:type="character" w:customStyle="1" w:styleId="a5">
    <w:name w:val="註解方塊文字 字元"/>
    <w:basedOn w:val="a1"/>
    <w:link w:val="a4"/>
    <w:uiPriority w:val="99"/>
    <w:semiHidden/>
    <w:locked/>
    <w:rsid w:val="00E55131"/>
    <w:rPr>
      <w:rFonts w:ascii="Cambria" w:eastAsia="新細明體" w:hAnsi="Cambria" w:cs="Cambria"/>
      <w:kern w:val="2"/>
      <w:sz w:val="18"/>
      <w:szCs w:val="18"/>
    </w:rPr>
  </w:style>
  <w:style w:type="paragraph" w:styleId="a6">
    <w:name w:val="header"/>
    <w:basedOn w:val="a0"/>
    <w:link w:val="a7"/>
    <w:uiPriority w:val="99"/>
    <w:semiHidden/>
    <w:rsid w:val="00F36939"/>
    <w:pPr>
      <w:tabs>
        <w:tab w:val="center" w:pos="4153"/>
        <w:tab w:val="right" w:pos="8306"/>
      </w:tabs>
      <w:snapToGrid w:val="0"/>
    </w:pPr>
    <w:rPr>
      <w:sz w:val="20"/>
      <w:szCs w:val="20"/>
    </w:rPr>
  </w:style>
  <w:style w:type="character" w:customStyle="1" w:styleId="a7">
    <w:name w:val="頁首 字元"/>
    <w:basedOn w:val="a1"/>
    <w:link w:val="a6"/>
    <w:uiPriority w:val="99"/>
    <w:semiHidden/>
    <w:locked/>
    <w:rsid w:val="00C4304D"/>
    <w:rPr>
      <w:sz w:val="20"/>
      <w:szCs w:val="20"/>
    </w:rPr>
  </w:style>
  <w:style w:type="character" w:styleId="a8">
    <w:name w:val="page number"/>
    <w:basedOn w:val="a1"/>
    <w:uiPriority w:val="99"/>
    <w:semiHidden/>
    <w:rsid w:val="00F36939"/>
  </w:style>
  <w:style w:type="paragraph" w:styleId="a9">
    <w:name w:val="footer"/>
    <w:basedOn w:val="a0"/>
    <w:link w:val="aa"/>
    <w:uiPriority w:val="99"/>
    <w:semiHidden/>
    <w:rsid w:val="000732AD"/>
    <w:pPr>
      <w:tabs>
        <w:tab w:val="center" w:pos="4153"/>
        <w:tab w:val="right" w:pos="8306"/>
      </w:tabs>
      <w:snapToGrid w:val="0"/>
    </w:pPr>
    <w:rPr>
      <w:sz w:val="20"/>
      <w:szCs w:val="20"/>
    </w:rPr>
  </w:style>
  <w:style w:type="character" w:customStyle="1" w:styleId="aa">
    <w:name w:val="頁尾 字元"/>
    <w:basedOn w:val="a1"/>
    <w:link w:val="a9"/>
    <w:uiPriority w:val="99"/>
    <w:semiHidden/>
    <w:locked/>
    <w:rsid w:val="000732AD"/>
    <w:rPr>
      <w:kern w:val="2"/>
    </w:rPr>
  </w:style>
  <w:style w:type="paragraph" w:styleId="HTML">
    <w:name w:val="HTML Preformatted"/>
    <w:basedOn w:val="a0"/>
    <w:link w:val="HTML0"/>
    <w:uiPriority w:val="99"/>
    <w:rsid w:val="00350C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1"/>
    <w:link w:val="HTML"/>
    <w:uiPriority w:val="99"/>
    <w:semiHidden/>
    <w:locked/>
    <w:rsid w:val="00C4304D"/>
    <w:rPr>
      <w:rFonts w:ascii="Courier New" w:hAnsi="Courier New" w:cs="Courier New"/>
      <w:sz w:val="20"/>
      <w:szCs w:val="20"/>
    </w:rPr>
  </w:style>
  <w:style w:type="paragraph" w:styleId="ab">
    <w:name w:val="List Paragraph"/>
    <w:basedOn w:val="a0"/>
    <w:uiPriority w:val="99"/>
    <w:qFormat/>
    <w:rsid w:val="00D06CA4"/>
    <w:pPr>
      <w:ind w:leftChars="200" w:left="480"/>
    </w:pPr>
  </w:style>
  <w:style w:type="paragraph" w:styleId="1">
    <w:name w:val="toc 1"/>
    <w:basedOn w:val="a0"/>
    <w:next w:val="a0"/>
    <w:autoRedefine/>
    <w:uiPriority w:val="99"/>
    <w:semiHidden/>
    <w:locked/>
    <w:rsid w:val="000F6CC3"/>
    <w:pPr>
      <w:spacing w:before="360"/>
      <w:ind w:leftChars="-118" w:left="-283" w:rightChars="-260" w:right="-624"/>
    </w:pPr>
    <w:rPr>
      <w:rFonts w:ascii="Arial" w:hAnsi="Arial" w:cs="Arial"/>
      <w:b/>
      <w:bCs/>
      <w:caps/>
    </w:rPr>
  </w:style>
  <w:style w:type="character" w:styleId="ac">
    <w:name w:val="Hyperlink"/>
    <w:basedOn w:val="a1"/>
    <w:uiPriority w:val="99"/>
    <w:rsid w:val="000F6CC3"/>
    <w:rPr>
      <w:color w:val="0000FF"/>
      <w:u w:val="single"/>
    </w:rPr>
  </w:style>
  <w:style w:type="paragraph" w:customStyle="1" w:styleId="a">
    <w:name w:val="分項段落"/>
    <w:basedOn w:val="a0"/>
    <w:uiPriority w:val="99"/>
    <w:rsid w:val="00EB2947"/>
    <w:pPr>
      <w:numPr>
        <w:numId w:val="9"/>
      </w:numPr>
      <w:adjustRightInd w:val="0"/>
      <w:snapToGrid w:val="0"/>
      <w:spacing w:line="480" w:lineRule="exact"/>
      <w:ind w:right="284"/>
      <w:jc w:val="both"/>
    </w:pPr>
    <w:rPr>
      <w:rFonts w:eastAsia="標楷體"/>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1543</Characters>
  <Application>Microsoft Office Word</Application>
  <DocSecurity>0</DocSecurity>
  <Lines>12</Lines>
  <Paragraphs>3</Paragraphs>
  <ScaleCrop>false</ScaleCrop>
  <Company>none</Company>
  <LinksUpToDate>false</LinksUpToDate>
  <CharactersWithSpaces>1810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臺灣期貨交易所九十年度研究報告提要表</dc:title>
  <dc:creator>user</dc:creator>
  <cp:lastModifiedBy>蘇俊銘solo</cp:lastModifiedBy>
  <cp:revision>2</cp:revision>
  <cp:lastPrinted>2013-11-13T07:17:00Z</cp:lastPrinted>
  <dcterms:created xsi:type="dcterms:W3CDTF">2015-05-27T01:35:00Z</dcterms:created>
  <dcterms:modified xsi:type="dcterms:W3CDTF">2015-05-27T01:35:00Z</dcterms:modified>
</cp:coreProperties>
</file>