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DF" w:rsidRPr="0022397A" w:rsidRDefault="00611C8F" w:rsidP="00443FDB">
      <w:pPr>
        <w:widowControl/>
        <w:spacing w:line="440" w:lineRule="exact"/>
        <w:rPr>
          <w:rFonts w:ascii="標楷體" w:eastAsia="標楷體" w:hAnsi="標楷體" w:cs="新細明體"/>
          <w:b/>
          <w:bCs/>
          <w:kern w:val="0"/>
          <w:sz w:val="36"/>
          <w:szCs w:val="36"/>
          <w:shd w:val="pct15" w:color="auto" w:fill="FFFFFF"/>
          <w14:shadow w14:blurRad="50800" w14:dist="38100" w14:dir="2700000" w14:sx="100000" w14:sy="100000" w14:kx="0" w14:ky="0" w14:algn="tl">
            <w14:srgbClr w14:val="000000">
              <w14:alpha w14:val="60000"/>
            </w14:srgbClr>
          </w14:shadow>
        </w:rPr>
      </w:pPr>
      <w:bookmarkStart w:id="0" w:name="_GoBack"/>
      <w:bookmarkEnd w:id="0"/>
      <w:r w:rsidRPr="00611C8F">
        <w:rPr>
          <w:rFonts w:ascii="標楷體" w:eastAsia="標楷體" w:hAnsi="標楷體" w:cs="新細明體" w:hint="eastAsia"/>
          <w:b/>
          <w:kern w:val="0"/>
          <w:sz w:val="32"/>
          <w:szCs w:val="32"/>
          <w:shd w:val="pct15" w:color="auto" w:fill="FFFFFF"/>
        </w:rPr>
        <w:t>電話行銷</w:t>
      </w:r>
    </w:p>
    <w:p w:rsidR="00611C8F" w:rsidRDefault="0002715B" w:rsidP="00611C8F">
      <w:pPr>
        <w:widowControl/>
        <w:tabs>
          <w:tab w:val="left" w:pos="360"/>
        </w:tabs>
        <w:spacing w:line="600" w:lineRule="exact"/>
        <w:ind w:left="1602" w:hangingChars="500" w:hanging="1602"/>
        <w:jc w:val="both"/>
        <w:rPr>
          <w:rFonts w:ascii="標楷體" w:eastAsia="標楷體" w:hAnsi="標楷體" w:cs="新細明體" w:hint="eastAsia"/>
          <w:b/>
          <w:kern w:val="0"/>
          <w:sz w:val="32"/>
          <w:szCs w:val="32"/>
        </w:rPr>
      </w:pPr>
      <w:r w:rsidRPr="00B3519F">
        <w:rPr>
          <w:rFonts w:ascii="標楷體" w:eastAsia="標楷體" w:hAnsi="標楷體" w:cs="新細明體" w:hint="eastAsia"/>
          <w:b/>
          <w:kern w:val="0"/>
          <w:sz w:val="32"/>
          <w:szCs w:val="32"/>
        </w:rPr>
        <w:t>一、案例</w:t>
      </w:r>
      <w:r w:rsidR="00A00185">
        <w:rPr>
          <w:rFonts w:ascii="標楷體" w:eastAsia="標楷體" w:hAnsi="標楷體" w:cs="新細明體" w:hint="eastAsia"/>
          <w:b/>
          <w:kern w:val="0"/>
          <w:sz w:val="32"/>
          <w:szCs w:val="32"/>
        </w:rPr>
        <w:t>：</w:t>
      </w:r>
    </w:p>
    <w:p w:rsidR="0002715B" w:rsidRPr="00B3519F" w:rsidRDefault="00611C8F" w:rsidP="00611C8F">
      <w:pPr>
        <w:widowControl/>
        <w:tabs>
          <w:tab w:val="left" w:pos="360"/>
        </w:tabs>
        <w:spacing w:line="600" w:lineRule="exact"/>
        <w:ind w:leftChars="295" w:left="708"/>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某資訊公司</w:t>
      </w:r>
      <w:r w:rsidRPr="00B3519F">
        <w:rPr>
          <w:rFonts w:ascii="標楷體" w:eastAsia="標楷體" w:hAnsi="標楷體" w:cs="新細明體" w:hint="eastAsia"/>
          <w:kern w:val="0"/>
          <w:sz w:val="32"/>
          <w:szCs w:val="32"/>
        </w:rPr>
        <w:t>業務員</w:t>
      </w:r>
      <w:r>
        <w:rPr>
          <w:rFonts w:ascii="標楷體" w:eastAsia="標楷體" w:hAnsi="標楷體" w:cs="新細明體" w:hint="eastAsia"/>
          <w:kern w:val="0"/>
          <w:sz w:val="32"/>
          <w:szCs w:val="32"/>
        </w:rPr>
        <w:t>吳小姐利用工商電話簿或隨機以</w:t>
      </w:r>
      <w:r w:rsidRPr="00B3519F">
        <w:rPr>
          <w:rFonts w:ascii="標楷體" w:eastAsia="標楷體" w:hAnsi="標楷體" w:cs="新細明體" w:hint="eastAsia"/>
          <w:kern w:val="0"/>
          <w:sz w:val="32"/>
          <w:szCs w:val="32"/>
        </w:rPr>
        <w:t>電話</w:t>
      </w:r>
      <w:r>
        <w:rPr>
          <w:rFonts w:ascii="標楷體" w:eastAsia="標楷體" w:hAnsi="標楷體" w:cs="新細明體" w:hint="eastAsia"/>
          <w:kern w:val="0"/>
          <w:sz w:val="32"/>
          <w:szCs w:val="32"/>
        </w:rPr>
        <w:t>撥打在廣告公司上班的陳先生，推銷甲電子公司及乙生技公司等二家未上市(櫃)公司股票，聲稱未來極具有發展潛力，預計將陸續上市(櫃)交易，吳小姐告訴陳先生可以每股60元，低於市場行情價格出售予陳先生，請其把握機會，並寄送二家公司之投資評估報告供其參考</w:t>
      </w:r>
    </w:p>
    <w:p w:rsidR="00B5666A" w:rsidRPr="00B5666A" w:rsidRDefault="00611C8F" w:rsidP="00611C8F">
      <w:pPr>
        <w:widowControl/>
        <w:tabs>
          <w:tab w:val="left" w:pos="360"/>
        </w:tabs>
        <w:spacing w:line="600" w:lineRule="exact"/>
        <w:jc w:val="both"/>
        <w:rPr>
          <w:rFonts w:ascii="標楷體" w:eastAsia="標楷體" w:hAnsi="標楷體" w:cs="新細明體" w:hint="eastAsia"/>
          <w:b/>
          <w:kern w:val="0"/>
          <w:sz w:val="32"/>
          <w:szCs w:val="32"/>
        </w:rPr>
      </w:pPr>
      <w:r>
        <w:rPr>
          <w:rFonts w:ascii="標楷體" w:eastAsia="標楷體" w:hAnsi="標楷體" w:cs="新細明體" w:hint="eastAsia"/>
          <w:kern w:val="0"/>
          <w:sz w:val="32"/>
          <w:szCs w:val="32"/>
        </w:rPr>
        <w:t>二、</w:t>
      </w:r>
      <w:r w:rsidR="00B5666A" w:rsidRPr="00611C8F">
        <w:rPr>
          <w:rFonts w:ascii="標楷體" w:eastAsia="標楷體" w:hAnsi="標楷體" w:cs="新細明體" w:hint="eastAsia"/>
          <w:b/>
          <w:kern w:val="0"/>
          <w:sz w:val="32"/>
          <w:szCs w:val="32"/>
        </w:rPr>
        <w:t>案例</w:t>
      </w:r>
      <w:r w:rsidR="00B5666A" w:rsidRPr="00B5666A">
        <w:rPr>
          <w:rFonts w:ascii="標楷體" w:eastAsia="標楷體" w:hAnsi="標楷體" w:cs="新細明體" w:hint="eastAsia"/>
          <w:b/>
          <w:kern w:val="0"/>
          <w:sz w:val="32"/>
          <w:szCs w:val="32"/>
        </w:rPr>
        <w:t>分析：</w:t>
      </w:r>
    </w:p>
    <w:p w:rsidR="00B5666A" w:rsidRDefault="00B5666A" w:rsidP="00B5666A">
      <w:pPr>
        <w:widowControl/>
        <w:numPr>
          <w:ilvl w:val="0"/>
          <w:numId w:val="25"/>
        </w:numPr>
        <w:tabs>
          <w:tab w:val="left" w:pos="360"/>
        </w:tabs>
        <w:spacing w:line="600" w:lineRule="exact"/>
        <w:ind w:left="993" w:hanging="709"/>
        <w:jc w:val="both"/>
        <w:rPr>
          <w:rFonts w:ascii="標楷體" w:eastAsia="標楷體" w:hAnsi="標楷體" w:cs="新細明體" w:hint="eastAsia"/>
          <w:kern w:val="0"/>
          <w:sz w:val="32"/>
          <w:szCs w:val="32"/>
        </w:rPr>
      </w:pPr>
      <w:r w:rsidRPr="00B5666A">
        <w:rPr>
          <w:rFonts w:ascii="標楷體" w:eastAsia="標楷體" w:hAnsi="標楷體" w:cs="新細明體"/>
          <w:kern w:val="0"/>
          <w:sz w:val="32"/>
          <w:szCs w:val="32"/>
        </w:rPr>
        <w:t>坊間常見有許多財務投資公司</w:t>
      </w:r>
      <w:r w:rsidRPr="00B5666A">
        <w:rPr>
          <w:rFonts w:ascii="標楷體" w:eastAsia="標楷體" w:hAnsi="標楷體" w:cs="新細明體" w:hint="eastAsia"/>
          <w:kern w:val="0"/>
          <w:sz w:val="32"/>
          <w:szCs w:val="32"/>
        </w:rPr>
        <w:t>、</w:t>
      </w:r>
      <w:r w:rsidRPr="00B5666A">
        <w:rPr>
          <w:rFonts w:ascii="標楷體" w:eastAsia="標楷體" w:hAnsi="標楷體" w:cs="新細明體"/>
          <w:kern w:val="0"/>
          <w:sz w:val="32"/>
          <w:szCs w:val="32"/>
        </w:rPr>
        <w:t>財務顧問公司、資訊公司</w:t>
      </w:r>
      <w:r w:rsidRPr="00B5666A">
        <w:rPr>
          <w:rFonts w:ascii="標楷體" w:eastAsia="標楷體" w:hAnsi="標楷體" w:cs="新細明體" w:hint="eastAsia"/>
          <w:kern w:val="0"/>
          <w:sz w:val="32"/>
          <w:szCs w:val="32"/>
        </w:rPr>
        <w:t>等，以未上市(櫃)公司獲利能力佳，產業前景看好，未來並計畫以股票上市(櫃)方式對外公開募集資金來拓展業務規模，如能事先購買這些公司股票，將來這些公司完成上市(櫃)後股價將倍數成長，而以電話行銷方式仲介投資</w:t>
      </w:r>
      <w:r w:rsidRPr="00B5666A">
        <w:rPr>
          <w:rFonts w:ascii="標楷體" w:eastAsia="標楷體" w:hAnsi="標楷體" w:cs="新細明體"/>
          <w:kern w:val="0"/>
          <w:sz w:val="32"/>
          <w:szCs w:val="32"/>
        </w:rPr>
        <w:t>人</w:t>
      </w:r>
      <w:r w:rsidRPr="00B5666A">
        <w:rPr>
          <w:rFonts w:ascii="標楷體" w:eastAsia="標楷體" w:hAnsi="標楷體" w:cs="新細明體" w:hint="eastAsia"/>
          <w:kern w:val="0"/>
          <w:sz w:val="32"/>
          <w:szCs w:val="32"/>
        </w:rPr>
        <w:t>買賣未上市(櫃)公司股票</w:t>
      </w:r>
      <w:r w:rsidRPr="00B5666A">
        <w:rPr>
          <w:rFonts w:ascii="標楷體" w:eastAsia="標楷體" w:hAnsi="標楷體" w:cs="新細明體"/>
          <w:kern w:val="0"/>
          <w:sz w:val="32"/>
          <w:szCs w:val="32"/>
        </w:rPr>
        <w:t>。</w:t>
      </w:r>
    </w:p>
    <w:p w:rsidR="00B5666A" w:rsidRPr="00B5666A" w:rsidRDefault="00B5666A" w:rsidP="00B5666A">
      <w:pPr>
        <w:widowControl/>
        <w:numPr>
          <w:ilvl w:val="0"/>
          <w:numId w:val="25"/>
        </w:numPr>
        <w:tabs>
          <w:tab w:val="left" w:pos="360"/>
        </w:tabs>
        <w:spacing w:line="600" w:lineRule="exact"/>
        <w:ind w:left="993" w:hanging="709"/>
        <w:jc w:val="both"/>
        <w:rPr>
          <w:rFonts w:ascii="標楷體" w:eastAsia="標楷體" w:hAnsi="標楷體" w:cs="新細明體" w:hint="eastAsia"/>
          <w:kern w:val="0"/>
          <w:sz w:val="32"/>
          <w:szCs w:val="32"/>
        </w:rPr>
      </w:pPr>
      <w:r w:rsidRPr="00B5666A">
        <w:rPr>
          <w:rFonts w:ascii="標楷體" w:eastAsia="標楷體" w:hAnsi="標楷體" w:cs="新細明體"/>
          <w:kern w:val="0"/>
          <w:sz w:val="32"/>
          <w:szCs w:val="32"/>
        </w:rPr>
        <w:t>依</w:t>
      </w:r>
      <w:r w:rsidRPr="00B5666A">
        <w:rPr>
          <w:rFonts w:ascii="標楷體" w:eastAsia="標楷體" w:hAnsi="標楷體" w:cs="新細明體" w:hint="eastAsia"/>
          <w:kern w:val="0"/>
          <w:sz w:val="32"/>
          <w:szCs w:val="32"/>
        </w:rPr>
        <w:t>證券交易法第44條第1項規定，證券商須經主管機關之許可及發給許可證照，方得營業；非證券商不得經營證券業務</w:t>
      </w:r>
      <w:r w:rsidRPr="00B5666A">
        <w:rPr>
          <w:rFonts w:ascii="標楷體" w:eastAsia="標楷體" w:hAnsi="標楷體" w:cs="新細明體"/>
          <w:kern w:val="0"/>
          <w:sz w:val="32"/>
          <w:szCs w:val="32"/>
        </w:rPr>
        <w:t>。未經許可擅自經營</w:t>
      </w:r>
      <w:r w:rsidRPr="00B5666A">
        <w:rPr>
          <w:rFonts w:ascii="標楷體" w:eastAsia="標楷體" w:hAnsi="標楷體" w:cs="新細明體" w:hint="eastAsia"/>
          <w:kern w:val="0"/>
          <w:sz w:val="32"/>
          <w:szCs w:val="32"/>
        </w:rPr>
        <w:t>證券業務</w:t>
      </w:r>
      <w:r w:rsidRPr="00B5666A">
        <w:rPr>
          <w:rFonts w:ascii="標楷體" w:eastAsia="標楷體" w:hAnsi="標楷體" w:cs="新細明體"/>
          <w:kern w:val="0"/>
          <w:sz w:val="32"/>
          <w:szCs w:val="32"/>
        </w:rPr>
        <w:t>者，依</w:t>
      </w:r>
      <w:r w:rsidRPr="00B5666A">
        <w:rPr>
          <w:rFonts w:ascii="標楷體" w:eastAsia="標楷體" w:hAnsi="標楷體" w:cs="新細明體" w:hint="eastAsia"/>
          <w:kern w:val="0"/>
          <w:sz w:val="32"/>
          <w:szCs w:val="32"/>
        </w:rPr>
        <w:t>證券</w:t>
      </w:r>
      <w:r w:rsidRPr="00B5666A">
        <w:rPr>
          <w:rFonts w:ascii="標楷體" w:eastAsia="標楷體" w:hAnsi="標楷體" w:cs="新細明體"/>
          <w:kern w:val="0"/>
          <w:sz w:val="32"/>
          <w:szCs w:val="32"/>
        </w:rPr>
        <w:t>交易法第1</w:t>
      </w:r>
      <w:r w:rsidRPr="00B5666A">
        <w:rPr>
          <w:rFonts w:ascii="標楷體" w:eastAsia="標楷體" w:hAnsi="標楷體" w:cs="新細明體" w:hint="eastAsia"/>
          <w:kern w:val="0"/>
          <w:sz w:val="32"/>
          <w:szCs w:val="32"/>
        </w:rPr>
        <w:t>75</w:t>
      </w:r>
      <w:r w:rsidRPr="00B5666A">
        <w:rPr>
          <w:rFonts w:ascii="標楷體" w:eastAsia="標楷體" w:hAnsi="標楷體" w:cs="新細明體"/>
          <w:kern w:val="0"/>
          <w:sz w:val="32"/>
          <w:szCs w:val="32"/>
        </w:rPr>
        <w:t>條第</w:t>
      </w:r>
      <w:r w:rsidRPr="00B5666A">
        <w:rPr>
          <w:rFonts w:ascii="標楷體" w:eastAsia="標楷體" w:hAnsi="標楷體" w:cs="新細明體" w:hint="eastAsia"/>
          <w:kern w:val="0"/>
          <w:sz w:val="32"/>
          <w:szCs w:val="32"/>
        </w:rPr>
        <w:t>1項</w:t>
      </w:r>
      <w:r w:rsidRPr="00B5666A">
        <w:rPr>
          <w:rFonts w:ascii="標楷體" w:eastAsia="標楷體" w:hAnsi="標楷體" w:cs="新細明體"/>
          <w:kern w:val="0"/>
          <w:sz w:val="32"/>
          <w:szCs w:val="32"/>
        </w:rPr>
        <w:t>規定，處</w:t>
      </w:r>
      <w:r w:rsidRPr="00B5666A">
        <w:rPr>
          <w:rFonts w:ascii="標楷體" w:eastAsia="標楷體" w:hAnsi="標楷體" w:cs="新細明體" w:hint="eastAsia"/>
          <w:kern w:val="0"/>
          <w:sz w:val="32"/>
          <w:szCs w:val="32"/>
        </w:rPr>
        <w:t>2年以下有期徒刑、拘役或科或併科新臺幣180萬元以下罰金</w:t>
      </w:r>
      <w:r w:rsidRPr="00B5666A">
        <w:rPr>
          <w:rFonts w:ascii="標楷體" w:eastAsia="標楷體" w:hAnsi="標楷體" w:cs="新細明體"/>
          <w:kern w:val="0"/>
          <w:sz w:val="32"/>
          <w:szCs w:val="32"/>
        </w:rPr>
        <w:t>。</w:t>
      </w:r>
    </w:p>
    <w:p w:rsidR="00B5666A" w:rsidRPr="00B5666A" w:rsidRDefault="00B5666A" w:rsidP="00B5666A">
      <w:pPr>
        <w:widowControl/>
        <w:numPr>
          <w:ilvl w:val="0"/>
          <w:numId w:val="25"/>
        </w:numPr>
        <w:tabs>
          <w:tab w:val="left" w:pos="360"/>
        </w:tabs>
        <w:spacing w:line="600" w:lineRule="exact"/>
        <w:ind w:left="993" w:hanging="709"/>
        <w:jc w:val="both"/>
        <w:rPr>
          <w:rFonts w:ascii="標楷體" w:eastAsia="標楷體" w:hAnsi="標楷體" w:cs="新細明體" w:hint="eastAsia"/>
          <w:kern w:val="0"/>
          <w:sz w:val="32"/>
          <w:szCs w:val="32"/>
        </w:rPr>
      </w:pPr>
      <w:r w:rsidRPr="00B5666A">
        <w:rPr>
          <w:rFonts w:ascii="標楷體" w:eastAsia="標楷體" w:hAnsi="標楷體" w:cs="新細明體" w:hint="eastAsia"/>
          <w:kern w:val="0"/>
          <w:sz w:val="32"/>
          <w:szCs w:val="32"/>
        </w:rPr>
        <w:t>目前任何人（包括公司、行號或個人）經營證券業務，均應受證券交易法之規範。</w:t>
      </w:r>
    </w:p>
    <w:p w:rsidR="00B5666A" w:rsidRDefault="00B5666A" w:rsidP="00B3519F">
      <w:pPr>
        <w:widowControl/>
        <w:tabs>
          <w:tab w:val="left" w:pos="360"/>
        </w:tabs>
        <w:spacing w:line="600" w:lineRule="exact"/>
        <w:ind w:left="567"/>
        <w:jc w:val="both"/>
        <w:rPr>
          <w:rFonts w:ascii="標楷體" w:eastAsia="標楷體" w:hAnsi="標楷體" w:cs="新細明體" w:hint="eastAsia"/>
          <w:kern w:val="0"/>
          <w:sz w:val="32"/>
          <w:szCs w:val="32"/>
        </w:rPr>
      </w:pPr>
    </w:p>
    <w:p w:rsidR="00611C8F" w:rsidRDefault="00A00185" w:rsidP="00A00185">
      <w:pPr>
        <w:widowControl/>
        <w:tabs>
          <w:tab w:val="left" w:pos="360"/>
        </w:tabs>
        <w:spacing w:line="600" w:lineRule="exact"/>
        <w:jc w:val="both"/>
        <w:rPr>
          <w:rFonts w:ascii="標楷體" w:eastAsia="標楷體" w:hAnsi="標楷體" w:cs="新細明體" w:hint="eastAsia"/>
          <w:kern w:val="0"/>
          <w:sz w:val="32"/>
          <w:szCs w:val="32"/>
        </w:rPr>
      </w:pPr>
      <w:r>
        <w:rPr>
          <w:rFonts w:ascii="標楷體" w:eastAsia="標楷體" w:hAnsi="標楷體" w:cs="新細明體"/>
          <w:kern w:val="0"/>
          <w:sz w:val="32"/>
          <w:szCs w:val="32"/>
        </w:rPr>
        <w:br w:type="page"/>
      </w:r>
      <w:r w:rsidR="00611C8F" w:rsidRPr="00611C8F">
        <w:rPr>
          <w:rFonts w:ascii="標楷體" w:eastAsia="標楷體" w:hAnsi="標楷體" w:cs="新細明體" w:hint="eastAsia"/>
          <w:b/>
          <w:kern w:val="0"/>
          <w:sz w:val="32"/>
          <w:szCs w:val="32"/>
          <w:shd w:val="pct15" w:color="auto" w:fill="FFFFFF"/>
        </w:rPr>
        <w:lastRenderedPageBreak/>
        <w:t>召開說明會</w:t>
      </w:r>
    </w:p>
    <w:p w:rsidR="00611C8F" w:rsidRDefault="00611C8F" w:rsidP="00611C8F">
      <w:pPr>
        <w:widowControl/>
        <w:tabs>
          <w:tab w:val="left" w:pos="360"/>
        </w:tabs>
        <w:spacing w:line="600" w:lineRule="exact"/>
        <w:ind w:left="1602" w:hangingChars="500" w:hanging="1602"/>
        <w:jc w:val="both"/>
        <w:rPr>
          <w:rFonts w:ascii="標楷體" w:eastAsia="標楷體" w:hAnsi="標楷體" w:cs="新細明體" w:hint="eastAsia"/>
          <w:b/>
          <w:kern w:val="0"/>
          <w:sz w:val="32"/>
          <w:szCs w:val="32"/>
        </w:rPr>
      </w:pPr>
      <w:r>
        <w:rPr>
          <w:rFonts w:ascii="標楷體" w:eastAsia="標楷體" w:hAnsi="標楷體" w:cs="新細明體" w:hint="eastAsia"/>
          <w:b/>
          <w:kern w:val="0"/>
          <w:sz w:val="32"/>
          <w:szCs w:val="32"/>
        </w:rPr>
        <w:t>一</w:t>
      </w:r>
      <w:r w:rsidR="00581162" w:rsidRPr="00581162">
        <w:rPr>
          <w:rFonts w:ascii="標楷體" w:eastAsia="標楷體" w:hAnsi="標楷體" w:cs="新細明體" w:hint="eastAsia"/>
          <w:b/>
          <w:kern w:val="0"/>
          <w:sz w:val="32"/>
          <w:szCs w:val="32"/>
        </w:rPr>
        <w:t>、</w:t>
      </w:r>
      <w:r w:rsidR="00B5666A" w:rsidRPr="00581162">
        <w:rPr>
          <w:rFonts w:ascii="標楷體" w:eastAsia="標楷體" w:hAnsi="標楷體" w:cs="新細明體" w:hint="eastAsia"/>
          <w:b/>
          <w:kern w:val="0"/>
          <w:sz w:val="32"/>
          <w:szCs w:val="32"/>
        </w:rPr>
        <w:t>案例</w:t>
      </w:r>
      <w:r w:rsidR="00A00185">
        <w:rPr>
          <w:rFonts w:ascii="標楷體" w:eastAsia="標楷體" w:hAnsi="標楷體" w:cs="新細明體" w:hint="eastAsia"/>
          <w:b/>
          <w:kern w:val="0"/>
          <w:sz w:val="32"/>
          <w:szCs w:val="32"/>
        </w:rPr>
        <w:t>：</w:t>
      </w:r>
    </w:p>
    <w:p w:rsidR="00B5666A" w:rsidRPr="00581162" w:rsidRDefault="00611C8F" w:rsidP="00611C8F">
      <w:pPr>
        <w:widowControl/>
        <w:tabs>
          <w:tab w:val="left" w:pos="360"/>
        </w:tabs>
        <w:spacing w:line="600" w:lineRule="exact"/>
        <w:ind w:leftChars="235" w:left="705" w:hangingChars="44" w:hanging="141"/>
        <w:jc w:val="both"/>
        <w:rPr>
          <w:rFonts w:ascii="標楷體" w:eastAsia="標楷體" w:hAnsi="標楷體" w:cs="新細明體" w:hint="eastAsia"/>
          <w:b/>
          <w:kern w:val="0"/>
          <w:sz w:val="32"/>
          <w:szCs w:val="32"/>
        </w:rPr>
      </w:pPr>
      <w:r>
        <w:rPr>
          <w:rFonts w:ascii="標楷體" w:eastAsia="標楷體" w:hAnsi="標楷體" w:cs="新細明體" w:hint="eastAsia"/>
          <w:kern w:val="0"/>
          <w:sz w:val="32"/>
          <w:szCs w:val="32"/>
        </w:rPr>
        <w:t>某投</w:t>
      </w:r>
      <w:r w:rsidRPr="00B3519F">
        <w:rPr>
          <w:rFonts w:ascii="標楷體" w:eastAsia="標楷體" w:hAnsi="標楷體" w:cs="新細明體" w:hint="eastAsia"/>
          <w:kern w:val="0"/>
          <w:sz w:val="32"/>
          <w:szCs w:val="32"/>
        </w:rPr>
        <w:t>資公司印製</w:t>
      </w:r>
      <w:r>
        <w:rPr>
          <w:rFonts w:ascii="標楷體" w:eastAsia="標楷體" w:hAnsi="標楷體" w:cs="新細明體" w:hint="eastAsia"/>
          <w:kern w:val="0"/>
          <w:sz w:val="32"/>
          <w:szCs w:val="32"/>
        </w:rPr>
        <w:t>未上市(櫃)丙科技公司之</w:t>
      </w:r>
      <w:r w:rsidRPr="00B3519F">
        <w:rPr>
          <w:rFonts w:ascii="標楷體" w:eastAsia="標楷體" w:hAnsi="標楷體" w:cs="新細明體" w:hint="eastAsia"/>
          <w:kern w:val="0"/>
          <w:sz w:val="32"/>
          <w:szCs w:val="32"/>
        </w:rPr>
        <w:t>「投資營運計畫書」</w:t>
      </w:r>
      <w:r>
        <w:rPr>
          <w:rFonts w:ascii="標楷體" w:eastAsia="標楷體" w:hAnsi="標楷體" w:cs="新細明體" w:hint="eastAsia"/>
          <w:kern w:val="0"/>
          <w:sz w:val="32"/>
          <w:szCs w:val="32"/>
        </w:rPr>
        <w:t>及「為何要投資IPO」等宣傳文件，由投資公司業務員張君向不特定人招攬銷售丙科技公司股票，王君則負責收取股款，並</w:t>
      </w:r>
      <w:r w:rsidRPr="00B3519F">
        <w:rPr>
          <w:rFonts w:ascii="標楷體" w:eastAsia="標楷體" w:hAnsi="標楷體" w:cs="新細明體" w:hint="eastAsia"/>
          <w:kern w:val="0"/>
          <w:sz w:val="32"/>
          <w:szCs w:val="32"/>
        </w:rPr>
        <w:t>以召開說明會等方式</w:t>
      </w:r>
      <w:r>
        <w:rPr>
          <w:rFonts w:ascii="標楷體" w:eastAsia="標楷體" w:hAnsi="標楷體" w:cs="新細明體" w:hint="eastAsia"/>
          <w:kern w:val="0"/>
          <w:sz w:val="32"/>
          <w:szCs w:val="32"/>
        </w:rPr>
        <w:t>進行推銷丙科技公司，而</w:t>
      </w:r>
      <w:r w:rsidRPr="00B3519F">
        <w:rPr>
          <w:rFonts w:ascii="標楷體" w:eastAsia="標楷體" w:hAnsi="標楷體" w:cs="新細明體" w:hint="eastAsia"/>
          <w:kern w:val="0"/>
          <w:sz w:val="32"/>
          <w:szCs w:val="32"/>
        </w:rPr>
        <w:t>以類似直銷售兜售方式</w:t>
      </w:r>
      <w:r>
        <w:rPr>
          <w:rFonts w:ascii="標楷體" w:eastAsia="標楷體" w:hAnsi="標楷體" w:cs="新細明體" w:hint="eastAsia"/>
          <w:kern w:val="0"/>
          <w:sz w:val="32"/>
          <w:szCs w:val="32"/>
        </w:rPr>
        <w:t>，</w:t>
      </w:r>
      <w:r w:rsidRPr="00B3519F">
        <w:rPr>
          <w:rFonts w:ascii="標楷體" w:eastAsia="標楷體" w:hAnsi="標楷體" w:cs="新細明體" w:hint="eastAsia"/>
          <w:kern w:val="0"/>
          <w:sz w:val="32"/>
          <w:szCs w:val="32"/>
        </w:rPr>
        <w:t>以每張</w:t>
      </w:r>
      <w:r>
        <w:rPr>
          <w:rFonts w:ascii="標楷體" w:eastAsia="標楷體" w:hAnsi="標楷體" w:cs="新細明體" w:hint="eastAsia"/>
          <w:kern w:val="0"/>
          <w:sz w:val="32"/>
          <w:szCs w:val="32"/>
        </w:rPr>
        <w:t>6萬元之價格販售予張小姐</w:t>
      </w:r>
    </w:p>
    <w:p w:rsidR="00A00185" w:rsidRPr="00B5666A" w:rsidRDefault="00611C8F" w:rsidP="00611C8F">
      <w:pPr>
        <w:widowControl/>
        <w:tabs>
          <w:tab w:val="left" w:pos="360"/>
        </w:tabs>
        <w:spacing w:line="600" w:lineRule="exact"/>
        <w:jc w:val="both"/>
        <w:rPr>
          <w:rFonts w:ascii="標楷體" w:eastAsia="標楷體" w:hAnsi="標楷體" w:cs="新細明體" w:hint="eastAsia"/>
          <w:b/>
          <w:kern w:val="0"/>
          <w:sz w:val="32"/>
          <w:szCs w:val="32"/>
        </w:rPr>
      </w:pPr>
      <w:r>
        <w:rPr>
          <w:rFonts w:ascii="標楷體" w:eastAsia="標楷體" w:hAnsi="標楷體" w:cs="新細明體" w:hint="eastAsia"/>
          <w:b/>
          <w:kern w:val="0"/>
          <w:sz w:val="32"/>
          <w:szCs w:val="32"/>
        </w:rPr>
        <w:t>二、</w:t>
      </w:r>
      <w:r w:rsidR="00A00185" w:rsidRPr="00B5666A">
        <w:rPr>
          <w:rFonts w:ascii="標楷體" w:eastAsia="標楷體" w:hAnsi="標楷體" w:cs="新細明體" w:hint="eastAsia"/>
          <w:b/>
          <w:kern w:val="0"/>
          <w:sz w:val="32"/>
          <w:szCs w:val="32"/>
        </w:rPr>
        <w:t>案例分析：</w:t>
      </w:r>
    </w:p>
    <w:p w:rsidR="00A00185" w:rsidRDefault="00C34C5B" w:rsidP="00A00185">
      <w:pPr>
        <w:widowControl/>
        <w:numPr>
          <w:ilvl w:val="0"/>
          <w:numId w:val="26"/>
        </w:numPr>
        <w:tabs>
          <w:tab w:val="left" w:pos="360"/>
        </w:tabs>
        <w:spacing w:line="600" w:lineRule="exact"/>
        <w:ind w:left="1276" w:hanging="850"/>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經常有非法</w:t>
      </w:r>
      <w:r w:rsidR="00F47BC6">
        <w:rPr>
          <w:rFonts w:ascii="標楷體" w:eastAsia="標楷體" w:hAnsi="標楷體" w:cs="新細明體" w:hint="eastAsia"/>
          <w:kern w:val="0"/>
          <w:sz w:val="32"/>
          <w:szCs w:val="32"/>
        </w:rPr>
        <w:t>證券</w:t>
      </w:r>
      <w:r>
        <w:rPr>
          <w:rFonts w:ascii="標楷體" w:eastAsia="標楷體" w:hAnsi="標楷體" w:cs="新細明體" w:hint="eastAsia"/>
          <w:kern w:val="0"/>
          <w:sz w:val="32"/>
          <w:szCs w:val="32"/>
        </w:rPr>
        <w:t>公司</w:t>
      </w:r>
      <w:r w:rsidR="005B5002">
        <w:rPr>
          <w:rFonts w:ascii="標楷體" w:eastAsia="標楷體" w:hAnsi="標楷體" w:cs="新細明體" w:hint="eastAsia"/>
          <w:kern w:val="0"/>
          <w:sz w:val="32"/>
          <w:szCs w:val="32"/>
        </w:rPr>
        <w:t>藉由召開說明會方式，</w:t>
      </w:r>
      <w:r w:rsidR="00A81D52">
        <w:rPr>
          <w:rFonts w:ascii="標楷體" w:eastAsia="標楷體" w:hAnsi="標楷體" w:cs="新細明體" w:hint="eastAsia"/>
          <w:kern w:val="0"/>
          <w:sz w:val="32"/>
          <w:szCs w:val="32"/>
        </w:rPr>
        <w:t>向投資人</w:t>
      </w:r>
      <w:r w:rsidR="005B5002">
        <w:rPr>
          <w:rFonts w:ascii="標楷體" w:eastAsia="標楷體" w:hAnsi="標楷體" w:cs="新細明體" w:hint="eastAsia"/>
          <w:kern w:val="0"/>
          <w:sz w:val="32"/>
          <w:szCs w:val="32"/>
        </w:rPr>
        <w:t>發送未上市(櫃)公司之「投資計畫書」，</w:t>
      </w:r>
      <w:r w:rsidR="00A81D52">
        <w:rPr>
          <w:rFonts w:ascii="標楷體" w:eastAsia="標楷體" w:hAnsi="標楷體" w:cs="新細明體" w:hint="eastAsia"/>
          <w:kern w:val="0"/>
          <w:sz w:val="32"/>
          <w:szCs w:val="32"/>
        </w:rPr>
        <w:t>且於</w:t>
      </w:r>
      <w:r>
        <w:rPr>
          <w:rFonts w:ascii="標楷體" w:eastAsia="標楷體" w:hAnsi="標楷體" w:cs="新細明體" w:hint="eastAsia"/>
          <w:kern w:val="0"/>
          <w:sz w:val="32"/>
          <w:szCs w:val="32"/>
        </w:rPr>
        <w:t>計畫書中吹捧</w:t>
      </w:r>
      <w:r w:rsidR="00A81D52">
        <w:rPr>
          <w:rFonts w:ascii="標楷體" w:eastAsia="標楷體" w:hAnsi="標楷體" w:cs="新細明體" w:hint="eastAsia"/>
          <w:kern w:val="0"/>
          <w:sz w:val="32"/>
          <w:szCs w:val="32"/>
        </w:rPr>
        <w:t>該</w:t>
      </w:r>
      <w:r>
        <w:rPr>
          <w:rFonts w:ascii="標楷體" w:eastAsia="標楷體" w:hAnsi="標楷體" w:cs="新細明體" w:hint="eastAsia"/>
          <w:kern w:val="0"/>
          <w:sz w:val="32"/>
          <w:szCs w:val="32"/>
        </w:rPr>
        <w:t>未</w:t>
      </w:r>
      <w:r w:rsidR="00A840CE">
        <w:rPr>
          <w:rFonts w:ascii="標楷體" w:eastAsia="標楷體" w:hAnsi="標楷體" w:cs="新細明體" w:hint="eastAsia"/>
          <w:kern w:val="0"/>
          <w:sz w:val="32"/>
          <w:szCs w:val="32"/>
        </w:rPr>
        <w:t>上</w:t>
      </w:r>
      <w:r w:rsidR="00A00185" w:rsidRPr="00B5666A">
        <w:rPr>
          <w:rFonts w:ascii="標楷體" w:eastAsia="標楷體" w:hAnsi="標楷體" w:cs="新細明體" w:hint="eastAsia"/>
          <w:kern w:val="0"/>
          <w:sz w:val="32"/>
          <w:szCs w:val="32"/>
        </w:rPr>
        <w:t>市(櫃)公司</w:t>
      </w:r>
      <w:r w:rsidR="00A840CE">
        <w:rPr>
          <w:rFonts w:ascii="標楷體" w:eastAsia="標楷體" w:hAnsi="標楷體" w:cs="新細明體" w:hint="eastAsia"/>
          <w:kern w:val="0"/>
          <w:sz w:val="32"/>
          <w:szCs w:val="32"/>
        </w:rPr>
        <w:t>之</w:t>
      </w:r>
      <w:r w:rsidR="00A00185" w:rsidRPr="00B5666A">
        <w:rPr>
          <w:rFonts w:ascii="標楷體" w:eastAsia="標楷體" w:hAnsi="標楷體" w:cs="新細明體" w:hint="eastAsia"/>
          <w:kern w:val="0"/>
          <w:sz w:val="32"/>
          <w:szCs w:val="32"/>
        </w:rPr>
        <w:t>獲利能力</w:t>
      </w:r>
      <w:r w:rsidR="00A81D52">
        <w:rPr>
          <w:rFonts w:ascii="標楷體" w:eastAsia="標楷體" w:hAnsi="標楷體" w:cs="新細明體" w:hint="eastAsia"/>
          <w:kern w:val="0"/>
          <w:sz w:val="32"/>
          <w:szCs w:val="32"/>
        </w:rPr>
        <w:t>及</w:t>
      </w:r>
      <w:r>
        <w:rPr>
          <w:rFonts w:ascii="標楷體" w:eastAsia="標楷體" w:hAnsi="標楷體" w:cs="新細明體" w:hint="eastAsia"/>
          <w:kern w:val="0"/>
          <w:sz w:val="32"/>
          <w:szCs w:val="32"/>
        </w:rPr>
        <w:t>產業</w:t>
      </w:r>
      <w:r w:rsidR="00A840CE">
        <w:rPr>
          <w:rFonts w:ascii="標楷體" w:eastAsia="標楷體" w:hAnsi="標楷體" w:cs="新細明體" w:hint="eastAsia"/>
          <w:kern w:val="0"/>
          <w:sz w:val="32"/>
          <w:szCs w:val="32"/>
        </w:rPr>
        <w:t>發展</w:t>
      </w:r>
      <w:r>
        <w:rPr>
          <w:rFonts w:ascii="標楷體" w:eastAsia="標楷體" w:hAnsi="標楷體" w:cs="新細明體" w:hint="eastAsia"/>
          <w:kern w:val="0"/>
          <w:sz w:val="32"/>
          <w:szCs w:val="32"/>
        </w:rPr>
        <w:t>前景</w:t>
      </w:r>
      <w:r w:rsidR="00A840CE">
        <w:rPr>
          <w:rFonts w:ascii="標楷體" w:eastAsia="標楷體" w:hAnsi="標楷體" w:cs="新細明體" w:hint="eastAsia"/>
          <w:kern w:val="0"/>
          <w:sz w:val="32"/>
          <w:szCs w:val="32"/>
        </w:rPr>
        <w:t>極</w:t>
      </w:r>
      <w:r w:rsidR="00A00185" w:rsidRPr="00B5666A">
        <w:rPr>
          <w:rFonts w:ascii="標楷體" w:eastAsia="標楷體" w:hAnsi="標楷體" w:cs="新細明體" w:hint="eastAsia"/>
          <w:kern w:val="0"/>
          <w:sz w:val="32"/>
          <w:szCs w:val="32"/>
        </w:rPr>
        <w:t>佳</w:t>
      </w:r>
      <w:r w:rsidR="00A840CE">
        <w:rPr>
          <w:rFonts w:ascii="標楷體" w:eastAsia="標楷體" w:hAnsi="標楷體" w:cs="新細明體" w:hint="eastAsia"/>
          <w:kern w:val="0"/>
          <w:sz w:val="32"/>
          <w:szCs w:val="32"/>
        </w:rPr>
        <w:t>等內容，</w:t>
      </w:r>
      <w:r w:rsidR="005B5002">
        <w:rPr>
          <w:rFonts w:ascii="標楷體" w:eastAsia="標楷體" w:hAnsi="標楷體" w:cs="新細明體" w:hint="eastAsia"/>
          <w:kern w:val="0"/>
          <w:sz w:val="32"/>
          <w:szCs w:val="32"/>
        </w:rPr>
        <w:t>吸引投資大眾</w:t>
      </w:r>
      <w:r w:rsidR="00A81D52">
        <w:rPr>
          <w:rFonts w:ascii="標楷體" w:eastAsia="標楷體" w:hAnsi="標楷體" w:cs="新細明體" w:hint="eastAsia"/>
          <w:kern w:val="0"/>
          <w:sz w:val="32"/>
          <w:szCs w:val="32"/>
        </w:rPr>
        <w:t>並</w:t>
      </w:r>
      <w:r w:rsidR="005B5002">
        <w:rPr>
          <w:rFonts w:ascii="標楷體" w:eastAsia="標楷體" w:hAnsi="標楷體" w:cs="新細明體" w:hint="eastAsia"/>
          <w:kern w:val="0"/>
          <w:sz w:val="32"/>
          <w:szCs w:val="32"/>
        </w:rPr>
        <w:t>仲介投資人買進</w:t>
      </w:r>
      <w:r w:rsidR="00A81D52">
        <w:rPr>
          <w:rFonts w:ascii="標楷體" w:eastAsia="標楷體" w:hAnsi="標楷體" w:cs="新細明體" w:hint="eastAsia"/>
          <w:kern w:val="0"/>
          <w:sz w:val="32"/>
          <w:szCs w:val="32"/>
        </w:rPr>
        <w:t>該</w:t>
      </w:r>
      <w:r w:rsidR="005B5002">
        <w:rPr>
          <w:rFonts w:ascii="標楷體" w:eastAsia="標楷體" w:hAnsi="標楷體" w:cs="新細明體" w:hint="eastAsia"/>
          <w:kern w:val="0"/>
          <w:sz w:val="32"/>
          <w:szCs w:val="32"/>
        </w:rPr>
        <w:t>未上市(櫃)股票。</w:t>
      </w:r>
    </w:p>
    <w:p w:rsidR="00A00185" w:rsidRPr="00B5666A" w:rsidRDefault="00A00185" w:rsidP="00A00185">
      <w:pPr>
        <w:widowControl/>
        <w:numPr>
          <w:ilvl w:val="0"/>
          <w:numId w:val="26"/>
        </w:numPr>
        <w:tabs>
          <w:tab w:val="left" w:pos="360"/>
        </w:tabs>
        <w:spacing w:line="600" w:lineRule="exact"/>
        <w:ind w:left="1276" w:hanging="850"/>
        <w:jc w:val="both"/>
        <w:rPr>
          <w:rFonts w:ascii="標楷體" w:eastAsia="標楷體" w:hAnsi="標楷體" w:cs="新細明體" w:hint="eastAsia"/>
          <w:kern w:val="0"/>
          <w:sz w:val="32"/>
          <w:szCs w:val="32"/>
        </w:rPr>
      </w:pPr>
      <w:r w:rsidRPr="00B5666A">
        <w:rPr>
          <w:rFonts w:ascii="標楷體" w:eastAsia="標楷體" w:hAnsi="標楷體" w:cs="新細明體"/>
          <w:kern w:val="0"/>
          <w:sz w:val="32"/>
          <w:szCs w:val="32"/>
        </w:rPr>
        <w:t>依</w:t>
      </w:r>
      <w:r w:rsidRPr="00B5666A">
        <w:rPr>
          <w:rFonts w:ascii="標楷體" w:eastAsia="標楷體" w:hAnsi="標楷體" w:cs="新細明體" w:hint="eastAsia"/>
          <w:kern w:val="0"/>
          <w:sz w:val="32"/>
          <w:szCs w:val="32"/>
        </w:rPr>
        <w:t>證券交易法第44條第1項規定，證券商須經主管機關之許可及發給許可證照，方得營業；非證券商不得經營證券業務</w:t>
      </w:r>
      <w:r w:rsidRPr="00B5666A">
        <w:rPr>
          <w:rFonts w:ascii="標楷體" w:eastAsia="標楷體" w:hAnsi="標楷體" w:cs="新細明體"/>
          <w:kern w:val="0"/>
          <w:sz w:val="32"/>
          <w:szCs w:val="32"/>
        </w:rPr>
        <w:t>。未經許可擅自經營</w:t>
      </w:r>
      <w:r w:rsidRPr="00B5666A">
        <w:rPr>
          <w:rFonts w:ascii="標楷體" w:eastAsia="標楷體" w:hAnsi="標楷體" w:cs="新細明體" w:hint="eastAsia"/>
          <w:kern w:val="0"/>
          <w:sz w:val="32"/>
          <w:szCs w:val="32"/>
        </w:rPr>
        <w:t>證券業務</w:t>
      </w:r>
      <w:r w:rsidRPr="00B5666A">
        <w:rPr>
          <w:rFonts w:ascii="標楷體" w:eastAsia="標楷體" w:hAnsi="標楷體" w:cs="新細明體"/>
          <w:kern w:val="0"/>
          <w:sz w:val="32"/>
          <w:szCs w:val="32"/>
        </w:rPr>
        <w:t>者，依</w:t>
      </w:r>
      <w:r w:rsidRPr="00B5666A">
        <w:rPr>
          <w:rFonts w:ascii="標楷體" w:eastAsia="標楷體" w:hAnsi="標楷體" w:cs="新細明體" w:hint="eastAsia"/>
          <w:kern w:val="0"/>
          <w:sz w:val="32"/>
          <w:szCs w:val="32"/>
        </w:rPr>
        <w:t>證券</w:t>
      </w:r>
      <w:r w:rsidRPr="00B5666A">
        <w:rPr>
          <w:rFonts w:ascii="標楷體" w:eastAsia="標楷體" w:hAnsi="標楷體" w:cs="新細明體"/>
          <w:kern w:val="0"/>
          <w:sz w:val="32"/>
          <w:szCs w:val="32"/>
        </w:rPr>
        <w:t>交易法第1</w:t>
      </w:r>
      <w:r w:rsidRPr="00B5666A">
        <w:rPr>
          <w:rFonts w:ascii="標楷體" w:eastAsia="標楷體" w:hAnsi="標楷體" w:cs="新細明體" w:hint="eastAsia"/>
          <w:kern w:val="0"/>
          <w:sz w:val="32"/>
          <w:szCs w:val="32"/>
        </w:rPr>
        <w:t>75</w:t>
      </w:r>
      <w:r w:rsidRPr="00B5666A">
        <w:rPr>
          <w:rFonts w:ascii="標楷體" w:eastAsia="標楷體" w:hAnsi="標楷體" w:cs="新細明體"/>
          <w:kern w:val="0"/>
          <w:sz w:val="32"/>
          <w:szCs w:val="32"/>
        </w:rPr>
        <w:t>條第</w:t>
      </w:r>
      <w:r w:rsidRPr="00B5666A">
        <w:rPr>
          <w:rFonts w:ascii="標楷體" w:eastAsia="標楷體" w:hAnsi="標楷體" w:cs="新細明體" w:hint="eastAsia"/>
          <w:kern w:val="0"/>
          <w:sz w:val="32"/>
          <w:szCs w:val="32"/>
        </w:rPr>
        <w:t>1項</w:t>
      </w:r>
      <w:r w:rsidRPr="00B5666A">
        <w:rPr>
          <w:rFonts w:ascii="標楷體" w:eastAsia="標楷體" w:hAnsi="標楷體" w:cs="新細明體"/>
          <w:kern w:val="0"/>
          <w:sz w:val="32"/>
          <w:szCs w:val="32"/>
        </w:rPr>
        <w:t>規定，處</w:t>
      </w:r>
      <w:r w:rsidRPr="00B5666A">
        <w:rPr>
          <w:rFonts w:ascii="標楷體" w:eastAsia="標楷體" w:hAnsi="標楷體" w:cs="新細明體" w:hint="eastAsia"/>
          <w:kern w:val="0"/>
          <w:sz w:val="32"/>
          <w:szCs w:val="32"/>
        </w:rPr>
        <w:t>2年以下有期徒刑、拘役或科或併科新臺幣180萬元以下罰金</w:t>
      </w:r>
      <w:r w:rsidRPr="00B5666A">
        <w:rPr>
          <w:rFonts w:ascii="標楷體" w:eastAsia="標楷體" w:hAnsi="標楷體" w:cs="新細明體"/>
          <w:kern w:val="0"/>
          <w:sz w:val="32"/>
          <w:szCs w:val="32"/>
        </w:rPr>
        <w:t>。</w:t>
      </w:r>
    </w:p>
    <w:p w:rsidR="00A00185" w:rsidRPr="00B5666A" w:rsidRDefault="00A00185" w:rsidP="00A00185">
      <w:pPr>
        <w:widowControl/>
        <w:numPr>
          <w:ilvl w:val="0"/>
          <w:numId w:val="26"/>
        </w:numPr>
        <w:tabs>
          <w:tab w:val="left" w:pos="360"/>
        </w:tabs>
        <w:spacing w:line="600" w:lineRule="exact"/>
        <w:ind w:left="1276" w:hanging="850"/>
        <w:jc w:val="both"/>
        <w:rPr>
          <w:rFonts w:ascii="標楷體" w:eastAsia="標楷體" w:hAnsi="標楷體" w:cs="新細明體" w:hint="eastAsia"/>
          <w:kern w:val="0"/>
          <w:sz w:val="32"/>
          <w:szCs w:val="32"/>
        </w:rPr>
      </w:pPr>
      <w:r w:rsidRPr="00B5666A">
        <w:rPr>
          <w:rFonts w:ascii="標楷體" w:eastAsia="標楷體" w:hAnsi="標楷體" w:cs="新細明體" w:hint="eastAsia"/>
          <w:kern w:val="0"/>
          <w:sz w:val="32"/>
          <w:szCs w:val="32"/>
        </w:rPr>
        <w:t>目前任何人（包括公司、行號或個人）經營證券業務，均應受證券交易法之規範。</w:t>
      </w:r>
    </w:p>
    <w:p w:rsidR="00A00185" w:rsidRPr="00A00185" w:rsidRDefault="00A00185" w:rsidP="00B3519F">
      <w:pPr>
        <w:widowControl/>
        <w:tabs>
          <w:tab w:val="left" w:pos="360"/>
        </w:tabs>
        <w:spacing w:line="600" w:lineRule="exact"/>
        <w:ind w:left="567"/>
        <w:jc w:val="both"/>
        <w:rPr>
          <w:rFonts w:ascii="標楷體" w:eastAsia="標楷體" w:hAnsi="標楷體" w:cs="新細明體" w:hint="eastAsia"/>
          <w:kern w:val="0"/>
          <w:sz w:val="32"/>
          <w:szCs w:val="32"/>
        </w:rPr>
      </w:pPr>
    </w:p>
    <w:p w:rsidR="00611C8F" w:rsidRDefault="00A00185" w:rsidP="00A00185">
      <w:pPr>
        <w:widowControl/>
        <w:tabs>
          <w:tab w:val="left" w:pos="360"/>
        </w:tabs>
        <w:spacing w:line="600" w:lineRule="exact"/>
        <w:jc w:val="both"/>
        <w:rPr>
          <w:rFonts w:ascii="標楷體" w:eastAsia="標楷體" w:hAnsi="標楷體" w:cs="新細明體" w:hint="eastAsia"/>
          <w:kern w:val="0"/>
          <w:sz w:val="32"/>
          <w:szCs w:val="32"/>
        </w:rPr>
      </w:pPr>
      <w:r>
        <w:rPr>
          <w:rFonts w:ascii="標楷體" w:eastAsia="標楷體" w:hAnsi="標楷體" w:cs="新細明體"/>
          <w:kern w:val="0"/>
          <w:sz w:val="32"/>
          <w:szCs w:val="32"/>
        </w:rPr>
        <w:br w:type="page"/>
      </w:r>
      <w:r w:rsidR="00611C8F" w:rsidRPr="00611C8F">
        <w:rPr>
          <w:rFonts w:ascii="標楷體" w:eastAsia="標楷體" w:hAnsi="標楷體" w:cs="新細明體" w:hint="eastAsia"/>
          <w:b/>
          <w:kern w:val="0"/>
          <w:sz w:val="32"/>
          <w:szCs w:val="32"/>
          <w:shd w:val="pct15" w:color="auto" w:fill="FFFFFF"/>
        </w:rPr>
        <w:lastRenderedPageBreak/>
        <w:t>媒體或網路</w:t>
      </w:r>
    </w:p>
    <w:p w:rsidR="00F72FCD" w:rsidRPr="00B3519F" w:rsidRDefault="00611C8F" w:rsidP="00A00185">
      <w:pPr>
        <w:widowControl/>
        <w:tabs>
          <w:tab w:val="left" w:pos="360"/>
        </w:tabs>
        <w:spacing w:line="600" w:lineRule="exact"/>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一</w:t>
      </w:r>
      <w:r w:rsidR="00A00185">
        <w:rPr>
          <w:rFonts w:ascii="標楷體" w:eastAsia="標楷體" w:hAnsi="標楷體" w:cs="新細明體" w:hint="eastAsia"/>
          <w:kern w:val="0"/>
          <w:sz w:val="32"/>
          <w:szCs w:val="32"/>
        </w:rPr>
        <w:t>、</w:t>
      </w:r>
      <w:r w:rsidR="005F1CE2">
        <w:rPr>
          <w:rFonts w:ascii="標楷體" w:eastAsia="標楷體" w:hAnsi="標楷體" w:cs="新細明體" w:hint="eastAsia"/>
          <w:b/>
          <w:kern w:val="0"/>
          <w:sz w:val="32"/>
          <w:szCs w:val="32"/>
        </w:rPr>
        <w:t>案例</w:t>
      </w:r>
      <w:r w:rsidR="00A00185">
        <w:rPr>
          <w:rFonts w:ascii="標楷體" w:eastAsia="標楷體" w:hAnsi="標楷體" w:cs="新細明體" w:hint="eastAsia"/>
          <w:kern w:val="0"/>
          <w:sz w:val="32"/>
          <w:szCs w:val="32"/>
        </w:rPr>
        <w:t>：</w:t>
      </w:r>
    </w:p>
    <w:p w:rsidR="00F72FCD" w:rsidRPr="00B3519F" w:rsidRDefault="00F72FCD" w:rsidP="00B3519F">
      <w:pPr>
        <w:widowControl/>
        <w:tabs>
          <w:tab w:val="left" w:pos="360"/>
        </w:tabs>
        <w:spacing w:line="600" w:lineRule="exact"/>
        <w:ind w:left="567"/>
        <w:jc w:val="both"/>
        <w:rPr>
          <w:rFonts w:ascii="標楷體" w:eastAsia="標楷體" w:hAnsi="標楷體" w:cs="新細明體" w:hint="eastAsia"/>
          <w:kern w:val="0"/>
          <w:sz w:val="32"/>
          <w:szCs w:val="32"/>
        </w:rPr>
      </w:pPr>
      <w:r w:rsidRPr="00B3519F">
        <w:rPr>
          <w:rFonts w:ascii="標楷體" w:eastAsia="標楷體" w:hAnsi="標楷體" w:cs="新細明體" w:hint="eastAsia"/>
          <w:kern w:val="0"/>
          <w:sz w:val="32"/>
          <w:szCs w:val="32"/>
        </w:rPr>
        <w:t>某電台</w:t>
      </w:r>
      <w:r w:rsidR="00832A91">
        <w:rPr>
          <w:rFonts w:ascii="標楷體" w:eastAsia="標楷體" w:hAnsi="標楷體" w:cs="新細明體" w:hint="eastAsia"/>
          <w:kern w:val="0"/>
          <w:sz w:val="32"/>
          <w:szCs w:val="32"/>
        </w:rPr>
        <w:t>王姓主</w:t>
      </w:r>
      <w:r w:rsidRPr="00B3519F">
        <w:rPr>
          <w:rFonts w:ascii="標楷體" w:eastAsia="標楷體" w:hAnsi="標楷體" w:cs="新細明體" w:hint="eastAsia"/>
          <w:kern w:val="0"/>
          <w:sz w:val="32"/>
          <w:szCs w:val="32"/>
        </w:rPr>
        <w:t>持人</w:t>
      </w:r>
      <w:r w:rsidR="00832A91">
        <w:rPr>
          <w:rFonts w:ascii="標楷體" w:eastAsia="標楷體" w:hAnsi="標楷體" w:cs="新細明體" w:hint="eastAsia"/>
          <w:kern w:val="0"/>
          <w:sz w:val="32"/>
          <w:szCs w:val="32"/>
        </w:rPr>
        <w:t>以主持</w:t>
      </w:r>
      <w:r w:rsidR="00A00185">
        <w:rPr>
          <w:rFonts w:ascii="標楷體" w:eastAsia="標楷體" w:hAnsi="標楷體" w:cs="新細明體" w:hint="eastAsia"/>
          <w:kern w:val="0"/>
          <w:sz w:val="32"/>
          <w:szCs w:val="32"/>
        </w:rPr>
        <w:t>養生</w:t>
      </w:r>
      <w:r w:rsidRPr="00B3519F">
        <w:rPr>
          <w:rFonts w:ascii="標楷體" w:eastAsia="標楷體" w:hAnsi="標楷體" w:cs="新細明體" w:hint="eastAsia"/>
          <w:kern w:val="0"/>
          <w:sz w:val="32"/>
          <w:szCs w:val="32"/>
        </w:rPr>
        <w:t>節目機會，</w:t>
      </w:r>
      <w:r w:rsidR="00A00185">
        <w:rPr>
          <w:rFonts w:ascii="標楷體" w:eastAsia="標楷體" w:hAnsi="標楷體" w:cs="新細明體" w:hint="eastAsia"/>
          <w:kern w:val="0"/>
          <w:sz w:val="32"/>
          <w:szCs w:val="32"/>
        </w:rPr>
        <w:t>藉機</w:t>
      </w:r>
      <w:r w:rsidRPr="00B3519F">
        <w:rPr>
          <w:rFonts w:ascii="標楷體" w:eastAsia="標楷體" w:hAnsi="標楷體" w:cs="新細明體" w:hint="eastAsia"/>
          <w:kern w:val="0"/>
          <w:sz w:val="32"/>
          <w:szCs w:val="32"/>
        </w:rPr>
        <w:t>推展投資理財觀念，招攬聽眾參加其所主持之養生講座，並於講座中宣傳</w:t>
      </w:r>
      <w:r w:rsidR="00832A91">
        <w:rPr>
          <w:rFonts w:ascii="標楷體" w:eastAsia="標楷體" w:hAnsi="標楷體" w:cs="新細明體" w:hint="eastAsia"/>
          <w:kern w:val="0"/>
          <w:sz w:val="32"/>
          <w:szCs w:val="32"/>
        </w:rPr>
        <w:t>未上市(櫃)的</w:t>
      </w:r>
      <w:r w:rsidR="00A00185">
        <w:rPr>
          <w:rFonts w:ascii="標楷體" w:eastAsia="標楷體" w:hAnsi="標楷體" w:cs="新細明體" w:hint="eastAsia"/>
          <w:kern w:val="0"/>
          <w:sz w:val="32"/>
          <w:szCs w:val="32"/>
        </w:rPr>
        <w:t>乙</w:t>
      </w:r>
      <w:r w:rsidR="00832A91">
        <w:rPr>
          <w:rFonts w:ascii="標楷體" w:eastAsia="標楷體" w:hAnsi="標楷體" w:cs="新細明體" w:hint="eastAsia"/>
          <w:kern w:val="0"/>
          <w:sz w:val="32"/>
          <w:szCs w:val="32"/>
        </w:rPr>
        <w:t>生技公司已</w:t>
      </w:r>
      <w:r w:rsidR="002E248E">
        <w:rPr>
          <w:rFonts w:ascii="標楷體" w:eastAsia="標楷體" w:hAnsi="標楷體" w:cs="新細明體" w:hint="eastAsia"/>
          <w:kern w:val="0"/>
          <w:sz w:val="32"/>
          <w:szCs w:val="32"/>
        </w:rPr>
        <w:t>研</w:t>
      </w:r>
      <w:r w:rsidR="00832A91">
        <w:rPr>
          <w:rFonts w:ascii="標楷體" w:eastAsia="標楷體" w:hAnsi="標楷體" w:cs="新細明體" w:hint="eastAsia"/>
          <w:kern w:val="0"/>
          <w:sz w:val="32"/>
          <w:szCs w:val="32"/>
        </w:rPr>
        <w:t>發</w:t>
      </w:r>
      <w:r w:rsidR="002E248E">
        <w:rPr>
          <w:rFonts w:ascii="標楷體" w:eastAsia="標楷體" w:hAnsi="標楷體" w:cs="新細明體" w:hint="eastAsia"/>
          <w:kern w:val="0"/>
          <w:sz w:val="32"/>
          <w:szCs w:val="32"/>
        </w:rPr>
        <w:t>多種</w:t>
      </w:r>
      <w:r w:rsidR="00832A91">
        <w:rPr>
          <w:rFonts w:ascii="標楷體" w:eastAsia="標楷體" w:hAnsi="標楷體" w:cs="新細明體" w:hint="eastAsia"/>
          <w:kern w:val="0"/>
          <w:sz w:val="32"/>
          <w:szCs w:val="32"/>
        </w:rPr>
        <w:t>治療癌症</w:t>
      </w:r>
      <w:r w:rsidR="002E248E">
        <w:rPr>
          <w:rFonts w:ascii="標楷體" w:eastAsia="標楷體" w:hAnsi="標楷體" w:cs="新細明體" w:hint="eastAsia"/>
          <w:kern w:val="0"/>
          <w:sz w:val="32"/>
          <w:szCs w:val="32"/>
        </w:rPr>
        <w:t>的</w:t>
      </w:r>
      <w:r w:rsidR="00832A91">
        <w:rPr>
          <w:rFonts w:ascii="標楷體" w:eastAsia="標楷體" w:hAnsi="標楷體" w:cs="新細明體" w:hint="eastAsia"/>
          <w:kern w:val="0"/>
          <w:sz w:val="32"/>
          <w:szCs w:val="32"/>
        </w:rPr>
        <w:t>新藥，目前</w:t>
      </w:r>
      <w:r w:rsidR="002E248E">
        <w:rPr>
          <w:rFonts w:ascii="標楷體" w:eastAsia="標楷體" w:hAnsi="標楷體" w:cs="新細明體" w:hint="eastAsia"/>
          <w:kern w:val="0"/>
          <w:sz w:val="32"/>
          <w:szCs w:val="32"/>
        </w:rPr>
        <w:t>皆在</w:t>
      </w:r>
      <w:r w:rsidR="00832A91">
        <w:rPr>
          <w:rFonts w:ascii="標楷體" w:eastAsia="標楷體" w:hAnsi="標楷體" w:cs="新細明體" w:hint="eastAsia"/>
          <w:kern w:val="0"/>
          <w:sz w:val="32"/>
          <w:szCs w:val="32"/>
        </w:rPr>
        <w:t>臨床試驗</w:t>
      </w:r>
      <w:r w:rsidR="002E248E">
        <w:rPr>
          <w:rFonts w:ascii="標楷體" w:eastAsia="標楷體" w:hAnsi="標楷體" w:cs="新細明體" w:hint="eastAsia"/>
          <w:kern w:val="0"/>
          <w:sz w:val="32"/>
          <w:szCs w:val="32"/>
        </w:rPr>
        <w:t>階段，未來試驗成功後，將使公司獲利暴增，且該公司已有上市(櫃)的打算，未來上市(櫃)後，股價必定上漲，遂於會場仲介聽眾買進乙生技公司股票。</w:t>
      </w:r>
    </w:p>
    <w:p w:rsidR="00924CE1" w:rsidRPr="00B3519F" w:rsidRDefault="00924CE1" w:rsidP="00611C8F">
      <w:pPr>
        <w:widowControl/>
        <w:numPr>
          <w:ilvl w:val="0"/>
          <w:numId w:val="29"/>
        </w:numPr>
        <w:spacing w:line="600" w:lineRule="exact"/>
        <w:jc w:val="both"/>
        <w:rPr>
          <w:rFonts w:ascii="標楷體" w:eastAsia="標楷體" w:hAnsi="標楷體" w:cs="新細明體" w:hint="eastAsia"/>
          <w:b/>
          <w:kern w:val="0"/>
          <w:sz w:val="32"/>
          <w:szCs w:val="32"/>
        </w:rPr>
      </w:pPr>
      <w:r w:rsidRPr="00B3519F">
        <w:rPr>
          <w:rFonts w:ascii="標楷體" w:eastAsia="標楷體" w:hAnsi="標楷體" w:cs="新細明體" w:hint="eastAsia"/>
          <w:b/>
          <w:kern w:val="0"/>
          <w:sz w:val="32"/>
          <w:szCs w:val="32"/>
        </w:rPr>
        <w:t>案例分析：</w:t>
      </w:r>
    </w:p>
    <w:p w:rsidR="00924CE1" w:rsidRDefault="00994369" w:rsidP="00611C8F">
      <w:pPr>
        <w:widowControl/>
        <w:numPr>
          <w:ilvl w:val="0"/>
          <w:numId w:val="30"/>
        </w:numPr>
        <w:tabs>
          <w:tab w:val="left" w:pos="567"/>
        </w:tabs>
        <w:spacing w:line="600" w:lineRule="exact"/>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因網路及媒體發達，非法證券公司</w:t>
      </w:r>
      <w:r w:rsidR="00F47BC6">
        <w:rPr>
          <w:rFonts w:ascii="標楷體" w:eastAsia="標楷體" w:hAnsi="標楷體" w:cs="新細明體" w:hint="eastAsia"/>
          <w:kern w:val="0"/>
          <w:sz w:val="32"/>
          <w:szCs w:val="32"/>
        </w:rPr>
        <w:t>經</w:t>
      </w:r>
      <w:r>
        <w:rPr>
          <w:rFonts w:ascii="標楷體" w:eastAsia="標楷體" w:hAnsi="標楷體" w:cs="新細明體" w:hint="eastAsia"/>
          <w:kern w:val="0"/>
          <w:sz w:val="32"/>
          <w:szCs w:val="32"/>
        </w:rPr>
        <w:t>常</w:t>
      </w:r>
      <w:r w:rsidR="00F47BC6">
        <w:rPr>
          <w:rFonts w:ascii="標楷體" w:eastAsia="標楷體" w:hAnsi="標楷體" w:cs="新細明體" w:hint="eastAsia"/>
          <w:kern w:val="0"/>
          <w:sz w:val="32"/>
          <w:szCs w:val="32"/>
        </w:rPr>
        <w:t>透過</w:t>
      </w:r>
      <w:r>
        <w:rPr>
          <w:rFonts w:ascii="標楷體" w:eastAsia="標楷體" w:hAnsi="標楷體" w:cs="新細明體" w:hint="eastAsia"/>
          <w:kern w:val="0"/>
          <w:sz w:val="32"/>
          <w:szCs w:val="32"/>
        </w:rPr>
        <w:t>網路或媒體發表言論</w:t>
      </w:r>
      <w:r w:rsidR="00F47BC6">
        <w:rPr>
          <w:rFonts w:ascii="標楷體" w:eastAsia="標楷體" w:hAnsi="標楷體" w:cs="新細明體" w:hint="eastAsia"/>
          <w:kern w:val="0"/>
          <w:sz w:val="32"/>
          <w:szCs w:val="32"/>
        </w:rPr>
        <w:t>表示</w:t>
      </w:r>
      <w:r>
        <w:rPr>
          <w:rFonts w:ascii="標楷體" w:eastAsia="標楷體" w:hAnsi="標楷體" w:cs="新細明體" w:hint="eastAsia"/>
          <w:kern w:val="0"/>
          <w:sz w:val="32"/>
          <w:szCs w:val="32"/>
        </w:rPr>
        <w:t>，投資大眾可透過該</w:t>
      </w:r>
      <w:r w:rsidR="00F47BC6">
        <w:rPr>
          <w:rFonts w:ascii="標楷體" w:eastAsia="標楷體" w:hAnsi="標楷體" w:cs="新細明體" w:hint="eastAsia"/>
          <w:kern w:val="0"/>
          <w:sz w:val="32"/>
          <w:szCs w:val="32"/>
        </w:rPr>
        <w:t>證券</w:t>
      </w:r>
      <w:r>
        <w:rPr>
          <w:rFonts w:ascii="標楷體" w:eastAsia="標楷體" w:hAnsi="標楷體" w:cs="新細明體" w:hint="eastAsia"/>
          <w:kern w:val="0"/>
          <w:sz w:val="32"/>
          <w:szCs w:val="32"/>
        </w:rPr>
        <w:t>公司仲介買進未上市(櫃)公司股票，</w:t>
      </w:r>
      <w:r w:rsidR="005B5002">
        <w:rPr>
          <w:rFonts w:ascii="標楷體" w:eastAsia="標楷體" w:hAnsi="標楷體" w:cs="新細明體" w:hint="eastAsia"/>
          <w:kern w:val="0"/>
          <w:sz w:val="32"/>
          <w:szCs w:val="32"/>
        </w:rPr>
        <w:t>告</w:t>
      </w:r>
      <w:r>
        <w:rPr>
          <w:rFonts w:ascii="標楷體" w:eastAsia="標楷體" w:hAnsi="標楷體" w:cs="新細明體" w:hint="eastAsia"/>
          <w:kern w:val="0"/>
          <w:sz w:val="32"/>
          <w:szCs w:val="32"/>
        </w:rPr>
        <w:t>稱投資人</w:t>
      </w:r>
      <w:r w:rsidR="00E105C7" w:rsidRPr="00B3519F">
        <w:rPr>
          <w:rFonts w:ascii="標楷體" w:eastAsia="標楷體" w:hAnsi="標楷體" w:cs="新細明體" w:hint="eastAsia"/>
          <w:kern w:val="0"/>
          <w:sz w:val="32"/>
          <w:szCs w:val="32"/>
        </w:rPr>
        <w:t>如能</w:t>
      </w:r>
      <w:r>
        <w:rPr>
          <w:rFonts w:ascii="標楷體" w:eastAsia="標楷體" w:hAnsi="標楷體" w:cs="新細明體" w:hint="eastAsia"/>
          <w:kern w:val="0"/>
          <w:sz w:val="32"/>
          <w:szCs w:val="32"/>
        </w:rPr>
        <w:t>先</w:t>
      </w:r>
      <w:r w:rsidR="00E105C7" w:rsidRPr="00B3519F">
        <w:rPr>
          <w:rFonts w:ascii="標楷體" w:eastAsia="標楷體" w:hAnsi="標楷體" w:cs="新細明體" w:hint="eastAsia"/>
          <w:kern w:val="0"/>
          <w:sz w:val="32"/>
          <w:szCs w:val="32"/>
        </w:rPr>
        <w:t>買</w:t>
      </w:r>
      <w:r>
        <w:rPr>
          <w:rFonts w:ascii="標楷體" w:eastAsia="標楷體" w:hAnsi="標楷體" w:cs="新細明體" w:hint="eastAsia"/>
          <w:kern w:val="0"/>
          <w:sz w:val="32"/>
          <w:szCs w:val="32"/>
        </w:rPr>
        <w:t>進這些未上市(櫃)</w:t>
      </w:r>
      <w:r w:rsidR="00E105C7" w:rsidRPr="00B3519F">
        <w:rPr>
          <w:rFonts w:ascii="標楷體" w:eastAsia="標楷體" w:hAnsi="標楷體" w:cs="新細明體" w:hint="eastAsia"/>
          <w:kern w:val="0"/>
          <w:sz w:val="32"/>
          <w:szCs w:val="32"/>
        </w:rPr>
        <w:t>公司股票，將來上市(櫃)後</w:t>
      </w:r>
      <w:r>
        <w:rPr>
          <w:rFonts w:ascii="標楷體" w:eastAsia="標楷體" w:hAnsi="標楷體" w:cs="新細明體" w:hint="eastAsia"/>
          <w:kern w:val="0"/>
          <w:sz w:val="32"/>
          <w:szCs w:val="32"/>
        </w:rPr>
        <w:t>，</w:t>
      </w:r>
      <w:r w:rsidR="00E105C7" w:rsidRPr="00B3519F">
        <w:rPr>
          <w:rFonts w:ascii="標楷體" w:eastAsia="標楷體" w:hAnsi="標楷體" w:cs="新細明體" w:hint="eastAsia"/>
          <w:kern w:val="0"/>
          <w:sz w:val="32"/>
          <w:szCs w:val="32"/>
        </w:rPr>
        <w:t>股價</w:t>
      </w:r>
      <w:r>
        <w:rPr>
          <w:rFonts w:ascii="標楷體" w:eastAsia="標楷體" w:hAnsi="標楷體" w:cs="新細明體" w:hint="eastAsia"/>
          <w:kern w:val="0"/>
          <w:sz w:val="32"/>
          <w:szCs w:val="32"/>
        </w:rPr>
        <w:t>必然大漲並獲取高額利益，鼓吹不知情的投資大眾買進未上市櫃公司股票。</w:t>
      </w:r>
    </w:p>
    <w:p w:rsidR="00D02622" w:rsidRPr="007D4867" w:rsidRDefault="0086414B" w:rsidP="00611C8F">
      <w:pPr>
        <w:widowControl/>
        <w:numPr>
          <w:ilvl w:val="0"/>
          <w:numId w:val="30"/>
        </w:numPr>
        <w:tabs>
          <w:tab w:val="left" w:pos="567"/>
        </w:tabs>
        <w:spacing w:line="600" w:lineRule="exact"/>
        <w:jc w:val="both"/>
        <w:rPr>
          <w:rFonts w:ascii="標楷體" w:eastAsia="標楷體" w:hAnsi="標楷體" w:cs="新細明體" w:hint="eastAsia"/>
          <w:kern w:val="0"/>
          <w:sz w:val="32"/>
          <w:szCs w:val="32"/>
        </w:rPr>
      </w:pPr>
      <w:r w:rsidRPr="007D4867">
        <w:rPr>
          <w:rFonts w:ascii="標楷體" w:eastAsia="標楷體" w:hAnsi="標楷體" w:cs="新細明體"/>
          <w:kern w:val="0"/>
          <w:sz w:val="32"/>
          <w:szCs w:val="32"/>
        </w:rPr>
        <w:t>依</w:t>
      </w:r>
      <w:r w:rsidR="00E105C7" w:rsidRPr="007D4867">
        <w:rPr>
          <w:rFonts w:ascii="標楷體" w:eastAsia="標楷體" w:hAnsi="標楷體" w:cs="新細明體" w:hint="eastAsia"/>
          <w:kern w:val="0"/>
          <w:sz w:val="32"/>
          <w:szCs w:val="32"/>
        </w:rPr>
        <w:t>證券交易法第44條第1項規定，證券商須經主管機關之許可及發給許可證照，方得營業；非證券商不得經營證券業務</w:t>
      </w:r>
      <w:r w:rsidRPr="007D4867">
        <w:rPr>
          <w:rFonts w:ascii="標楷體" w:eastAsia="標楷體" w:hAnsi="標楷體" w:cs="新細明體"/>
          <w:kern w:val="0"/>
          <w:sz w:val="32"/>
          <w:szCs w:val="32"/>
        </w:rPr>
        <w:t>。</w:t>
      </w:r>
      <w:r w:rsidR="00D02622" w:rsidRPr="007D4867">
        <w:rPr>
          <w:rFonts w:ascii="標楷體" w:eastAsia="標楷體" w:hAnsi="標楷體" w:cs="新細明體"/>
          <w:kern w:val="0"/>
          <w:sz w:val="32"/>
          <w:szCs w:val="32"/>
        </w:rPr>
        <w:t>未經許可擅自經營</w:t>
      </w:r>
      <w:r w:rsidR="003524EE" w:rsidRPr="007D4867">
        <w:rPr>
          <w:rFonts w:ascii="標楷體" w:eastAsia="標楷體" w:hAnsi="標楷體" w:cs="新細明體" w:hint="eastAsia"/>
          <w:kern w:val="0"/>
          <w:sz w:val="32"/>
          <w:szCs w:val="32"/>
        </w:rPr>
        <w:t>證券業務</w:t>
      </w:r>
      <w:r w:rsidR="00D02622" w:rsidRPr="007D4867">
        <w:rPr>
          <w:rFonts w:ascii="標楷體" w:eastAsia="標楷體" w:hAnsi="標楷體" w:cs="新細明體"/>
          <w:kern w:val="0"/>
          <w:sz w:val="32"/>
          <w:szCs w:val="32"/>
        </w:rPr>
        <w:t>者，依</w:t>
      </w:r>
      <w:r w:rsidR="003524EE" w:rsidRPr="007D4867">
        <w:rPr>
          <w:rFonts w:ascii="標楷體" w:eastAsia="標楷體" w:hAnsi="標楷體" w:cs="新細明體" w:hint="eastAsia"/>
          <w:kern w:val="0"/>
          <w:sz w:val="32"/>
          <w:szCs w:val="32"/>
        </w:rPr>
        <w:t>證券</w:t>
      </w:r>
      <w:r w:rsidR="00D02622" w:rsidRPr="007D4867">
        <w:rPr>
          <w:rFonts w:ascii="標楷體" w:eastAsia="標楷體" w:hAnsi="標楷體" w:cs="新細明體"/>
          <w:kern w:val="0"/>
          <w:sz w:val="32"/>
          <w:szCs w:val="32"/>
        </w:rPr>
        <w:t>交易法第</w:t>
      </w:r>
      <w:r w:rsidR="003524EE" w:rsidRPr="007D4867">
        <w:rPr>
          <w:rFonts w:ascii="標楷體" w:eastAsia="標楷體" w:hAnsi="標楷體" w:cs="新細明體"/>
          <w:kern w:val="0"/>
          <w:sz w:val="32"/>
          <w:szCs w:val="32"/>
        </w:rPr>
        <w:t>1</w:t>
      </w:r>
      <w:r w:rsidR="003524EE" w:rsidRPr="007D4867">
        <w:rPr>
          <w:rFonts w:ascii="標楷體" w:eastAsia="標楷體" w:hAnsi="標楷體" w:cs="新細明體" w:hint="eastAsia"/>
          <w:kern w:val="0"/>
          <w:sz w:val="32"/>
          <w:szCs w:val="32"/>
        </w:rPr>
        <w:t>75</w:t>
      </w:r>
      <w:r w:rsidR="00D02622" w:rsidRPr="007D4867">
        <w:rPr>
          <w:rFonts w:ascii="標楷體" w:eastAsia="標楷體" w:hAnsi="標楷體" w:cs="新細明體"/>
          <w:kern w:val="0"/>
          <w:sz w:val="32"/>
          <w:szCs w:val="32"/>
        </w:rPr>
        <w:t>條第</w:t>
      </w:r>
      <w:r w:rsidR="003524EE" w:rsidRPr="007D4867">
        <w:rPr>
          <w:rFonts w:ascii="標楷體" w:eastAsia="標楷體" w:hAnsi="標楷體" w:cs="新細明體" w:hint="eastAsia"/>
          <w:kern w:val="0"/>
          <w:sz w:val="32"/>
          <w:szCs w:val="32"/>
        </w:rPr>
        <w:t>1項</w:t>
      </w:r>
      <w:r w:rsidR="00075B50" w:rsidRPr="007D4867">
        <w:rPr>
          <w:rFonts w:ascii="標楷體" w:eastAsia="標楷體" w:hAnsi="標楷體" w:cs="新細明體"/>
          <w:kern w:val="0"/>
          <w:sz w:val="32"/>
          <w:szCs w:val="32"/>
        </w:rPr>
        <w:t>規定，處</w:t>
      </w:r>
      <w:r w:rsidR="00E01C4E" w:rsidRPr="007D4867">
        <w:rPr>
          <w:rFonts w:ascii="標楷體" w:eastAsia="標楷體" w:hAnsi="標楷體" w:cs="新細明體" w:hint="eastAsia"/>
          <w:kern w:val="0"/>
          <w:sz w:val="32"/>
          <w:szCs w:val="32"/>
        </w:rPr>
        <w:t>2</w:t>
      </w:r>
      <w:r w:rsidR="003524EE" w:rsidRPr="007D4867">
        <w:rPr>
          <w:rFonts w:ascii="標楷體" w:eastAsia="標楷體" w:hAnsi="標楷體" w:cs="新細明體" w:hint="eastAsia"/>
          <w:kern w:val="0"/>
          <w:sz w:val="32"/>
          <w:szCs w:val="32"/>
        </w:rPr>
        <w:t>年以下有期徒刑、拘役或科或併科新臺幣</w:t>
      </w:r>
      <w:r w:rsidR="00E01C4E" w:rsidRPr="007D4867">
        <w:rPr>
          <w:rFonts w:ascii="標楷體" w:eastAsia="標楷體" w:hAnsi="標楷體" w:cs="新細明體" w:hint="eastAsia"/>
          <w:kern w:val="0"/>
          <w:sz w:val="32"/>
          <w:szCs w:val="32"/>
        </w:rPr>
        <w:t>180</w:t>
      </w:r>
      <w:r w:rsidR="003524EE" w:rsidRPr="007D4867">
        <w:rPr>
          <w:rFonts w:ascii="標楷體" w:eastAsia="標楷體" w:hAnsi="標楷體" w:cs="新細明體" w:hint="eastAsia"/>
          <w:kern w:val="0"/>
          <w:sz w:val="32"/>
          <w:szCs w:val="32"/>
        </w:rPr>
        <w:t>萬元以下罰金</w:t>
      </w:r>
      <w:r w:rsidR="00D02622" w:rsidRPr="007D4867">
        <w:rPr>
          <w:rFonts w:ascii="標楷體" w:eastAsia="標楷體" w:hAnsi="標楷體" w:cs="新細明體"/>
          <w:kern w:val="0"/>
          <w:sz w:val="32"/>
          <w:szCs w:val="32"/>
        </w:rPr>
        <w:t>。</w:t>
      </w:r>
    </w:p>
    <w:p w:rsidR="00FB6F71" w:rsidRDefault="00B77602" w:rsidP="00611C8F">
      <w:pPr>
        <w:widowControl/>
        <w:numPr>
          <w:ilvl w:val="0"/>
          <w:numId w:val="30"/>
        </w:numPr>
        <w:tabs>
          <w:tab w:val="left" w:pos="567"/>
        </w:tabs>
        <w:spacing w:line="600" w:lineRule="exact"/>
        <w:jc w:val="both"/>
        <w:rPr>
          <w:rFonts w:ascii="標楷體" w:eastAsia="標楷體" w:hAnsi="標楷體" w:cs="新細明體"/>
          <w:kern w:val="0"/>
          <w:sz w:val="32"/>
          <w:szCs w:val="32"/>
        </w:rPr>
      </w:pPr>
      <w:r w:rsidRPr="00B3519F">
        <w:rPr>
          <w:rFonts w:ascii="標楷體" w:eastAsia="標楷體" w:hAnsi="標楷體" w:cs="新細明體" w:hint="eastAsia"/>
          <w:kern w:val="0"/>
          <w:sz w:val="32"/>
          <w:szCs w:val="32"/>
        </w:rPr>
        <w:t>目前</w:t>
      </w:r>
      <w:r w:rsidR="00A223A0" w:rsidRPr="00B3519F">
        <w:rPr>
          <w:rFonts w:ascii="標楷體" w:eastAsia="標楷體" w:hAnsi="標楷體" w:cs="新細明體" w:hint="eastAsia"/>
          <w:kern w:val="0"/>
          <w:sz w:val="32"/>
          <w:szCs w:val="32"/>
        </w:rPr>
        <w:t>任何人（包括公司、行號或個人）經營</w:t>
      </w:r>
      <w:r w:rsidR="003524EE" w:rsidRPr="00B3519F">
        <w:rPr>
          <w:rFonts w:ascii="標楷體" w:eastAsia="標楷體" w:hAnsi="標楷體" w:cs="新細明體" w:hint="eastAsia"/>
          <w:kern w:val="0"/>
          <w:sz w:val="32"/>
          <w:szCs w:val="32"/>
        </w:rPr>
        <w:t>證券</w:t>
      </w:r>
      <w:r w:rsidR="00A223A0" w:rsidRPr="00B3519F">
        <w:rPr>
          <w:rFonts w:ascii="標楷體" w:eastAsia="標楷體" w:hAnsi="標楷體" w:cs="新細明體" w:hint="eastAsia"/>
          <w:kern w:val="0"/>
          <w:sz w:val="32"/>
          <w:szCs w:val="32"/>
        </w:rPr>
        <w:t>業務，均應受</w:t>
      </w:r>
      <w:r w:rsidR="003524EE" w:rsidRPr="00B3519F">
        <w:rPr>
          <w:rFonts w:ascii="標楷體" w:eastAsia="標楷體" w:hAnsi="標楷體" w:cs="新細明體" w:hint="eastAsia"/>
          <w:kern w:val="0"/>
          <w:sz w:val="32"/>
          <w:szCs w:val="32"/>
        </w:rPr>
        <w:t>證券</w:t>
      </w:r>
      <w:r w:rsidR="00A223A0" w:rsidRPr="00B3519F">
        <w:rPr>
          <w:rFonts w:ascii="標楷體" w:eastAsia="標楷體" w:hAnsi="標楷體" w:cs="新細明體" w:hint="eastAsia"/>
          <w:kern w:val="0"/>
          <w:sz w:val="32"/>
          <w:szCs w:val="32"/>
        </w:rPr>
        <w:t>交易法之規範。</w:t>
      </w:r>
    </w:p>
    <w:p w:rsidR="00156F8A" w:rsidRDefault="00FB6F71" w:rsidP="00156F8A">
      <w:pPr>
        <w:widowControl/>
        <w:tabs>
          <w:tab w:val="left" w:pos="567"/>
        </w:tabs>
        <w:spacing w:line="600" w:lineRule="exact"/>
        <w:jc w:val="both"/>
        <w:rPr>
          <w:rFonts w:ascii="標楷體" w:eastAsia="標楷體" w:hAnsi="標楷體" w:cs="新細明體" w:hint="eastAsia"/>
          <w:kern w:val="0"/>
          <w:sz w:val="32"/>
          <w:szCs w:val="32"/>
        </w:rPr>
      </w:pPr>
      <w:r>
        <w:rPr>
          <w:rFonts w:ascii="標楷體" w:eastAsia="標楷體" w:hAnsi="標楷體" w:cs="新細明體"/>
          <w:kern w:val="0"/>
          <w:sz w:val="32"/>
          <w:szCs w:val="32"/>
        </w:rPr>
        <w:br w:type="page"/>
      </w:r>
      <w:r w:rsidR="00156F8A" w:rsidRPr="00156F8A">
        <w:rPr>
          <w:rFonts w:ascii="標楷體" w:eastAsia="標楷體" w:hAnsi="標楷體" w:cs="新細明體" w:hint="eastAsia"/>
          <w:b/>
          <w:kern w:val="0"/>
          <w:sz w:val="32"/>
          <w:szCs w:val="32"/>
          <w:shd w:val="pct15" w:color="auto" w:fill="FFFFFF"/>
        </w:rPr>
        <w:lastRenderedPageBreak/>
        <w:t>知名人士以不實資訊仲介</w:t>
      </w:r>
    </w:p>
    <w:p w:rsidR="00FB6F71" w:rsidRPr="00B3519F" w:rsidRDefault="00156F8A" w:rsidP="00156F8A">
      <w:pPr>
        <w:widowControl/>
        <w:tabs>
          <w:tab w:val="left" w:pos="567"/>
        </w:tabs>
        <w:spacing w:line="600" w:lineRule="exact"/>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一</w:t>
      </w:r>
      <w:r w:rsidR="00FB6F71">
        <w:rPr>
          <w:rFonts w:ascii="標楷體" w:eastAsia="標楷體" w:hAnsi="標楷體" w:cs="新細明體" w:hint="eastAsia"/>
          <w:kern w:val="0"/>
          <w:sz w:val="32"/>
          <w:szCs w:val="32"/>
        </w:rPr>
        <w:t>、</w:t>
      </w:r>
      <w:r w:rsidR="00FB6F71">
        <w:rPr>
          <w:rFonts w:ascii="標楷體" w:eastAsia="標楷體" w:hAnsi="標楷體" w:cs="新細明體" w:hint="eastAsia"/>
          <w:b/>
          <w:kern w:val="0"/>
          <w:sz w:val="32"/>
          <w:szCs w:val="32"/>
        </w:rPr>
        <w:t>案例</w:t>
      </w:r>
      <w:r w:rsidR="00FB6F71">
        <w:rPr>
          <w:rFonts w:ascii="標楷體" w:eastAsia="標楷體" w:hAnsi="標楷體" w:cs="新細明體" w:hint="eastAsia"/>
          <w:kern w:val="0"/>
          <w:sz w:val="32"/>
          <w:szCs w:val="32"/>
        </w:rPr>
        <w:t>：</w:t>
      </w:r>
      <w:r w:rsidRPr="00B3519F">
        <w:rPr>
          <w:rFonts w:ascii="標楷體" w:eastAsia="標楷體" w:hAnsi="標楷體" w:cs="新細明體" w:hint="eastAsia"/>
          <w:kern w:val="0"/>
          <w:sz w:val="32"/>
          <w:szCs w:val="32"/>
        </w:rPr>
        <w:t xml:space="preserve"> </w:t>
      </w:r>
    </w:p>
    <w:p w:rsidR="00FB6F71" w:rsidRPr="00B3519F" w:rsidRDefault="00FB6F71" w:rsidP="00156F8A">
      <w:pPr>
        <w:widowControl/>
        <w:tabs>
          <w:tab w:val="left" w:pos="360"/>
        </w:tabs>
        <w:spacing w:line="600" w:lineRule="exact"/>
        <w:ind w:leftChars="232" w:left="557"/>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李博士為生技界</w:t>
      </w:r>
      <w:r w:rsidR="00D1102F">
        <w:rPr>
          <w:rFonts w:ascii="標楷體" w:eastAsia="標楷體" w:hAnsi="標楷體" w:cs="新細明體" w:hint="eastAsia"/>
          <w:kern w:val="0"/>
          <w:sz w:val="32"/>
          <w:szCs w:val="32"/>
        </w:rPr>
        <w:t>知</w:t>
      </w:r>
      <w:r>
        <w:rPr>
          <w:rFonts w:ascii="標楷體" w:eastAsia="標楷體" w:hAnsi="標楷體" w:cs="新細明體" w:hint="eastAsia"/>
          <w:kern w:val="0"/>
          <w:sz w:val="32"/>
          <w:szCs w:val="32"/>
        </w:rPr>
        <w:t>名人士，</w:t>
      </w:r>
      <w:r w:rsidR="00D1102F">
        <w:rPr>
          <w:rFonts w:ascii="標楷體" w:eastAsia="標楷體" w:hAnsi="標楷體" w:cs="新細明體" w:hint="eastAsia"/>
          <w:kern w:val="0"/>
          <w:sz w:val="32"/>
          <w:szCs w:val="32"/>
        </w:rPr>
        <w:t>於</w:t>
      </w:r>
      <w:r>
        <w:rPr>
          <w:rFonts w:ascii="標楷體" w:eastAsia="標楷體" w:hAnsi="標楷體" w:cs="新細明體" w:hint="eastAsia"/>
          <w:kern w:val="0"/>
          <w:sz w:val="32"/>
          <w:szCs w:val="32"/>
        </w:rPr>
        <w:t>102年初委</w:t>
      </w:r>
      <w:r w:rsidR="00D1102F">
        <w:rPr>
          <w:rFonts w:ascii="標楷體" w:eastAsia="標楷體" w:hAnsi="標楷體" w:cs="新細明體" w:hint="eastAsia"/>
          <w:kern w:val="0"/>
          <w:sz w:val="32"/>
          <w:szCs w:val="32"/>
        </w:rPr>
        <w:t>由廖博</w:t>
      </w:r>
      <w:r>
        <w:rPr>
          <w:rFonts w:ascii="標楷體" w:eastAsia="標楷體" w:hAnsi="標楷體" w:cs="新細明體" w:hint="eastAsia"/>
          <w:kern w:val="0"/>
          <w:sz w:val="32"/>
          <w:szCs w:val="32"/>
        </w:rPr>
        <w:t>士開設之公司代銷李博士旗下之未上市(櫃)</w:t>
      </w:r>
      <w:r w:rsidR="00D1102F">
        <w:rPr>
          <w:rFonts w:ascii="標楷體" w:eastAsia="標楷體" w:hAnsi="標楷體" w:cs="新細明體" w:hint="eastAsia"/>
          <w:kern w:val="0"/>
          <w:sz w:val="32"/>
          <w:szCs w:val="32"/>
        </w:rPr>
        <w:t>甲生</w:t>
      </w:r>
      <w:r>
        <w:rPr>
          <w:rFonts w:ascii="標楷體" w:eastAsia="標楷體" w:hAnsi="標楷體" w:cs="新細明體" w:hint="eastAsia"/>
          <w:kern w:val="0"/>
          <w:sz w:val="32"/>
          <w:szCs w:val="32"/>
        </w:rPr>
        <w:t>技公司股票，余博士向黃姓投資人告稱甲生技公司票股將於</w:t>
      </w:r>
      <w:r w:rsidR="00D1102F">
        <w:rPr>
          <w:rFonts w:ascii="標楷體" w:eastAsia="標楷體" w:hAnsi="標楷體" w:cs="新細明體" w:hint="eastAsia"/>
          <w:kern w:val="0"/>
          <w:sz w:val="32"/>
          <w:szCs w:val="32"/>
        </w:rPr>
        <w:t>102</w:t>
      </w:r>
      <w:r>
        <w:rPr>
          <w:rFonts w:ascii="標楷體" w:eastAsia="標楷體" w:hAnsi="標楷體" w:cs="新細明體" w:hint="eastAsia"/>
          <w:kern w:val="0"/>
          <w:sz w:val="32"/>
          <w:szCs w:val="32"/>
        </w:rPr>
        <w:t>年底上櫃，</w:t>
      </w:r>
      <w:r w:rsidR="00D1102F">
        <w:rPr>
          <w:rFonts w:ascii="標楷體" w:eastAsia="標楷體" w:hAnsi="標楷體" w:cs="新細明體" w:hint="eastAsia"/>
          <w:kern w:val="0"/>
          <w:sz w:val="32"/>
          <w:szCs w:val="32"/>
        </w:rPr>
        <w:t>且依</w:t>
      </w:r>
      <w:r>
        <w:rPr>
          <w:rFonts w:ascii="標楷體" w:eastAsia="標楷體" w:hAnsi="標楷體" w:cs="新細明體" w:hint="eastAsia"/>
          <w:kern w:val="0"/>
          <w:sz w:val="32"/>
          <w:szCs w:val="32"/>
        </w:rPr>
        <w:t>該公司之獲利能力及產業地位，上櫃</w:t>
      </w:r>
      <w:r w:rsidR="00D1102F">
        <w:rPr>
          <w:rFonts w:ascii="標楷體" w:eastAsia="標楷體" w:hAnsi="標楷體" w:cs="新細明體" w:hint="eastAsia"/>
          <w:kern w:val="0"/>
          <w:sz w:val="32"/>
          <w:szCs w:val="32"/>
        </w:rPr>
        <w:t>後股價</w:t>
      </w:r>
      <w:r>
        <w:rPr>
          <w:rFonts w:ascii="標楷體" w:eastAsia="標楷體" w:hAnsi="標楷體" w:cs="新細明體" w:hint="eastAsia"/>
          <w:kern w:val="0"/>
          <w:sz w:val="32"/>
          <w:szCs w:val="32"/>
        </w:rPr>
        <w:t>將上漲一倍以上，熟料，黃姓投資人買進甲生技公司股票後，</w:t>
      </w:r>
      <w:r w:rsidR="00267633">
        <w:rPr>
          <w:rFonts w:ascii="標楷體" w:eastAsia="標楷體" w:hAnsi="標楷體" w:cs="新細明體" w:hint="eastAsia"/>
          <w:kern w:val="0"/>
          <w:sz w:val="32"/>
          <w:szCs w:val="32"/>
        </w:rPr>
        <w:t>迄今仍無法上櫃，造成黃姓投資人損失。</w:t>
      </w:r>
    </w:p>
    <w:p w:rsidR="00FB6F71" w:rsidRPr="00B3519F" w:rsidRDefault="00FB6F71" w:rsidP="00156F8A">
      <w:pPr>
        <w:widowControl/>
        <w:numPr>
          <w:ilvl w:val="0"/>
          <w:numId w:val="31"/>
        </w:numPr>
        <w:spacing w:line="600" w:lineRule="exact"/>
        <w:jc w:val="both"/>
        <w:rPr>
          <w:rFonts w:ascii="標楷體" w:eastAsia="標楷體" w:hAnsi="標楷體" w:cs="新細明體" w:hint="eastAsia"/>
          <w:b/>
          <w:kern w:val="0"/>
          <w:sz w:val="32"/>
          <w:szCs w:val="32"/>
        </w:rPr>
      </w:pPr>
      <w:r w:rsidRPr="00B3519F">
        <w:rPr>
          <w:rFonts w:ascii="標楷體" w:eastAsia="標楷體" w:hAnsi="標楷體" w:cs="新細明體" w:hint="eastAsia"/>
          <w:b/>
          <w:kern w:val="0"/>
          <w:sz w:val="32"/>
          <w:szCs w:val="32"/>
        </w:rPr>
        <w:t>案例分析：</w:t>
      </w:r>
    </w:p>
    <w:p w:rsidR="00FB6F71" w:rsidRDefault="00267633" w:rsidP="00156F8A">
      <w:pPr>
        <w:widowControl/>
        <w:numPr>
          <w:ilvl w:val="0"/>
          <w:numId w:val="32"/>
        </w:numPr>
        <w:tabs>
          <w:tab w:val="left" w:pos="567"/>
        </w:tabs>
        <w:spacing w:line="600" w:lineRule="exact"/>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投資人</w:t>
      </w:r>
      <w:r w:rsidR="00455E19">
        <w:rPr>
          <w:rFonts w:ascii="標楷體" w:eastAsia="標楷體" w:hAnsi="標楷體" w:cs="新細明體" w:hint="eastAsia"/>
          <w:kern w:val="0"/>
          <w:sz w:val="32"/>
          <w:szCs w:val="32"/>
        </w:rPr>
        <w:t>往往信賴</w:t>
      </w:r>
      <w:r>
        <w:rPr>
          <w:rFonts w:ascii="標楷體" w:eastAsia="標楷體" w:hAnsi="標楷體" w:cs="新細明體" w:hint="eastAsia"/>
          <w:kern w:val="0"/>
          <w:sz w:val="32"/>
          <w:szCs w:val="32"/>
        </w:rPr>
        <w:t>社會知名人</w:t>
      </w:r>
      <w:r w:rsidR="00455E19">
        <w:rPr>
          <w:rFonts w:ascii="標楷體" w:eastAsia="標楷體" w:hAnsi="標楷體" w:cs="新細明體" w:hint="eastAsia"/>
          <w:kern w:val="0"/>
          <w:sz w:val="32"/>
          <w:szCs w:val="32"/>
        </w:rPr>
        <w:t>聲譽</w:t>
      </w:r>
      <w:r w:rsidR="00D273CC">
        <w:rPr>
          <w:rFonts w:ascii="標楷體" w:eastAsia="標楷體" w:hAnsi="標楷體" w:cs="新細明體" w:hint="eastAsia"/>
          <w:kern w:val="0"/>
          <w:sz w:val="32"/>
          <w:szCs w:val="32"/>
        </w:rPr>
        <w:t>，經由</w:t>
      </w:r>
      <w:r w:rsidR="00455E19">
        <w:rPr>
          <w:rFonts w:ascii="標楷體" w:eastAsia="標楷體" w:hAnsi="標楷體" w:cs="新細明體" w:hint="eastAsia"/>
          <w:kern w:val="0"/>
          <w:sz w:val="32"/>
          <w:szCs w:val="32"/>
        </w:rPr>
        <w:t>知名人士</w:t>
      </w:r>
      <w:r w:rsidR="00D273CC">
        <w:rPr>
          <w:rFonts w:ascii="標楷體" w:eastAsia="標楷體" w:hAnsi="標楷體" w:cs="新細明體" w:hint="eastAsia"/>
          <w:kern w:val="0"/>
          <w:sz w:val="32"/>
          <w:szCs w:val="32"/>
        </w:rPr>
        <w:t>推銷</w:t>
      </w:r>
      <w:r w:rsidR="00455E19">
        <w:rPr>
          <w:rFonts w:ascii="標楷體" w:eastAsia="標楷體" w:hAnsi="標楷體" w:cs="新細明體" w:hint="eastAsia"/>
          <w:kern w:val="0"/>
          <w:sz w:val="32"/>
          <w:szCs w:val="32"/>
        </w:rPr>
        <w:t>仲介某</w:t>
      </w:r>
      <w:r w:rsidR="00D273CC">
        <w:rPr>
          <w:rFonts w:ascii="標楷體" w:eastAsia="標楷體" w:hAnsi="標楷體" w:cs="新細明體" w:hint="eastAsia"/>
          <w:kern w:val="0"/>
          <w:sz w:val="32"/>
          <w:szCs w:val="32"/>
        </w:rPr>
        <w:t>些</w:t>
      </w:r>
      <w:r w:rsidR="00FB6F71" w:rsidRPr="00B3519F">
        <w:rPr>
          <w:rFonts w:ascii="標楷體" w:eastAsia="標楷體" w:hAnsi="標楷體" w:cs="新細明體" w:hint="eastAsia"/>
          <w:kern w:val="0"/>
          <w:sz w:val="32"/>
          <w:szCs w:val="32"/>
        </w:rPr>
        <w:t>未上市(櫃)公司</w:t>
      </w:r>
      <w:r w:rsidR="00455E19">
        <w:rPr>
          <w:rFonts w:ascii="標楷體" w:eastAsia="標楷體" w:hAnsi="標楷體" w:cs="新細明體" w:hint="eastAsia"/>
          <w:kern w:val="0"/>
          <w:sz w:val="32"/>
          <w:szCs w:val="32"/>
        </w:rPr>
        <w:t>，</w:t>
      </w:r>
      <w:r w:rsidR="00FB6F71" w:rsidRPr="00B3519F">
        <w:rPr>
          <w:rFonts w:ascii="標楷體" w:eastAsia="標楷體" w:hAnsi="標楷體" w:cs="新細明體" w:hint="eastAsia"/>
          <w:kern w:val="0"/>
          <w:sz w:val="32"/>
          <w:szCs w:val="32"/>
        </w:rPr>
        <w:t>獲利能力佳，未來</w:t>
      </w:r>
      <w:r w:rsidR="00D1102F">
        <w:rPr>
          <w:rFonts w:ascii="標楷體" w:eastAsia="標楷體" w:hAnsi="標楷體" w:cs="新細明體" w:hint="eastAsia"/>
          <w:kern w:val="0"/>
          <w:sz w:val="32"/>
          <w:szCs w:val="32"/>
        </w:rPr>
        <w:t>如</w:t>
      </w:r>
      <w:r w:rsidR="00FB6F71" w:rsidRPr="00B3519F">
        <w:rPr>
          <w:rFonts w:ascii="標楷體" w:eastAsia="標楷體" w:hAnsi="標楷體" w:cs="新細明體" w:hint="eastAsia"/>
          <w:kern w:val="0"/>
          <w:sz w:val="32"/>
          <w:szCs w:val="32"/>
        </w:rPr>
        <w:t>股票上市(櫃)</w:t>
      </w:r>
      <w:r w:rsidR="00BC0051">
        <w:rPr>
          <w:rFonts w:ascii="標楷體" w:eastAsia="標楷體" w:hAnsi="標楷體" w:cs="新細明體" w:hint="eastAsia"/>
          <w:kern w:val="0"/>
          <w:sz w:val="32"/>
          <w:szCs w:val="32"/>
        </w:rPr>
        <w:t>後，股價必</w:t>
      </w:r>
      <w:r w:rsidR="00D1102F">
        <w:rPr>
          <w:rFonts w:ascii="標楷體" w:eastAsia="標楷體" w:hAnsi="標楷體" w:cs="新細明體" w:hint="eastAsia"/>
          <w:kern w:val="0"/>
          <w:sz w:val="32"/>
          <w:szCs w:val="32"/>
        </w:rPr>
        <w:t>然</w:t>
      </w:r>
      <w:r w:rsidR="00BC0051">
        <w:rPr>
          <w:rFonts w:ascii="標楷體" w:eastAsia="標楷體" w:hAnsi="標楷體" w:cs="新細明體" w:hint="eastAsia"/>
          <w:kern w:val="0"/>
          <w:sz w:val="32"/>
          <w:szCs w:val="32"/>
        </w:rPr>
        <w:t>大漲</w:t>
      </w:r>
      <w:r w:rsidR="00455E19">
        <w:rPr>
          <w:rFonts w:ascii="標楷體" w:eastAsia="標楷體" w:hAnsi="標楷體" w:cs="新細明體" w:hint="eastAsia"/>
          <w:kern w:val="0"/>
          <w:sz w:val="32"/>
          <w:szCs w:val="32"/>
        </w:rPr>
        <w:t>等</w:t>
      </w:r>
      <w:r w:rsidR="00D273CC">
        <w:rPr>
          <w:rFonts w:ascii="標楷體" w:eastAsia="標楷體" w:hAnsi="標楷體" w:cs="新細明體" w:hint="eastAsia"/>
          <w:kern w:val="0"/>
          <w:sz w:val="32"/>
          <w:szCs w:val="32"/>
        </w:rPr>
        <w:t>不實訊息，投資人可能因此買進該知名人士仲介之</w:t>
      </w:r>
      <w:r w:rsidR="00BC0051">
        <w:rPr>
          <w:rFonts w:ascii="標楷體" w:eastAsia="標楷體" w:hAnsi="標楷體" w:cs="新細明體" w:hint="eastAsia"/>
          <w:kern w:val="0"/>
          <w:sz w:val="32"/>
          <w:szCs w:val="32"/>
        </w:rPr>
        <w:t>未上市</w:t>
      </w:r>
      <w:r w:rsidR="00F47BC6">
        <w:rPr>
          <w:rFonts w:ascii="標楷體" w:eastAsia="標楷體" w:hAnsi="標楷體" w:cs="新細明體" w:hint="eastAsia"/>
          <w:kern w:val="0"/>
          <w:sz w:val="32"/>
          <w:szCs w:val="32"/>
        </w:rPr>
        <w:t>(</w:t>
      </w:r>
      <w:r w:rsidR="00BC0051">
        <w:rPr>
          <w:rFonts w:ascii="標楷體" w:eastAsia="標楷體" w:hAnsi="標楷體" w:cs="新細明體" w:hint="eastAsia"/>
          <w:kern w:val="0"/>
          <w:sz w:val="32"/>
          <w:szCs w:val="32"/>
        </w:rPr>
        <w:t>櫃</w:t>
      </w:r>
      <w:r w:rsidR="00F47BC6">
        <w:rPr>
          <w:rFonts w:ascii="標楷體" w:eastAsia="標楷體" w:hAnsi="標楷體" w:cs="新細明體" w:hint="eastAsia"/>
          <w:kern w:val="0"/>
          <w:sz w:val="32"/>
          <w:szCs w:val="32"/>
        </w:rPr>
        <w:t>)</w:t>
      </w:r>
      <w:r w:rsidR="00BC0051">
        <w:rPr>
          <w:rFonts w:ascii="標楷體" w:eastAsia="標楷體" w:hAnsi="標楷體" w:cs="新細明體" w:hint="eastAsia"/>
          <w:kern w:val="0"/>
          <w:sz w:val="32"/>
          <w:szCs w:val="32"/>
        </w:rPr>
        <w:t>股票</w:t>
      </w:r>
      <w:r w:rsidR="00D273CC">
        <w:rPr>
          <w:rFonts w:ascii="標楷體" w:eastAsia="標楷體" w:hAnsi="標楷體" w:cs="新細明體" w:hint="eastAsia"/>
          <w:kern w:val="0"/>
          <w:sz w:val="32"/>
          <w:szCs w:val="32"/>
        </w:rPr>
        <w:t>，造成日後</w:t>
      </w:r>
      <w:r w:rsidR="00D1102F">
        <w:rPr>
          <w:rFonts w:ascii="標楷體" w:eastAsia="標楷體" w:hAnsi="標楷體" w:cs="新細明體" w:hint="eastAsia"/>
          <w:kern w:val="0"/>
          <w:sz w:val="32"/>
          <w:szCs w:val="32"/>
        </w:rPr>
        <w:t>投資</w:t>
      </w:r>
      <w:r w:rsidR="00D273CC">
        <w:rPr>
          <w:rFonts w:ascii="標楷體" w:eastAsia="標楷體" w:hAnsi="標楷體" w:cs="新細明體" w:hint="eastAsia"/>
          <w:kern w:val="0"/>
          <w:sz w:val="32"/>
          <w:szCs w:val="32"/>
        </w:rPr>
        <w:t>損失</w:t>
      </w:r>
      <w:r w:rsidR="00BC0051">
        <w:rPr>
          <w:rFonts w:ascii="標楷體" w:eastAsia="標楷體" w:hAnsi="標楷體" w:cs="新細明體" w:hint="eastAsia"/>
          <w:kern w:val="0"/>
          <w:sz w:val="32"/>
          <w:szCs w:val="32"/>
        </w:rPr>
        <w:t>。</w:t>
      </w:r>
    </w:p>
    <w:p w:rsidR="00FB6F71" w:rsidRPr="007D4867" w:rsidRDefault="00FB6F71" w:rsidP="00156F8A">
      <w:pPr>
        <w:widowControl/>
        <w:numPr>
          <w:ilvl w:val="0"/>
          <w:numId w:val="32"/>
        </w:numPr>
        <w:tabs>
          <w:tab w:val="left" w:pos="567"/>
        </w:tabs>
        <w:spacing w:line="600" w:lineRule="exact"/>
        <w:jc w:val="both"/>
        <w:rPr>
          <w:rFonts w:ascii="標楷體" w:eastAsia="標楷體" w:hAnsi="標楷體" w:cs="新細明體" w:hint="eastAsia"/>
          <w:kern w:val="0"/>
          <w:sz w:val="32"/>
          <w:szCs w:val="32"/>
        </w:rPr>
      </w:pPr>
      <w:r w:rsidRPr="007D4867">
        <w:rPr>
          <w:rFonts w:ascii="標楷體" w:eastAsia="標楷體" w:hAnsi="標楷體" w:cs="新細明體"/>
          <w:kern w:val="0"/>
          <w:sz w:val="32"/>
          <w:szCs w:val="32"/>
        </w:rPr>
        <w:t>依</w:t>
      </w:r>
      <w:r w:rsidRPr="007D4867">
        <w:rPr>
          <w:rFonts w:ascii="標楷體" w:eastAsia="標楷體" w:hAnsi="標楷體" w:cs="新細明體" w:hint="eastAsia"/>
          <w:kern w:val="0"/>
          <w:sz w:val="32"/>
          <w:szCs w:val="32"/>
        </w:rPr>
        <w:t>證券交易法第44條第1項規定，證券商須經主管機關之許可及發給許可證照，方得營業；非證券商不得經營證券業務</w:t>
      </w:r>
      <w:r w:rsidRPr="007D4867">
        <w:rPr>
          <w:rFonts w:ascii="標楷體" w:eastAsia="標楷體" w:hAnsi="標楷體" w:cs="新細明體"/>
          <w:kern w:val="0"/>
          <w:sz w:val="32"/>
          <w:szCs w:val="32"/>
        </w:rPr>
        <w:t>。未經許可擅自經營</w:t>
      </w:r>
      <w:r w:rsidRPr="007D4867">
        <w:rPr>
          <w:rFonts w:ascii="標楷體" w:eastAsia="標楷體" w:hAnsi="標楷體" w:cs="新細明體" w:hint="eastAsia"/>
          <w:kern w:val="0"/>
          <w:sz w:val="32"/>
          <w:szCs w:val="32"/>
        </w:rPr>
        <w:t>證券業務</w:t>
      </w:r>
      <w:r w:rsidRPr="007D4867">
        <w:rPr>
          <w:rFonts w:ascii="標楷體" w:eastAsia="標楷體" w:hAnsi="標楷體" w:cs="新細明體"/>
          <w:kern w:val="0"/>
          <w:sz w:val="32"/>
          <w:szCs w:val="32"/>
        </w:rPr>
        <w:t>者，依</w:t>
      </w:r>
      <w:r w:rsidRPr="007D4867">
        <w:rPr>
          <w:rFonts w:ascii="標楷體" w:eastAsia="標楷體" w:hAnsi="標楷體" w:cs="新細明體" w:hint="eastAsia"/>
          <w:kern w:val="0"/>
          <w:sz w:val="32"/>
          <w:szCs w:val="32"/>
        </w:rPr>
        <w:t>證券</w:t>
      </w:r>
      <w:r w:rsidRPr="007D4867">
        <w:rPr>
          <w:rFonts w:ascii="標楷體" w:eastAsia="標楷體" w:hAnsi="標楷體" w:cs="新細明體"/>
          <w:kern w:val="0"/>
          <w:sz w:val="32"/>
          <w:szCs w:val="32"/>
        </w:rPr>
        <w:t>交易法第1</w:t>
      </w:r>
      <w:r w:rsidRPr="007D4867">
        <w:rPr>
          <w:rFonts w:ascii="標楷體" w:eastAsia="標楷體" w:hAnsi="標楷體" w:cs="新細明體" w:hint="eastAsia"/>
          <w:kern w:val="0"/>
          <w:sz w:val="32"/>
          <w:szCs w:val="32"/>
        </w:rPr>
        <w:t>75</w:t>
      </w:r>
      <w:r w:rsidRPr="007D4867">
        <w:rPr>
          <w:rFonts w:ascii="標楷體" w:eastAsia="標楷體" w:hAnsi="標楷體" w:cs="新細明體"/>
          <w:kern w:val="0"/>
          <w:sz w:val="32"/>
          <w:szCs w:val="32"/>
        </w:rPr>
        <w:t>條第</w:t>
      </w:r>
      <w:r w:rsidRPr="007D4867">
        <w:rPr>
          <w:rFonts w:ascii="標楷體" w:eastAsia="標楷體" w:hAnsi="標楷體" w:cs="新細明體" w:hint="eastAsia"/>
          <w:kern w:val="0"/>
          <w:sz w:val="32"/>
          <w:szCs w:val="32"/>
        </w:rPr>
        <w:t>1項</w:t>
      </w:r>
      <w:r w:rsidRPr="007D4867">
        <w:rPr>
          <w:rFonts w:ascii="標楷體" w:eastAsia="標楷體" w:hAnsi="標楷體" w:cs="新細明體"/>
          <w:kern w:val="0"/>
          <w:sz w:val="32"/>
          <w:szCs w:val="32"/>
        </w:rPr>
        <w:t>規定，處</w:t>
      </w:r>
      <w:r w:rsidRPr="007D4867">
        <w:rPr>
          <w:rFonts w:ascii="標楷體" w:eastAsia="標楷體" w:hAnsi="標楷體" w:cs="新細明體" w:hint="eastAsia"/>
          <w:kern w:val="0"/>
          <w:sz w:val="32"/>
          <w:szCs w:val="32"/>
        </w:rPr>
        <w:t>2年以下有期徒刑、拘役或科或併科新臺幣180萬元以下罰金</w:t>
      </w:r>
      <w:r w:rsidRPr="007D4867">
        <w:rPr>
          <w:rFonts w:ascii="標楷體" w:eastAsia="標楷體" w:hAnsi="標楷體" w:cs="新細明體"/>
          <w:kern w:val="0"/>
          <w:sz w:val="32"/>
          <w:szCs w:val="32"/>
        </w:rPr>
        <w:t>。</w:t>
      </w:r>
    </w:p>
    <w:p w:rsidR="00FB6F71" w:rsidRDefault="00FB6F71" w:rsidP="00156F8A">
      <w:pPr>
        <w:widowControl/>
        <w:numPr>
          <w:ilvl w:val="0"/>
          <w:numId w:val="32"/>
        </w:numPr>
        <w:tabs>
          <w:tab w:val="left" w:pos="567"/>
        </w:tabs>
        <w:spacing w:line="600" w:lineRule="exact"/>
        <w:jc w:val="both"/>
        <w:rPr>
          <w:rFonts w:ascii="標楷體" w:eastAsia="標楷體" w:hAnsi="標楷體" w:cs="新細明體"/>
          <w:kern w:val="0"/>
          <w:sz w:val="32"/>
          <w:szCs w:val="32"/>
        </w:rPr>
      </w:pPr>
      <w:r w:rsidRPr="00B3519F">
        <w:rPr>
          <w:rFonts w:ascii="標楷體" w:eastAsia="標楷體" w:hAnsi="標楷體" w:cs="新細明體" w:hint="eastAsia"/>
          <w:kern w:val="0"/>
          <w:sz w:val="32"/>
          <w:szCs w:val="32"/>
        </w:rPr>
        <w:t>目前任何人（包括公司、行號或個人）經營證券業務，均應受證券交易法之規範。</w:t>
      </w:r>
    </w:p>
    <w:p w:rsidR="007E4E7C" w:rsidRPr="00FB6F71" w:rsidRDefault="007E4E7C" w:rsidP="00FB6F71">
      <w:pPr>
        <w:widowControl/>
        <w:tabs>
          <w:tab w:val="left" w:pos="567"/>
        </w:tabs>
        <w:spacing w:line="600" w:lineRule="exact"/>
        <w:ind w:left="567"/>
        <w:jc w:val="both"/>
        <w:rPr>
          <w:rFonts w:ascii="標楷體" w:eastAsia="標楷體" w:hAnsi="標楷體" w:cs="新細明體" w:hint="eastAsia"/>
          <w:kern w:val="0"/>
          <w:sz w:val="32"/>
          <w:szCs w:val="32"/>
        </w:rPr>
      </w:pPr>
    </w:p>
    <w:p w:rsidR="00975024" w:rsidRPr="00B3519F" w:rsidRDefault="00B3519F" w:rsidP="00B3519F">
      <w:pPr>
        <w:widowControl/>
        <w:spacing w:line="600" w:lineRule="exact"/>
        <w:ind w:rightChars="-118" w:right="-283"/>
        <w:rPr>
          <w:rFonts w:ascii="標楷體" w:eastAsia="標楷體" w:hAnsi="標楷體" w:cs="新細明體" w:hint="eastAsia"/>
          <w:b/>
          <w:kern w:val="0"/>
          <w:sz w:val="36"/>
          <w:szCs w:val="36"/>
          <w:shd w:val="pct15" w:color="auto" w:fill="FFFFFF"/>
        </w:rPr>
      </w:pPr>
      <w:r>
        <w:rPr>
          <w:rFonts w:ascii="Book Antiqua" w:eastAsia="標楷體" w:hAnsi="標楷體" w:cs="新細明體"/>
          <w:kern w:val="0"/>
          <w:sz w:val="28"/>
          <w:szCs w:val="28"/>
        </w:rPr>
        <w:br w:type="page"/>
      </w:r>
      <w:r w:rsidR="00156F8A" w:rsidRPr="00156F8A">
        <w:rPr>
          <w:rFonts w:ascii="標楷體" w:eastAsia="標楷體" w:hAnsi="標楷體" w:cs="新細明體" w:hint="eastAsia"/>
          <w:b/>
          <w:kern w:val="0"/>
          <w:sz w:val="32"/>
          <w:szCs w:val="32"/>
          <w:shd w:val="pct15" w:color="auto" w:fill="FFFFFF"/>
        </w:rPr>
        <w:lastRenderedPageBreak/>
        <w:t>國外非法網路交易平台對國人招攬買賣</w:t>
      </w:r>
      <w:r w:rsidR="00156F8A" w:rsidRPr="00156F8A">
        <w:rPr>
          <w:rFonts w:ascii="標楷體" w:eastAsia="標楷體" w:hAnsi="標楷體" w:cs="新細明體" w:hint="eastAsia"/>
          <w:b/>
          <w:bCs/>
          <w:kern w:val="0"/>
          <w:sz w:val="32"/>
          <w:szCs w:val="32"/>
          <w:shd w:val="pct15" w:color="auto" w:fill="FFFFFF"/>
        </w:rPr>
        <w:t>外國有價證券</w:t>
      </w:r>
    </w:p>
    <w:p w:rsidR="00975024" w:rsidRPr="00B3519F" w:rsidRDefault="00156F8A" w:rsidP="005F1CE2">
      <w:pPr>
        <w:widowControl/>
        <w:spacing w:line="600" w:lineRule="exact"/>
        <w:ind w:left="707" w:hangingChars="221" w:hanging="707"/>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一</w:t>
      </w:r>
      <w:r w:rsidR="00B3519F" w:rsidRPr="00B3519F">
        <w:rPr>
          <w:rFonts w:ascii="標楷體" w:eastAsia="標楷體" w:hAnsi="標楷體" w:cs="新細明體" w:hint="eastAsia"/>
          <w:kern w:val="0"/>
          <w:sz w:val="32"/>
          <w:szCs w:val="32"/>
        </w:rPr>
        <w:t>、</w:t>
      </w:r>
      <w:r w:rsidR="00975024" w:rsidRPr="00B3519F">
        <w:rPr>
          <w:rFonts w:ascii="標楷體" w:eastAsia="標楷體" w:hAnsi="標楷體" w:cs="新細明體" w:hint="eastAsia"/>
          <w:b/>
          <w:kern w:val="0"/>
          <w:sz w:val="32"/>
          <w:szCs w:val="32"/>
        </w:rPr>
        <w:t>案例</w:t>
      </w:r>
      <w:r w:rsidR="00975024" w:rsidRPr="00B3519F">
        <w:rPr>
          <w:rFonts w:ascii="標楷體" w:eastAsia="標楷體" w:hAnsi="標楷體" w:cs="新細明體" w:hint="eastAsia"/>
          <w:kern w:val="0"/>
          <w:sz w:val="32"/>
          <w:szCs w:val="32"/>
        </w:rPr>
        <w:t>：</w:t>
      </w:r>
      <w:r w:rsidRPr="00B3519F">
        <w:rPr>
          <w:rFonts w:ascii="標楷體" w:eastAsia="標楷體" w:hAnsi="標楷體" w:cs="新細明體" w:hint="eastAsia"/>
          <w:kern w:val="0"/>
          <w:sz w:val="32"/>
          <w:szCs w:val="32"/>
        </w:rPr>
        <w:t xml:space="preserve"> </w:t>
      </w:r>
    </w:p>
    <w:p w:rsidR="00975024" w:rsidRPr="00B3519F" w:rsidRDefault="00975024" w:rsidP="005F1CE2">
      <w:pPr>
        <w:widowControl/>
        <w:spacing w:line="600" w:lineRule="exact"/>
        <w:ind w:leftChars="295" w:left="708"/>
        <w:jc w:val="both"/>
        <w:rPr>
          <w:rFonts w:ascii="標楷體" w:eastAsia="標楷體" w:hAnsi="標楷體" w:cs="新細明體" w:hint="eastAsia"/>
          <w:kern w:val="0"/>
          <w:sz w:val="32"/>
          <w:szCs w:val="32"/>
        </w:rPr>
      </w:pPr>
      <w:r w:rsidRPr="00B3519F">
        <w:rPr>
          <w:rFonts w:ascii="標楷體" w:eastAsia="標楷體" w:hAnsi="標楷體" w:cs="新細明體" w:hint="eastAsia"/>
          <w:kern w:val="0"/>
          <w:sz w:val="32"/>
          <w:szCs w:val="32"/>
        </w:rPr>
        <w:t>國外</w:t>
      </w:r>
      <w:r w:rsidR="005F1CE2">
        <w:rPr>
          <w:rFonts w:ascii="標楷體" w:eastAsia="標楷體" w:hAnsi="標楷體" w:cs="新細明體" w:hint="eastAsia"/>
          <w:kern w:val="0"/>
          <w:sz w:val="32"/>
          <w:szCs w:val="32"/>
        </w:rPr>
        <w:t>某</w:t>
      </w:r>
      <w:r w:rsidRPr="00B3519F">
        <w:rPr>
          <w:rFonts w:ascii="標楷體" w:eastAsia="標楷體" w:hAnsi="標楷體" w:cs="新細明體" w:hint="eastAsia"/>
          <w:kern w:val="0"/>
          <w:sz w:val="32"/>
          <w:szCs w:val="32"/>
        </w:rPr>
        <w:t>非法網路證券交易平台</w:t>
      </w:r>
      <w:r w:rsidR="00156F8A">
        <w:rPr>
          <w:rFonts w:ascii="標楷體" w:eastAsia="標楷體" w:hAnsi="標楷體" w:cs="新細明體" w:hint="eastAsia"/>
          <w:kern w:val="0"/>
          <w:sz w:val="32"/>
          <w:szCs w:val="32"/>
        </w:rPr>
        <w:t>-甲乙</w:t>
      </w:r>
      <w:r w:rsidR="00FA3B93">
        <w:rPr>
          <w:rFonts w:ascii="標楷體" w:eastAsia="標楷體" w:hAnsi="標楷體" w:cs="新細明體" w:hint="eastAsia"/>
          <w:kern w:val="0"/>
          <w:sz w:val="32"/>
          <w:szCs w:val="32"/>
        </w:rPr>
        <w:t>證券</w:t>
      </w:r>
      <w:r w:rsidR="00156F8A">
        <w:rPr>
          <w:rFonts w:ascii="標楷體" w:eastAsia="標楷體" w:hAnsi="標楷體" w:cs="新細明體" w:hint="eastAsia"/>
          <w:kern w:val="0"/>
          <w:sz w:val="32"/>
          <w:szCs w:val="32"/>
        </w:rPr>
        <w:t>，</w:t>
      </w:r>
      <w:r w:rsidRPr="00B3519F">
        <w:rPr>
          <w:rFonts w:ascii="標楷體" w:eastAsia="標楷體" w:hAnsi="標楷體" w:cs="新細明體" w:hint="eastAsia"/>
          <w:kern w:val="0"/>
          <w:sz w:val="32"/>
          <w:szCs w:val="32"/>
        </w:rPr>
        <w:t>以其開戶簡便、提供中文服務及手續費低廉等訴求，吸引國內外投資人至該網路平台開戶及下單買賣外國有價證券</w:t>
      </w:r>
      <w:r w:rsidR="005F1CE2">
        <w:rPr>
          <w:rFonts w:ascii="標楷體" w:eastAsia="標楷體" w:hAnsi="標楷體" w:cs="新細明體" w:hint="eastAsia"/>
          <w:kern w:val="0"/>
          <w:sz w:val="32"/>
          <w:szCs w:val="32"/>
        </w:rPr>
        <w:t>，並透過某投資達人於部落格</w:t>
      </w:r>
      <w:r w:rsidR="00FA3B93">
        <w:rPr>
          <w:rFonts w:ascii="標楷體" w:eastAsia="標楷體" w:hAnsi="標楷體" w:cs="新細明體" w:hint="eastAsia"/>
          <w:kern w:val="0"/>
          <w:sz w:val="32"/>
          <w:szCs w:val="32"/>
        </w:rPr>
        <w:t>撰寫文章，</w:t>
      </w:r>
      <w:r w:rsidR="005F1CE2">
        <w:rPr>
          <w:rFonts w:ascii="標楷體" w:eastAsia="標楷體" w:hAnsi="標楷體" w:cs="新細明體" w:hint="eastAsia"/>
          <w:kern w:val="0"/>
          <w:sz w:val="32"/>
          <w:szCs w:val="32"/>
        </w:rPr>
        <w:t>強力推荐投資人</w:t>
      </w:r>
      <w:r w:rsidR="00FA3B93">
        <w:rPr>
          <w:rFonts w:ascii="標楷體" w:eastAsia="標楷體" w:hAnsi="標楷體" w:cs="新細明體" w:hint="eastAsia"/>
          <w:kern w:val="0"/>
          <w:sz w:val="32"/>
          <w:szCs w:val="32"/>
        </w:rPr>
        <w:t>至該</w:t>
      </w:r>
      <w:r w:rsidR="005F1CE2">
        <w:rPr>
          <w:rFonts w:ascii="標楷體" w:eastAsia="標楷體" w:hAnsi="標楷體" w:cs="新細明體" w:hint="eastAsia"/>
          <w:kern w:val="0"/>
          <w:sz w:val="32"/>
          <w:szCs w:val="32"/>
        </w:rPr>
        <w:t>網站平台開戶</w:t>
      </w:r>
      <w:r w:rsidR="00FA3B93">
        <w:rPr>
          <w:rFonts w:ascii="標楷體" w:eastAsia="標楷體" w:hAnsi="標楷體" w:cs="新細明體" w:hint="eastAsia"/>
          <w:kern w:val="0"/>
          <w:sz w:val="32"/>
          <w:szCs w:val="32"/>
        </w:rPr>
        <w:t>買賣外國有價證券</w:t>
      </w:r>
      <w:r w:rsidRPr="00B3519F">
        <w:rPr>
          <w:rFonts w:ascii="標楷體" w:eastAsia="標楷體" w:hAnsi="標楷體" w:cs="新細明體" w:hint="eastAsia"/>
          <w:kern w:val="0"/>
          <w:sz w:val="32"/>
          <w:szCs w:val="32"/>
        </w:rPr>
        <w:t>。</w:t>
      </w:r>
    </w:p>
    <w:p w:rsidR="0034714B" w:rsidRPr="00B3519F" w:rsidRDefault="00156F8A" w:rsidP="00156F8A">
      <w:pPr>
        <w:widowControl/>
        <w:spacing w:line="600" w:lineRule="exact"/>
        <w:jc w:val="both"/>
        <w:rPr>
          <w:rFonts w:ascii="標楷體" w:eastAsia="標楷體" w:hAnsi="標楷體" w:cs="新細明體" w:hint="eastAsia"/>
          <w:kern w:val="0"/>
          <w:sz w:val="32"/>
          <w:szCs w:val="32"/>
        </w:rPr>
      </w:pPr>
      <w:r>
        <w:rPr>
          <w:rFonts w:ascii="標楷體" w:eastAsia="標楷體" w:hAnsi="標楷體" w:cs="新細明體" w:hint="eastAsia"/>
          <w:b/>
          <w:kern w:val="0"/>
          <w:sz w:val="32"/>
          <w:szCs w:val="32"/>
        </w:rPr>
        <w:t>二、</w:t>
      </w:r>
      <w:r w:rsidR="0034714B" w:rsidRPr="00B3519F">
        <w:rPr>
          <w:rFonts w:ascii="標楷體" w:eastAsia="標楷體" w:hAnsi="標楷體" w:cs="新細明體" w:hint="eastAsia"/>
          <w:b/>
          <w:kern w:val="0"/>
          <w:sz w:val="32"/>
          <w:szCs w:val="32"/>
        </w:rPr>
        <w:t>案例分析</w:t>
      </w:r>
      <w:r w:rsidR="0034714B" w:rsidRPr="00B3519F">
        <w:rPr>
          <w:rFonts w:ascii="標楷體" w:eastAsia="標楷體" w:hAnsi="標楷體" w:cs="新細明體" w:hint="eastAsia"/>
          <w:kern w:val="0"/>
          <w:sz w:val="32"/>
          <w:szCs w:val="32"/>
        </w:rPr>
        <w:t>：</w:t>
      </w:r>
    </w:p>
    <w:p w:rsidR="00B3519F" w:rsidRPr="00B3519F" w:rsidRDefault="005F1CE2" w:rsidP="005F1CE2">
      <w:pPr>
        <w:widowControl/>
        <w:spacing w:line="600" w:lineRule="exact"/>
        <w:ind w:leftChars="168" w:left="1046" w:hangingChars="201" w:hanging="643"/>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(一)</w:t>
      </w:r>
      <w:r w:rsidR="00A0500E" w:rsidRPr="00B3519F">
        <w:rPr>
          <w:rFonts w:ascii="標楷體" w:eastAsia="標楷體" w:hAnsi="標楷體" w:cs="新細明體" w:hint="eastAsia"/>
          <w:kern w:val="0"/>
          <w:sz w:val="32"/>
          <w:szCs w:val="32"/>
        </w:rPr>
        <w:t>國外未經本會核准之</w:t>
      </w:r>
      <w:r w:rsidR="00ED452D">
        <w:rPr>
          <w:rFonts w:ascii="標楷體" w:eastAsia="標楷體" w:hAnsi="標楷體" w:cs="新細明體" w:hint="eastAsia"/>
          <w:kern w:val="0"/>
          <w:sz w:val="32"/>
          <w:szCs w:val="32"/>
        </w:rPr>
        <w:t>證券商</w:t>
      </w:r>
      <w:r w:rsidR="00A0500E" w:rsidRPr="00B3519F">
        <w:rPr>
          <w:rFonts w:ascii="標楷體" w:eastAsia="標楷體" w:hAnsi="標楷體" w:cs="新細明體" w:hint="eastAsia"/>
          <w:kern w:val="0"/>
          <w:sz w:val="32"/>
          <w:szCs w:val="32"/>
        </w:rPr>
        <w:t>網路交易平台，透過該網站</w:t>
      </w:r>
      <w:r w:rsidR="00537DB0">
        <w:rPr>
          <w:rFonts w:ascii="標楷體" w:eastAsia="標楷體" w:hAnsi="標楷體" w:cs="新細明體" w:hint="eastAsia"/>
          <w:kern w:val="0"/>
          <w:sz w:val="32"/>
          <w:szCs w:val="32"/>
        </w:rPr>
        <w:t>平台</w:t>
      </w:r>
      <w:r w:rsidR="00A0500E" w:rsidRPr="00B3519F">
        <w:rPr>
          <w:rFonts w:ascii="標楷體" w:eastAsia="標楷體" w:hAnsi="標楷體" w:cs="新細明體" w:hint="eastAsia"/>
          <w:kern w:val="0"/>
          <w:sz w:val="32"/>
          <w:szCs w:val="32"/>
        </w:rPr>
        <w:t>或國內部落客撰寫文章等方式，推荐國內投資人至其網路平台開戶及買賣美國、香港及大陸</w:t>
      </w:r>
      <w:r w:rsidR="00537DB0">
        <w:rPr>
          <w:rFonts w:ascii="標楷體" w:eastAsia="標楷體" w:hAnsi="標楷體" w:cs="新細明體" w:hint="eastAsia"/>
          <w:kern w:val="0"/>
          <w:sz w:val="32"/>
          <w:szCs w:val="32"/>
        </w:rPr>
        <w:t>等</w:t>
      </w:r>
      <w:r w:rsidR="00A0500E" w:rsidRPr="00B3519F">
        <w:rPr>
          <w:rFonts w:ascii="標楷體" w:eastAsia="標楷體" w:hAnsi="標楷體" w:cs="新細明體" w:hint="eastAsia"/>
          <w:kern w:val="0"/>
          <w:sz w:val="32"/>
          <w:szCs w:val="32"/>
        </w:rPr>
        <w:t>地區掛牌</w:t>
      </w:r>
      <w:r w:rsidR="00537DB0">
        <w:rPr>
          <w:rFonts w:ascii="標楷體" w:eastAsia="標楷體" w:hAnsi="標楷體" w:cs="新細明體" w:hint="eastAsia"/>
          <w:kern w:val="0"/>
          <w:sz w:val="32"/>
          <w:szCs w:val="32"/>
        </w:rPr>
        <w:t>之</w:t>
      </w:r>
      <w:r w:rsidR="00A0500E" w:rsidRPr="00B3519F">
        <w:rPr>
          <w:rFonts w:ascii="標楷體" w:eastAsia="標楷體" w:hAnsi="標楷體" w:cs="新細明體" w:hint="eastAsia"/>
          <w:kern w:val="0"/>
          <w:sz w:val="32"/>
          <w:szCs w:val="32"/>
        </w:rPr>
        <w:t>有價證券，</w:t>
      </w:r>
      <w:r w:rsidR="00F81CFE">
        <w:rPr>
          <w:rFonts w:ascii="標楷體" w:eastAsia="標楷體" w:hAnsi="標楷體" w:cs="新細明體" w:hint="eastAsia"/>
          <w:kern w:val="0"/>
          <w:sz w:val="32"/>
          <w:szCs w:val="32"/>
        </w:rPr>
        <w:t>投資人透過該網路</w:t>
      </w:r>
      <w:r w:rsidR="00537DB0">
        <w:rPr>
          <w:rFonts w:ascii="標楷體" w:eastAsia="標楷體" w:hAnsi="標楷體" w:cs="新細明體" w:hint="eastAsia"/>
          <w:kern w:val="0"/>
          <w:sz w:val="32"/>
          <w:szCs w:val="32"/>
        </w:rPr>
        <w:t>平</w:t>
      </w:r>
      <w:r w:rsidR="00F81CFE">
        <w:rPr>
          <w:rFonts w:ascii="標楷體" w:eastAsia="標楷體" w:hAnsi="標楷體" w:cs="新細明體" w:hint="eastAsia"/>
          <w:kern w:val="0"/>
          <w:sz w:val="32"/>
          <w:szCs w:val="32"/>
        </w:rPr>
        <w:t>台交易，</w:t>
      </w:r>
      <w:r w:rsidR="00A0500E" w:rsidRPr="00B3519F">
        <w:rPr>
          <w:rFonts w:ascii="標楷體" w:eastAsia="標楷體" w:hAnsi="標楷體" w:cs="新細明體" w:hint="eastAsia"/>
          <w:kern w:val="0"/>
          <w:sz w:val="32"/>
          <w:szCs w:val="32"/>
        </w:rPr>
        <w:t>如發生交易糾紛時，</w:t>
      </w:r>
      <w:r w:rsidR="00F81CFE">
        <w:rPr>
          <w:rFonts w:ascii="標楷體" w:eastAsia="標楷體" w:hAnsi="標楷體" w:cs="新細明體" w:hint="eastAsia"/>
          <w:kern w:val="0"/>
          <w:sz w:val="32"/>
          <w:szCs w:val="32"/>
        </w:rPr>
        <w:t>權益</w:t>
      </w:r>
      <w:r w:rsidR="00A0500E" w:rsidRPr="00B3519F">
        <w:rPr>
          <w:rFonts w:ascii="標楷體" w:eastAsia="標楷體" w:hAnsi="標楷體" w:cs="新細明體" w:hint="eastAsia"/>
          <w:kern w:val="0"/>
          <w:sz w:val="32"/>
          <w:szCs w:val="32"/>
        </w:rPr>
        <w:t>將無法</w:t>
      </w:r>
      <w:r w:rsidR="00E231BE" w:rsidRPr="00B3519F">
        <w:rPr>
          <w:rFonts w:ascii="標楷體" w:eastAsia="標楷體" w:hAnsi="標楷體" w:cs="新細明體" w:hint="eastAsia"/>
          <w:kern w:val="0"/>
          <w:sz w:val="32"/>
          <w:szCs w:val="32"/>
        </w:rPr>
        <w:t>獲得保</w:t>
      </w:r>
      <w:r w:rsidR="005A2A84">
        <w:rPr>
          <w:rFonts w:ascii="標楷體" w:eastAsia="標楷體" w:hAnsi="標楷體" w:cs="新細明體" w:hint="eastAsia"/>
          <w:kern w:val="0"/>
          <w:sz w:val="32"/>
          <w:szCs w:val="32"/>
        </w:rPr>
        <w:t>障；</w:t>
      </w:r>
      <w:r w:rsidR="00F81CFE">
        <w:rPr>
          <w:rFonts w:ascii="標楷體" w:eastAsia="標楷體" w:hAnsi="標楷體" w:cs="新細明體" w:hint="eastAsia"/>
          <w:kern w:val="0"/>
          <w:sz w:val="32"/>
          <w:szCs w:val="32"/>
        </w:rPr>
        <w:t>此外，</w:t>
      </w:r>
      <w:r w:rsidR="00B3519F" w:rsidRPr="00B3519F">
        <w:rPr>
          <w:rFonts w:ascii="標楷體" w:eastAsia="標楷體" w:hAnsi="標楷體" w:cs="新細明體" w:hint="eastAsia"/>
          <w:kern w:val="0"/>
          <w:sz w:val="32"/>
          <w:szCs w:val="32"/>
        </w:rPr>
        <w:t>鑒於國際跨境詐騙手法多元，為避免受騙，投資人</w:t>
      </w:r>
      <w:r w:rsidR="00443FDB">
        <w:rPr>
          <w:rFonts w:ascii="標楷體" w:eastAsia="標楷體" w:hAnsi="標楷體" w:cs="新細明體" w:hint="eastAsia"/>
          <w:kern w:val="0"/>
          <w:sz w:val="32"/>
          <w:szCs w:val="32"/>
        </w:rPr>
        <w:t>投資</w:t>
      </w:r>
      <w:r w:rsidR="00B3519F" w:rsidRPr="00B3519F">
        <w:rPr>
          <w:rFonts w:ascii="標楷體" w:eastAsia="標楷體" w:hAnsi="標楷體" w:cs="新細明體" w:hint="eastAsia"/>
          <w:kern w:val="0"/>
          <w:sz w:val="32"/>
          <w:szCs w:val="32"/>
        </w:rPr>
        <w:t>外國</w:t>
      </w:r>
      <w:r w:rsidR="00443FDB">
        <w:rPr>
          <w:rFonts w:ascii="標楷體" w:eastAsia="標楷體" w:hAnsi="標楷體" w:cs="新細明體" w:hint="eastAsia"/>
          <w:kern w:val="0"/>
          <w:sz w:val="32"/>
          <w:szCs w:val="32"/>
        </w:rPr>
        <w:t>有價證券時</w:t>
      </w:r>
      <w:r w:rsidR="00B3519F" w:rsidRPr="00B3519F">
        <w:rPr>
          <w:rFonts w:ascii="標楷體" w:eastAsia="標楷體" w:hAnsi="標楷體" w:cs="新細明體" w:hint="eastAsia"/>
          <w:kern w:val="0"/>
          <w:sz w:val="32"/>
          <w:szCs w:val="32"/>
        </w:rPr>
        <w:t>，應透過我國合法立案之證券商或金融機構，以維護自身權益</w:t>
      </w:r>
      <w:r w:rsidR="00443FDB">
        <w:rPr>
          <w:rFonts w:ascii="標楷體" w:eastAsia="標楷體" w:hAnsi="標楷體" w:cs="新細明體" w:hint="eastAsia"/>
          <w:kern w:val="0"/>
          <w:sz w:val="32"/>
          <w:szCs w:val="32"/>
        </w:rPr>
        <w:t>。</w:t>
      </w:r>
    </w:p>
    <w:p w:rsidR="00227D56" w:rsidRPr="00B3519F" w:rsidRDefault="005F1CE2" w:rsidP="005F1CE2">
      <w:pPr>
        <w:widowControl/>
        <w:spacing w:line="600" w:lineRule="exact"/>
        <w:ind w:leftChars="168" w:left="1046" w:hangingChars="201" w:hanging="643"/>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(二)</w:t>
      </w:r>
      <w:r w:rsidR="00227D56" w:rsidRPr="00B3519F">
        <w:rPr>
          <w:rFonts w:ascii="標楷體" w:eastAsia="標楷體" w:hAnsi="標楷體" w:cs="新細明體"/>
          <w:kern w:val="0"/>
          <w:sz w:val="32"/>
          <w:szCs w:val="32"/>
        </w:rPr>
        <w:t>依</w:t>
      </w:r>
      <w:r w:rsidR="00227D56" w:rsidRPr="00B3519F">
        <w:rPr>
          <w:rFonts w:ascii="標楷體" w:eastAsia="標楷體" w:hAnsi="標楷體" w:cs="新細明體" w:hint="eastAsia"/>
          <w:kern w:val="0"/>
          <w:sz w:val="32"/>
          <w:szCs w:val="32"/>
        </w:rPr>
        <w:t>證券交易法第44條第1項規定，證券商須經主管機關之許可及發給許可證照，方得營業；非證券商不得經營證券業務</w:t>
      </w:r>
      <w:r w:rsidR="00227D56" w:rsidRPr="00B3519F">
        <w:rPr>
          <w:rFonts w:ascii="標楷體" w:eastAsia="標楷體" w:hAnsi="標楷體" w:cs="新細明體"/>
          <w:kern w:val="0"/>
          <w:sz w:val="32"/>
          <w:szCs w:val="32"/>
        </w:rPr>
        <w:t>。未經許可擅自經營</w:t>
      </w:r>
      <w:r w:rsidR="00227D56" w:rsidRPr="00B3519F">
        <w:rPr>
          <w:rFonts w:ascii="標楷體" w:eastAsia="標楷體" w:hAnsi="標楷體" w:cs="新細明體" w:hint="eastAsia"/>
          <w:kern w:val="0"/>
          <w:sz w:val="32"/>
          <w:szCs w:val="32"/>
        </w:rPr>
        <w:t>證券業務</w:t>
      </w:r>
      <w:r w:rsidR="00227D56" w:rsidRPr="00B3519F">
        <w:rPr>
          <w:rFonts w:ascii="標楷體" w:eastAsia="標楷體" w:hAnsi="標楷體" w:cs="新細明體"/>
          <w:kern w:val="0"/>
          <w:sz w:val="32"/>
          <w:szCs w:val="32"/>
        </w:rPr>
        <w:t>者，依</w:t>
      </w:r>
      <w:r w:rsidR="00227D56" w:rsidRPr="00B3519F">
        <w:rPr>
          <w:rFonts w:ascii="標楷體" w:eastAsia="標楷體" w:hAnsi="標楷體" w:cs="新細明體" w:hint="eastAsia"/>
          <w:kern w:val="0"/>
          <w:sz w:val="32"/>
          <w:szCs w:val="32"/>
        </w:rPr>
        <w:t>證券</w:t>
      </w:r>
      <w:r w:rsidR="00227D56" w:rsidRPr="00B3519F">
        <w:rPr>
          <w:rFonts w:ascii="標楷體" w:eastAsia="標楷體" w:hAnsi="標楷體" w:cs="新細明體"/>
          <w:kern w:val="0"/>
          <w:sz w:val="32"/>
          <w:szCs w:val="32"/>
        </w:rPr>
        <w:t>交易法第1</w:t>
      </w:r>
      <w:r w:rsidR="00227D56" w:rsidRPr="00B3519F">
        <w:rPr>
          <w:rFonts w:ascii="標楷體" w:eastAsia="標楷體" w:hAnsi="標楷體" w:cs="新細明體" w:hint="eastAsia"/>
          <w:kern w:val="0"/>
          <w:sz w:val="32"/>
          <w:szCs w:val="32"/>
        </w:rPr>
        <w:t>75</w:t>
      </w:r>
      <w:r w:rsidR="00227D56" w:rsidRPr="00B3519F">
        <w:rPr>
          <w:rFonts w:ascii="標楷體" w:eastAsia="標楷體" w:hAnsi="標楷體" w:cs="新細明體"/>
          <w:kern w:val="0"/>
          <w:sz w:val="32"/>
          <w:szCs w:val="32"/>
        </w:rPr>
        <w:t>條第</w:t>
      </w:r>
      <w:r w:rsidR="00227D56" w:rsidRPr="00B3519F">
        <w:rPr>
          <w:rFonts w:ascii="標楷體" w:eastAsia="標楷體" w:hAnsi="標楷體" w:cs="新細明體" w:hint="eastAsia"/>
          <w:kern w:val="0"/>
          <w:sz w:val="32"/>
          <w:szCs w:val="32"/>
        </w:rPr>
        <w:t>1項</w:t>
      </w:r>
      <w:r w:rsidR="00227D56" w:rsidRPr="00B3519F">
        <w:rPr>
          <w:rFonts w:ascii="標楷體" w:eastAsia="標楷體" w:hAnsi="標楷體" w:cs="新細明體"/>
          <w:kern w:val="0"/>
          <w:sz w:val="32"/>
          <w:szCs w:val="32"/>
        </w:rPr>
        <w:t>規定，處</w:t>
      </w:r>
      <w:r w:rsidR="00E01C4E" w:rsidRPr="00B3519F">
        <w:rPr>
          <w:rFonts w:ascii="標楷體" w:eastAsia="標楷體" w:hAnsi="標楷體" w:cs="新細明體" w:hint="eastAsia"/>
          <w:kern w:val="0"/>
          <w:sz w:val="32"/>
          <w:szCs w:val="32"/>
        </w:rPr>
        <w:t>2</w:t>
      </w:r>
      <w:r w:rsidR="00227D56" w:rsidRPr="00B3519F">
        <w:rPr>
          <w:rFonts w:ascii="標楷體" w:eastAsia="標楷體" w:hAnsi="標楷體" w:cs="新細明體" w:hint="eastAsia"/>
          <w:kern w:val="0"/>
          <w:sz w:val="32"/>
          <w:szCs w:val="32"/>
        </w:rPr>
        <w:t>年以下有期徒刑、拘役或科或併科新臺幣</w:t>
      </w:r>
      <w:r w:rsidR="00E01C4E" w:rsidRPr="00B3519F">
        <w:rPr>
          <w:rFonts w:ascii="標楷體" w:eastAsia="標楷體" w:hAnsi="標楷體" w:cs="新細明體" w:hint="eastAsia"/>
          <w:kern w:val="0"/>
          <w:sz w:val="32"/>
          <w:szCs w:val="32"/>
        </w:rPr>
        <w:t>180</w:t>
      </w:r>
      <w:r w:rsidR="00227D56" w:rsidRPr="00B3519F">
        <w:rPr>
          <w:rFonts w:ascii="標楷體" w:eastAsia="標楷體" w:hAnsi="標楷體" w:cs="新細明體" w:hint="eastAsia"/>
          <w:kern w:val="0"/>
          <w:sz w:val="32"/>
          <w:szCs w:val="32"/>
        </w:rPr>
        <w:t>萬元以下罰金</w:t>
      </w:r>
      <w:r w:rsidR="00227D56" w:rsidRPr="00B3519F">
        <w:rPr>
          <w:rFonts w:ascii="標楷體" w:eastAsia="標楷體" w:hAnsi="標楷體" w:cs="新細明體"/>
          <w:kern w:val="0"/>
          <w:sz w:val="32"/>
          <w:szCs w:val="32"/>
        </w:rPr>
        <w:t>。</w:t>
      </w:r>
    </w:p>
    <w:p w:rsidR="005F1CE2" w:rsidRDefault="005F1CE2" w:rsidP="005F1CE2">
      <w:pPr>
        <w:widowControl/>
        <w:spacing w:line="600" w:lineRule="exact"/>
        <w:ind w:leftChars="168" w:left="1046" w:hangingChars="201" w:hanging="643"/>
        <w:jc w:val="both"/>
        <w:rPr>
          <w:rFonts w:ascii="標楷體" w:eastAsia="標楷體" w:hAnsi="標楷體" w:cs="新細明體"/>
          <w:kern w:val="0"/>
          <w:sz w:val="32"/>
          <w:szCs w:val="32"/>
        </w:rPr>
      </w:pPr>
      <w:r>
        <w:rPr>
          <w:rFonts w:ascii="標楷體" w:eastAsia="標楷體" w:hAnsi="標楷體" w:cs="新細明體" w:hint="eastAsia"/>
          <w:kern w:val="0"/>
          <w:sz w:val="32"/>
          <w:szCs w:val="32"/>
        </w:rPr>
        <w:t>(三)</w:t>
      </w:r>
      <w:r w:rsidR="00E01C4E" w:rsidRPr="00B3519F">
        <w:rPr>
          <w:rFonts w:ascii="標楷體" w:eastAsia="標楷體" w:hAnsi="標楷體" w:cs="新細明體" w:hint="eastAsia"/>
          <w:kern w:val="0"/>
          <w:sz w:val="32"/>
          <w:szCs w:val="32"/>
        </w:rPr>
        <w:t>前任何人（包括公司、行號或個人）未經本會許可在臺經營證券業務，均應受證券交易法之規範。</w:t>
      </w:r>
    </w:p>
    <w:p w:rsidR="00156F8A" w:rsidRPr="00156F8A" w:rsidRDefault="005F1CE2" w:rsidP="005F1CE2">
      <w:pPr>
        <w:widowControl/>
        <w:spacing w:line="600" w:lineRule="exact"/>
        <w:ind w:left="566" w:hangingChars="177" w:hanging="566"/>
        <w:jc w:val="both"/>
        <w:rPr>
          <w:rFonts w:ascii="標楷體" w:eastAsia="標楷體" w:hAnsi="標楷體" w:cs="新細明體" w:hint="eastAsia"/>
          <w:kern w:val="0"/>
          <w:sz w:val="32"/>
          <w:szCs w:val="32"/>
          <w:shd w:val="pct15" w:color="auto" w:fill="FFFFFF"/>
        </w:rPr>
      </w:pPr>
      <w:r>
        <w:rPr>
          <w:rFonts w:ascii="標楷體" w:eastAsia="標楷體" w:hAnsi="標楷體" w:cs="新細明體"/>
          <w:kern w:val="0"/>
          <w:sz w:val="32"/>
          <w:szCs w:val="32"/>
        </w:rPr>
        <w:br w:type="page"/>
      </w:r>
      <w:r w:rsidR="00156F8A" w:rsidRPr="00156F8A">
        <w:rPr>
          <w:rFonts w:ascii="標楷體" w:eastAsia="標楷體" w:hAnsi="標楷體" w:cs="新細明體" w:hint="eastAsia"/>
          <w:b/>
          <w:kern w:val="0"/>
          <w:sz w:val="32"/>
          <w:szCs w:val="32"/>
          <w:shd w:val="pct15" w:color="auto" w:fill="FFFFFF"/>
        </w:rPr>
        <w:lastRenderedPageBreak/>
        <w:t>國外證券商網路交易平台開戶買賣外國有價證券</w:t>
      </w:r>
    </w:p>
    <w:p w:rsidR="005F1CE2" w:rsidRPr="005F1CE2" w:rsidRDefault="00156F8A" w:rsidP="005F1CE2">
      <w:pPr>
        <w:widowControl/>
        <w:spacing w:line="600" w:lineRule="exact"/>
        <w:ind w:left="566" w:hangingChars="177" w:hanging="566"/>
        <w:jc w:val="both"/>
        <w:rPr>
          <w:rFonts w:ascii="標楷體" w:eastAsia="標楷體" w:hAnsi="標楷體" w:cs="新細明體" w:hint="eastAsia"/>
          <w:kern w:val="0"/>
          <w:sz w:val="32"/>
          <w:szCs w:val="32"/>
        </w:rPr>
      </w:pPr>
      <w:r>
        <w:rPr>
          <w:rFonts w:ascii="標楷體" w:eastAsia="標楷體" w:hAnsi="標楷體" w:cs="新細明體" w:hint="eastAsia"/>
          <w:kern w:val="0"/>
          <w:sz w:val="32"/>
          <w:szCs w:val="32"/>
        </w:rPr>
        <w:t>一</w:t>
      </w:r>
      <w:r w:rsidR="005F1CE2" w:rsidRPr="005F1CE2">
        <w:rPr>
          <w:rFonts w:ascii="標楷體" w:eastAsia="標楷體" w:hAnsi="標楷體" w:cs="新細明體" w:hint="eastAsia"/>
          <w:b/>
          <w:kern w:val="0"/>
          <w:sz w:val="32"/>
          <w:szCs w:val="32"/>
        </w:rPr>
        <w:t>、案例</w:t>
      </w:r>
      <w:r w:rsidR="005F1CE2" w:rsidRPr="005F1CE2">
        <w:rPr>
          <w:rFonts w:ascii="標楷體" w:eastAsia="標楷體" w:hAnsi="標楷體" w:cs="新細明體" w:hint="eastAsia"/>
          <w:kern w:val="0"/>
          <w:sz w:val="32"/>
          <w:szCs w:val="32"/>
        </w:rPr>
        <w:t>：</w:t>
      </w:r>
    </w:p>
    <w:p w:rsidR="005F1CE2" w:rsidRPr="005F1CE2" w:rsidRDefault="005F1CE2" w:rsidP="00FA3B93">
      <w:pPr>
        <w:widowControl/>
        <w:spacing w:line="600" w:lineRule="exact"/>
        <w:ind w:leftChars="236" w:left="604" w:hangingChars="12" w:hanging="38"/>
        <w:jc w:val="both"/>
        <w:rPr>
          <w:rFonts w:ascii="標楷體" w:eastAsia="標楷體" w:hAnsi="標楷體" w:cs="新細明體" w:hint="eastAsia"/>
          <w:kern w:val="0"/>
          <w:sz w:val="32"/>
          <w:szCs w:val="32"/>
        </w:rPr>
      </w:pPr>
      <w:r w:rsidRPr="005F1CE2">
        <w:rPr>
          <w:rFonts w:ascii="標楷體" w:eastAsia="標楷體" w:hAnsi="標楷體" w:cs="新細明體" w:hint="eastAsia"/>
          <w:kern w:val="0"/>
          <w:sz w:val="32"/>
          <w:szCs w:val="32"/>
        </w:rPr>
        <w:t>投資人</w:t>
      </w:r>
      <w:r w:rsidR="00FB070A">
        <w:rPr>
          <w:rFonts w:ascii="標楷體" w:eastAsia="標楷體" w:hAnsi="標楷體" w:cs="新細明體" w:hint="eastAsia"/>
          <w:kern w:val="0"/>
          <w:sz w:val="32"/>
          <w:szCs w:val="32"/>
        </w:rPr>
        <w:t>王小姐經常於網路上看到許多外國證券商之網站，介紹投資人於其網站開戶後，即可買賣全球各地之外國有價證券，故王小姐便透過</w:t>
      </w:r>
      <w:r w:rsidRPr="005F1CE2">
        <w:rPr>
          <w:rFonts w:ascii="標楷體" w:eastAsia="標楷體" w:hAnsi="標楷體" w:cs="新細明體" w:hint="eastAsia"/>
          <w:kern w:val="0"/>
          <w:sz w:val="32"/>
          <w:szCs w:val="32"/>
        </w:rPr>
        <w:t>網際網路自行至國外證券商架設之網路交易平開戶買賣外國有價證券。</w:t>
      </w:r>
    </w:p>
    <w:p w:rsidR="00FA3B93" w:rsidRPr="00FA3B93" w:rsidRDefault="00156F8A" w:rsidP="00156F8A">
      <w:pPr>
        <w:widowControl/>
        <w:spacing w:line="600" w:lineRule="exact"/>
        <w:jc w:val="both"/>
        <w:rPr>
          <w:rFonts w:ascii="標楷體" w:eastAsia="標楷體" w:hAnsi="標楷體" w:cs="新細明體" w:hint="eastAsia"/>
          <w:kern w:val="0"/>
          <w:sz w:val="32"/>
          <w:szCs w:val="32"/>
        </w:rPr>
      </w:pPr>
      <w:r>
        <w:rPr>
          <w:rFonts w:ascii="標楷體" w:eastAsia="標楷體" w:hAnsi="標楷體" w:cs="新細明體" w:hint="eastAsia"/>
          <w:b/>
          <w:kern w:val="0"/>
          <w:sz w:val="32"/>
          <w:szCs w:val="32"/>
        </w:rPr>
        <w:t>二、</w:t>
      </w:r>
      <w:r w:rsidR="00FA3B93" w:rsidRPr="00FA3B93">
        <w:rPr>
          <w:rFonts w:ascii="標楷體" w:eastAsia="標楷體" w:hAnsi="標楷體" w:cs="新細明體" w:hint="eastAsia"/>
          <w:b/>
          <w:kern w:val="0"/>
          <w:sz w:val="32"/>
          <w:szCs w:val="32"/>
        </w:rPr>
        <w:t>案例分析</w:t>
      </w:r>
      <w:r w:rsidR="00FA3B93" w:rsidRPr="00FA3B93">
        <w:rPr>
          <w:rFonts w:ascii="標楷體" w:eastAsia="標楷體" w:hAnsi="標楷體" w:cs="新細明體" w:hint="eastAsia"/>
          <w:kern w:val="0"/>
          <w:sz w:val="32"/>
          <w:szCs w:val="32"/>
        </w:rPr>
        <w:t>：</w:t>
      </w:r>
    </w:p>
    <w:p w:rsidR="00FA3B93" w:rsidRPr="00FA3B93" w:rsidRDefault="00FA3B93" w:rsidP="00FA3B93">
      <w:pPr>
        <w:widowControl/>
        <w:spacing w:line="600" w:lineRule="exact"/>
        <w:ind w:leftChars="168" w:left="1046" w:hangingChars="201" w:hanging="643"/>
        <w:jc w:val="both"/>
        <w:rPr>
          <w:rFonts w:ascii="標楷體" w:eastAsia="標楷體" w:hAnsi="標楷體" w:cs="新細明體" w:hint="eastAsia"/>
          <w:kern w:val="0"/>
          <w:sz w:val="32"/>
          <w:szCs w:val="32"/>
        </w:rPr>
      </w:pPr>
      <w:r w:rsidRPr="00FA3B93">
        <w:rPr>
          <w:rFonts w:ascii="標楷體" w:eastAsia="標楷體" w:hAnsi="標楷體" w:cs="新細明體" w:hint="eastAsia"/>
          <w:kern w:val="0"/>
          <w:sz w:val="32"/>
          <w:szCs w:val="32"/>
        </w:rPr>
        <w:t>(一)</w:t>
      </w:r>
      <w:r w:rsidR="00FB070A">
        <w:rPr>
          <w:rFonts w:ascii="標楷體" w:eastAsia="標楷體" w:hAnsi="標楷體" w:cs="新細明體" w:hint="eastAsia"/>
          <w:kern w:val="0"/>
          <w:sz w:val="32"/>
          <w:szCs w:val="32"/>
        </w:rPr>
        <w:t>非</w:t>
      </w:r>
      <w:r w:rsidRPr="00FA3B93">
        <w:rPr>
          <w:rFonts w:ascii="標楷體" w:eastAsia="標楷體" w:hAnsi="標楷體" w:cs="新細明體" w:hint="eastAsia"/>
          <w:kern w:val="0"/>
          <w:sz w:val="32"/>
          <w:szCs w:val="32"/>
        </w:rPr>
        <w:t>經本會核准之</w:t>
      </w:r>
      <w:r w:rsidR="009328FB">
        <w:rPr>
          <w:rFonts w:ascii="標楷體" w:eastAsia="標楷體" w:hAnsi="標楷體" w:cs="新細明體" w:hint="eastAsia"/>
          <w:kern w:val="0"/>
          <w:sz w:val="32"/>
          <w:szCs w:val="32"/>
        </w:rPr>
        <w:t>外國</w:t>
      </w:r>
      <w:r w:rsidRPr="00FA3B93">
        <w:rPr>
          <w:rFonts w:ascii="標楷體" w:eastAsia="標楷體" w:hAnsi="標楷體" w:cs="新細明體" w:hint="eastAsia"/>
          <w:kern w:val="0"/>
          <w:sz w:val="32"/>
          <w:szCs w:val="32"/>
        </w:rPr>
        <w:t>證券商網路交易平台，</w:t>
      </w:r>
      <w:r w:rsidR="009328FB">
        <w:rPr>
          <w:rFonts w:ascii="標楷體" w:eastAsia="標楷體" w:hAnsi="標楷體" w:cs="新細明體" w:hint="eastAsia"/>
          <w:kern w:val="0"/>
          <w:sz w:val="32"/>
          <w:szCs w:val="32"/>
        </w:rPr>
        <w:t>如投資人透過該</w:t>
      </w:r>
      <w:r w:rsidRPr="00FA3B93">
        <w:rPr>
          <w:rFonts w:ascii="標楷體" w:eastAsia="標楷體" w:hAnsi="標楷體" w:cs="新細明體" w:hint="eastAsia"/>
          <w:kern w:val="0"/>
          <w:sz w:val="32"/>
          <w:szCs w:val="32"/>
        </w:rPr>
        <w:t>網站平台開戶及買賣美國、香港及大陸等地區掛牌之有價證券，</w:t>
      </w:r>
      <w:r w:rsidR="009328FB">
        <w:rPr>
          <w:rFonts w:ascii="標楷體" w:eastAsia="標楷體" w:hAnsi="標楷體" w:cs="新細明體" w:hint="eastAsia"/>
          <w:kern w:val="0"/>
          <w:sz w:val="32"/>
          <w:szCs w:val="32"/>
        </w:rPr>
        <w:t>如</w:t>
      </w:r>
      <w:r w:rsidRPr="00FA3B93">
        <w:rPr>
          <w:rFonts w:ascii="標楷體" w:eastAsia="標楷體" w:hAnsi="標楷體" w:cs="新細明體" w:hint="eastAsia"/>
          <w:kern w:val="0"/>
          <w:sz w:val="32"/>
          <w:szCs w:val="32"/>
        </w:rPr>
        <w:t>發生交易糾紛時，權益將無法獲得保障，</w:t>
      </w:r>
      <w:r w:rsidR="009328FB">
        <w:rPr>
          <w:rFonts w:ascii="標楷體" w:eastAsia="標楷體" w:hAnsi="標楷體" w:cs="新細明體" w:hint="eastAsia"/>
          <w:kern w:val="0"/>
          <w:sz w:val="32"/>
          <w:szCs w:val="32"/>
        </w:rPr>
        <w:t>故投資人欲</w:t>
      </w:r>
      <w:r w:rsidRPr="00FA3B93">
        <w:rPr>
          <w:rFonts w:ascii="標楷體" w:eastAsia="標楷體" w:hAnsi="標楷體" w:cs="新細明體" w:hint="eastAsia"/>
          <w:kern w:val="0"/>
          <w:sz w:val="32"/>
          <w:szCs w:val="32"/>
        </w:rPr>
        <w:t>投資外國有價證券時，應透過我國合法立案之證券商或金融機構，以維護自身權益。</w:t>
      </w:r>
    </w:p>
    <w:p w:rsidR="00FA3B93" w:rsidRPr="00FA3B93" w:rsidRDefault="00FA3B93" w:rsidP="009328FB">
      <w:pPr>
        <w:widowControl/>
        <w:spacing w:line="600" w:lineRule="exact"/>
        <w:ind w:leftChars="168" w:left="1046" w:hangingChars="201" w:hanging="643"/>
        <w:jc w:val="both"/>
        <w:rPr>
          <w:rFonts w:ascii="標楷體" w:eastAsia="標楷體" w:hAnsi="標楷體" w:cs="新細明體" w:hint="eastAsia"/>
          <w:kern w:val="0"/>
          <w:sz w:val="32"/>
          <w:szCs w:val="32"/>
        </w:rPr>
      </w:pPr>
      <w:r w:rsidRPr="00FA3B93">
        <w:rPr>
          <w:rFonts w:ascii="標楷體" w:eastAsia="標楷體" w:hAnsi="標楷體" w:cs="新細明體" w:hint="eastAsia"/>
          <w:kern w:val="0"/>
          <w:sz w:val="32"/>
          <w:szCs w:val="32"/>
        </w:rPr>
        <w:t>(二)</w:t>
      </w:r>
      <w:r w:rsidRPr="00FA3B93">
        <w:rPr>
          <w:rFonts w:ascii="標楷體" w:eastAsia="標楷體" w:hAnsi="標楷體" w:cs="新細明體"/>
          <w:kern w:val="0"/>
          <w:sz w:val="32"/>
          <w:szCs w:val="32"/>
        </w:rPr>
        <w:t>依</w:t>
      </w:r>
      <w:r w:rsidRPr="00FA3B93">
        <w:rPr>
          <w:rFonts w:ascii="標楷體" w:eastAsia="標楷體" w:hAnsi="標楷體" w:cs="新細明體" w:hint="eastAsia"/>
          <w:kern w:val="0"/>
          <w:sz w:val="32"/>
          <w:szCs w:val="32"/>
        </w:rPr>
        <w:t>證券交易法第44條第1項規定，證券商須經主管機關之許可及發給許可證照，方得營業；非證券商不得經營證券業務</w:t>
      </w:r>
      <w:r w:rsidRPr="00FA3B93">
        <w:rPr>
          <w:rFonts w:ascii="標楷體" w:eastAsia="標楷體" w:hAnsi="標楷體" w:cs="新細明體"/>
          <w:kern w:val="0"/>
          <w:sz w:val="32"/>
          <w:szCs w:val="32"/>
        </w:rPr>
        <w:t>。未經許可擅自經營</w:t>
      </w:r>
      <w:r w:rsidRPr="00FA3B93">
        <w:rPr>
          <w:rFonts w:ascii="標楷體" w:eastAsia="標楷體" w:hAnsi="標楷體" w:cs="新細明體" w:hint="eastAsia"/>
          <w:kern w:val="0"/>
          <w:sz w:val="32"/>
          <w:szCs w:val="32"/>
        </w:rPr>
        <w:t>證券業務</w:t>
      </w:r>
      <w:r w:rsidRPr="00FA3B93">
        <w:rPr>
          <w:rFonts w:ascii="標楷體" w:eastAsia="標楷體" w:hAnsi="標楷體" w:cs="新細明體"/>
          <w:kern w:val="0"/>
          <w:sz w:val="32"/>
          <w:szCs w:val="32"/>
        </w:rPr>
        <w:t>者，依</w:t>
      </w:r>
      <w:r w:rsidRPr="00FA3B93">
        <w:rPr>
          <w:rFonts w:ascii="標楷體" w:eastAsia="標楷體" w:hAnsi="標楷體" w:cs="新細明體" w:hint="eastAsia"/>
          <w:kern w:val="0"/>
          <w:sz w:val="32"/>
          <w:szCs w:val="32"/>
        </w:rPr>
        <w:t>證券</w:t>
      </w:r>
      <w:r w:rsidRPr="00FA3B93">
        <w:rPr>
          <w:rFonts w:ascii="標楷體" w:eastAsia="標楷體" w:hAnsi="標楷體" w:cs="新細明體"/>
          <w:kern w:val="0"/>
          <w:sz w:val="32"/>
          <w:szCs w:val="32"/>
        </w:rPr>
        <w:t>交易法第1</w:t>
      </w:r>
      <w:r w:rsidRPr="00FA3B93">
        <w:rPr>
          <w:rFonts w:ascii="標楷體" w:eastAsia="標楷體" w:hAnsi="標楷體" w:cs="新細明體" w:hint="eastAsia"/>
          <w:kern w:val="0"/>
          <w:sz w:val="32"/>
          <w:szCs w:val="32"/>
        </w:rPr>
        <w:t>75</w:t>
      </w:r>
      <w:r w:rsidRPr="00FA3B93">
        <w:rPr>
          <w:rFonts w:ascii="標楷體" w:eastAsia="標楷體" w:hAnsi="標楷體" w:cs="新細明體"/>
          <w:kern w:val="0"/>
          <w:sz w:val="32"/>
          <w:szCs w:val="32"/>
        </w:rPr>
        <w:t>條第</w:t>
      </w:r>
      <w:r w:rsidRPr="00FA3B93">
        <w:rPr>
          <w:rFonts w:ascii="標楷體" w:eastAsia="標楷體" w:hAnsi="標楷體" w:cs="新細明體" w:hint="eastAsia"/>
          <w:kern w:val="0"/>
          <w:sz w:val="32"/>
          <w:szCs w:val="32"/>
        </w:rPr>
        <w:t>1項</w:t>
      </w:r>
      <w:r w:rsidRPr="00FA3B93">
        <w:rPr>
          <w:rFonts w:ascii="標楷體" w:eastAsia="標楷體" w:hAnsi="標楷體" w:cs="新細明體"/>
          <w:kern w:val="0"/>
          <w:sz w:val="32"/>
          <w:szCs w:val="32"/>
        </w:rPr>
        <w:t>規定，處</w:t>
      </w:r>
      <w:r w:rsidRPr="00FA3B93">
        <w:rPr>
          <w:rFonts w:ascii="標楷體" w:eastAsia="標楷體" w:hAnsi="標楷體" w:cs="新細明體" w:hint="eastAsia"/>
          <w:kern w:val="0"/>
          <w:sz w:val="32"/>
          <w:szCs w:val="32"/>
        </w:rPr>
        <w:t>2年以下有期徒刑、拘役或科或併科新臺幣180萬元以下罰金</w:t>
      </w:r>
      <w:r w:rsidRPr="00FA3B93">
        <w:rPr>
          <w:rFonts w:ascii="標楷體" w:eastAsia="標楷體" w:hAnsi="標楷體" w:cs="新細明體"/>
          <w:kern w:val="0"/>
          <w:sz w:val="32"/>
          <w:szCs w:val="32"/>
        </w:rPr>
        <w:t>。</w:t>
      </w:r>
    </w:p>
    <w:p w:rsidR="00FA3B93" w:rsidRPr="00FA3B93" w:rsidRDefault="00FA3B93" w:rsidP="009328FB">
      <w:pPr>
        <w:widowControl/>
        <w:spacing w:line="600" w:lineRule="exact"/>
        <w:ind w:leftChars="168" w:left="1046" w:hangingChars="201" w:hanging="643"/>
        <w:jc w:val="both"/>
        <w:rPr>
          <w:rFonts w:ascii="標楷體" w:eastAsia="標楷體" w:hAnsi="標楷體" w:cs="新細明體"/>
          <w:kern w:val="0"/>
          <w:sz w:val="32"/>
          <w:szCs w:val="32"/>
        </w:rPr>
      </w:pPr>
      <w:r w:rsidRPr="00FA3B93">
        <w:rPr>
          <w:rFonts w:ascii="標楷體" w:eastAsia="標楷體" w:hAnsi="標楷體" w:cs="新細明體" w:hint="eastAsia"/>
          <w:kern w:val="0"/>
          <w:sz w:val="32"/>
          <w:szCs w:val="32"/>
        </w:rPr>
        <w:t>(三)前任何人（包括公司、行號或個人）未經本會許可在臺經營證券業務，均應受證券交易法之規範。</w:t>
      </w:r>
    </w:p>
    <w:p w:rsidR="00FA3B93" w:rsidRPr="00FA3B93" w:rsidRDefault="00FA3B93" w:rsidP="005F1CE2">
      <w:pPr>
        <w:widowControl/>
        <w:spacing w:line="600" w:lineRule="exact"/>
        <w:ind w:leftChars="118" w:left="606" w:hangingChars="101" w:hanging="323"/>
        <w:jc w:val="both"/>
        <w:rPr>
          <w:rFonts w:ascii="標楷體" w:eastAsia="標楷體" w:hAnsi="標楷體" w:cs="新細明體" w:hint="eastAsia"/>
          <w:kern w:val="0"/>
          <w:sz w:val="32"/>
          <w:szCs w:val="32"/>
        </w:rPr>
      </w:pPr>
    </w:p>
    <w:p w:rsidR="00C83C2B" w:rsidRDefault="00FA3B93" w:rsidP="00FA3B93">
      <w:pPr>
        <w:widowControl/>
        <w:spacing w:line="600" w:lineRule="exact"/>
        <w:ind w:left="707" w:hangingChars="221" w:hanging="707"/>
        <w:jc w:val="both"/>
        <w:rPr>
          <w:rFonts w:ascii="標楷體" w:eastAsia="標楷體" w:hAnsi="標楷體" w:cs="新細明體" w:hint="eastAsia"/>
          <w:kern w:val="0"/>
          <w:sz w:val="32"/>
          <w:szCs w:val="32"/>
        </w:rPr>
      </w:pPr>
      <w:r>
        <w:rPr>
          <w:rFonts w:ascii="標楷體" w:eastAsia="標楷體" w:hAnsi="標楷體" w:cs="新細明體"/>
          <w:kern w:val="0"/>
          <w:sz w:val="32"/>
          <w:szCs w:val="32"/>
        </w:rPr>
        <w:br w:type="page"/>
      </w:r>
      <w:r w:rsidR="00C83C2B" w:rsidRPr="00A736E2">
        <w:rPr>
          <w:rFonts w:ascii="標楷體" w:eastAsia="標楷體" w:hAnsi="標楷體" w:cs="新細明體" w:hint="eastAsia"/>
          <w:b/>
          <w:kern w:val="0"/>
          <w:sz w:val="32"/>
          <w:szCs w:val="32"/>
          <w:shd w:val="pct15" w:color="auto" w:fill="FFFFFF"/>
        </w:rPr>
        <w:lastRenderedPageBreak/>
        <w:t>國外</w:t>
      </w:r>
      <w:r w:rsidR="00A736E2">
        <w:rPr>
          <w:rFonts w:ascii="標楷體" w:eastAsia="標楷體" w:hAnsi="標楷體" w:cs="新細明體" w:hint="eastAsia"/>
          <w:b/>
          <w:kern w:val="0"/>
          <w:sz w:val="32"/>
          <w:szCs w:val="32"/>
          <w:shd w:val="pct15" w:color="auto" w:fill="FFFFFF"/>
        </w:rPr>
        <w:t>詐</w:t>
      </w:r>
      <w:r w:rsidR="00C83C2B" w:rsidRPr="00A736E2">
        <w:rPr>
          <w:rFonts w:ascii="標楷體" w:eastAsia="標楷體" w:hAnsi="標楷體" w:cs="新細明體" w:hint="eastAsia"/>
          <w:b/>
          <w:kern w:val="0"/>
          <w:sz w:val="32"/>
          <w:szCs w:val="32"/>
          <w:shd w:val="pct15" w:color="auto" w:fill="FFFFFF"/>
        </w:rPr>
        <w:t>騙匯款</w:t>
      </w:r>
      <w:r w:rsidR="00A736E2">
        <w:rPr>
          <w:rFonts w:ascii="標楷體" w:eastAsia="標楷體" w:hAnsi="標楷體" w:cs="新細明體" w:hint="eastAsia"/>
          <w:b/>
          <w:kern w:val="0"/>
          <w:sz w:val="32"/>
          <w:szCs w:val="32"/>
          <w:shd w:val="pct15" w:color="auto" w:fill="FFFFFF"/>
        </w:rPr>
        <w:t>買賣外國有價證券</w:t>
      </w:r>
    </w:p>
    <w:p w:rsidR="005F1CE2" w:rsidRPr="00FA3B93" w:rsidRDefault="00C83C2B" w:rsidP="00FA3B93">
      <w:pPr>
        <w:widowControl/>
        <w:spacing w:line="600" w:lineRule="exact"/>
        <w:ind w:left="707" w:hangingChars="221" w:hanging="707"/>
        <w:jc w:val="both"/>
        <w:rPr>
          <w:rFonts w:ascii="標楷體" w:eastAsia="標楷體" w:hAnsi="標楷體" w:cs="新細明體" w:hint="eastAsia"/>
          <w:b/>
          <w:kern w:val="0"/>
          <w:sz w:val="32"/>
          <w:szCs w:val="32"/>
        </w:rPr>
      </w:pPr>
      <w:r>
        <w:rPr>
          <w:rFonts w:ascii="標楷體" w:eastAsia="標楷體" w:hAnsi="標楷體" w:cs="新細明體" w:hint="eastAsia"/>
          <w:kern w:val="0"/>
          <w:sz w:val="32"/>
          <w:szCs w:val="32"/>
        </w:rPr>
        <w:t>一、</w:t>
      </w:r>
      <w:r w:rsidR="00FA3B93" w:rsidRPr="00FA3B93">
        <w:rPr>
          <w:rFonts w:ascii="標楷體" w:eastAsia="標楷體" w:hAnsi="標楷體" w:cs="新細明體" w:hint="eastAsia"/>
          <w:b/>
          <w:kern w:val="0"/>
          <w:sz w:val="32"/>
          <w:szCs w:val="32"/>
        </w:rPr>
        <w:t>案例：</w:t>
      </w:r>
      <w:r w:rsidRPr="00FA3B93">
        <w:rPr>
          <w:rFonts w:ascii="標楷體" w:eastAsia="標楷體" w:hAnsi="標楷體" w:cs="新細明體" w:hint="eastAsia"/>
          <w:b/>
          <w:kern w:val="0"/>
          <w:sz w:val="32"/>
          <w:szCs w:val="32"/>
        </w:rPr>
        <w:t xml:space="preserve"> </w:t>
      </w:r>
    </w:p>
    <w:p w:rsidR="00D873A9" w:rsidRDefault="005F1CE2" w:rsidP="00FA3B93">
      <w:pPr>
        <w:widowControl/>
        <w:spacing w:line="600" w:lineRule="exact"/>
        <w:ind w:leftChars="236" w:left="566"/>
        <w:jc w:val="both"/>
        <w:rPr>
          <w:rFonts w:ascii="標楷體" w:eastAsia="標楷體" w:hAnsi="標楷體" w:cs="新細明體" w:hint="eastAsia"/>
          <w:kern w:val="0"/>
          <w:sz w:val="32"/>
          <w:szCs w:val="32"/>
        </w:rPr>
      </w:pPr>
      <w:r w:rsidRPr="005F1CE2">
        <w:rPr>
          <w:rFonts w:ascii="標楷體" w:eastAsia="標楷體" w:hAnsi="標楷體" w:cs="新細明體" w:hint="eastAsia"/>
          <w:kern w:val="0"/>
          <w:sz w:val="32"/>
          <w:szCs w:val="32"/>
        </w:rPr>
        <w:t>有不肖人士</w:t>
      </w:r>
      <w:r w:rsidR="00FA3B93">
        <w:rPr>
          <w:rFonts w:ascii="標楷體" w:eastAsia="標楷體" w:hAnsi="標楷體" w:cs="新細明體" w:hint="eastAsia"/>
          <w:kern w:val="0"/>
          <w:sz w:val="32"/>
          <w:szCs w:val="32"/>
        </w:rPr>
        <w:t>王君</w:t>
      </w:r>
      <w:r w:rsidRPr="005F1CE2">
        <w:rPr>
          <w:rFonts w:ascii="標楷體" w:eastAsia="標楷體" w:hAnsi="標楷體" w:cs="新細明體" w:hint="eastAsia"/>
          <w:kern w:val="0"/>
          <w:sz w:val="32"/>
          <w:szCs w:val="32"/>
        </w:rPr>
        <w:t>透過網路媒體，假冒為香港某證券集團之人員，遊說</w:t>
      </w:r>
      <w:r w:rsidR="00FA3B93">
        <w:rPr>
          <w:rFonts w:ascii="標楷體" w:eastAsia="標楷體" w:hAnsi="標楷體" w:cs="新細明體" w:hint="eastAsia"/>
          <w:kern w:val="0"/>
          <w:sz w:val="32"/>
          <w:szCs w:val="32"/>
        </w:rPr>
        <w:t>吳小姐及其友人等我國</w:t>
      </w:r>
      <w:r w:rsidRPr="005F1CE2">
        <w:rPr>
          <w:rFonts w:ascii="標楷體" w:eastAsia="標楷體" w:hAnsi="標楷體" w:cs="新細明體" w:hint="eastAsia"/>
          <w:kern w:val="0"/>
          <w:sz w:val="32"/>
          <w:szCs w:val="32"/>
        </w:rPr>
        <w:t>投資人從事香港股票投資或參與投資計劃，並提供虛假資料誘騙投資人匯撥款項至香港銀行帳戶。</w:t>
      </w:r>
    </w:p>
    <w:p w:rsidR="00FA3B93" w:rsidRPr="00FA3B93" w:rsidRDefault="00C83C2B" w:rsidP="00C83C2B">
      <w:pPr>
        <w:widowControl/>
        <w:spacing w:line="600" w:lineRule="exact"/>
        <w:jc w:val="both"/>
        <w:rPr>
          <w:rFonts w:ascii="標楷體" w:eastAsia="標楷體" w:hAnsi="標楷體" w:cs="新細明體" w:hint="eastAsia"/>
          <w:b/>
          <w:kern w:val="0"/>
          <w:sz w:val="32"/>
          <w:szCs w:val="32"/>
        </w:rPr>
      </w:pPr>
      <w:r>
        <w:rPr>
          <w:rFonts w:ascii="標楷體" w:eastAsia="標楷體" w:hAnsi="標楷體" w:cs="新細明體" w:hint="eastAsia"/>
          <w:b/>
          <w:kern w:val="0"/>
          <w:sz w:val="32"/>
          <w:szCs w:val="32"/>
        </w:rPr>
        <w:t>二、</w:t>
      </w:r>
      <w:r w:rsidR="00FA3B93" w:rsidRPr="00FA3B93">
        <w:rPr>
          <w:rFonts w:ascii="標楷體" w:eastAsia="標楷體" w:hAnsi="標楷體" w:cs="新細明體" w:hint="eastAsia"/>
          <w:b/>
          <w:kern w:val="0"/>
          <w:sz w:val="32"/>
          <w:szCs w:val="32"/>
        </w:rPr>
        <w:t>案例分析：</w:t>
      </w:r>
    </w:p>
    <w:p w:rsidR="00FA3B93" w:rsidRPr="00FA3B93" w:rsidRDefault="00FA3B93" w:rsidP="00FA3B93">
      <w:pPr>
        <w:widowControl/>
        <w:spacing w:line="600" w:lineRule="exact"/>
        <w:ind w:leftChars="118" w:left="926" w:hangingChars="201" w:hanging="643"/>
        <w:jc w:val="both"/>
        <w:rPr>
          <w:rFonts w:ascii="標楷體" w:eastAsia="標楷體" w:hAnsi="標楷體" w:cs="新細明體" w:hint="eastAsia"/>
          <w:kern w:val="0"/>
          <w:sz w:val="32"/>
          <w:szCs w:val="32"/>
        </w:rPr>
      </w:pPr>
      <w:r w:rsidRPr="00FA3B93">
        <w:rPr>
          <w:rFonts w:ascii="標楷體" w:eastAsia="標楷體" w:hAnsi="標楷體" w:cs="新細明體" w:hint="eastAsia"/>
          <w:kern w:val="0"/>
          <w:sz w:val="32"/>
          <w:szCs w:val="32"/>
        </w:rPr>
        <w:t>(一)</w:t>
      </w:r>
      <w:r w:rsidR="00A736E2" w:rsidRPr="00A736E2">
        <w:rPr>
          <w:rFonts w:ascii="標楷體" w:eastAsia="標楷體" w:hAnsi="標楷體" w:cs="新細明體" w:hint="eastAsia"/>
          <w:kern w:val="0"/>
          <w:sz w:val="32"/>
          <w:szCs w:val="32"/>
        </w:rPr>
        <w:t>假冒國外合法證券商誘騙國人匯款至國外買賣外國有價證券</w:t>
      </w:r>
      <w:r w:rsidR="007806B7">
        <w:rPr>
          <w:rFonts w:ascii="標楷體" w:eastAsia="標楷體" w:hAnsi="標楷體" w:cs="新細明體" w:hint="eastAsia"/>
          <w:kern w:val="0"/>
          <w:sz w:val="32"/>
          <w:szCs w:val="32"/>
        </w:rPr>
        <w:t>，</w:t>
      </w:r>
      <w:r w:rsidRPr="00FA3B93">
        <w:rPr>
          <w:rFonts w:ascii="標楷體" w:eastAsia="標楷體" w:hAnsi="標楷體" w:cs="新細明體" w:hint="eastAsia"/>
          <w:kern w:val="0"/>
          <w:sz w:val="32"/>
          <w:szCs w:val="32"/>
        </w:rPr>
        <w:t>鑒於國際跨境詐騙手法多元，為避免受騙，投資人投資外國有價證券時，應透過我國合法立案之證券商或金融機構，以維護自身權益。</w:t>
      </w:r>
    </w:p>
    <w:p w:rsidR="00FA3B93" w:rsidRPr="00FA3B93" w:rsidRDefault="00FA3B93" w:rsidP="00FA3B93">
      <w:pPr>
        <w:widowControl/>
        <w:spacing w:line="600" w:lineRule="exact"/>
        <w:ind w:leftChars="118" w:left="926" w:hangingChars="201" w:hanging="643"/>
        <w:jc w:val="both"/>
        <w:rPr>
          <w:rFonts w:ascii="標楷體" w:eastAsia="標楷體" w:hAnsi="標楷體" w:cs="新細明體" w:hint="eastAsia"/>
          <w:kern w:val="0"/>
          <w:sz w:val="32"/>
          <w:szCs w:val="32"/>
        </w:rPr>
      </w:pPr>
      <w:r w:rsidRPr="00FA3B93">
        <w:rPr>
          <w:rFonts w:ascii="標楷體" w:eastAsia="標楷體" w:hAnsi="標楷體" w:cs="新細明體" w:hint="eastAsia"/>
          <w:kern w:val="0"/>
          <w:sz w:val="32"/>
          <w:szCs w:val="32"/>
        </w:rPr>
        <w:t>(二)</w:t>
      </w:r>
      <w:r w:rsidRPr="00FA3B93">
        <w:rPr>
          <w:rFonts w:ascii="標楷體" w:eastAsia="標楷體" w:hAnsi="標楷體" w:cs="新細明體"/>
          <w:kern w:val="0"/>
          <w:sz w:val="32"/>
          <w:szCs w:val="32"/>
        </w:rPr>
        <w:t>依</w:t>
      </w:r>
      <w:r w:rsidRPr="00FA3B93">
        <w:rPr>
          <w:rFonts w:ascii="標楷體" w:eastAsia="標楷體" w:hAnsi="標楷體" w:cs="新細明體" w:hint="eastAsia"/>
          <w:kern w:val="0"/>
          <w:sz w:val="32"/>
          <w:szCs w:val="32"/>
        </w:rPr>
        <w:t>證券交易法第44條第1項規定，證券商須經主管機關之許可及發給許可證照，方得營業；非證券商不得經營證券業務</w:t>
      </w:r>
      <w:r w:rsidRPr="00FA3B93">
        <w:rPr>
          <w:rFonts w:ascii="標楷體" w:eastAsia="標楷體" w:hAnsi="標楷體" w:cs="新細明體"/>
          <w:kern w:val="0"/>
          <w:sz w:val="32"/>
          <w:szCs w:val="32"/>
        </w:rPr>
        <w:t>。未經許可擅自經營</w:t>
      </w:r>
      <w:r w:rsidRPr="00FA3B93">
        <w:rPr>
          <w:rFonts w:ascii="標楷體" w:eastAsia="標楷體" w:hAnsi="標楷體" w:cs="新細明體" w:hint="eastAsia"/>
          <w:kern w:val="0"/>
          <w:sz w:val="32"/>
          <w:szCs w:val="32"/>
        </w:rPr>
        <w:t>證券業務</w:t>
      </w:r>
      <w:r w:rsidRPr="00FA3B93">
        <w:rPr>
          <w:rFonts w:ascii="標楷體" w:eastAsia="標楷體" w:hAnsi="標楷體" w:cs="新細明體"/>
          <w:kern w:val="0"/>
          <w:sz w:val="32"/>
          <w:szCs w:val="32"/>
        </w:rPr>
        <w:t>者，依</w:t>
      </w:r>
      <w:r w:rsidRPr="00FA3B93">
        <w:rPr>
          <w:rFonts w:ascii="標楷體" w:eastAsia="標楷體" w:hAnsi="標楷體" w:cs="新細明體" w:hint="eastAsia"/>
          <w:kern w:val="0"/>
          <w:sz w:val="32"/>
          <w:szCs w:val="32"/>
        </w:rPr>
        <w:t>證券</w:t>
      </w:r>
      <w:r w:rsidRPr="00FA3B93">
        <w:rPr>
          <w:rFonts w:ascii="標楷體" w:eastAsia="標楷體" w:hAnsi="標楷體" w:cs="新細明體"/>
          <w:kern w:val="0"/>
          <w:sz w:val="32"/>
          <w:szCs w:val="32"/>
        </w:rPr>
        <w:t>交易法第1</w:t>
      </w:r>
      <w:r w:rsidRPr="00FA3B93">
        <w:rPr>
          <w:rFonts w:ascii="標楷體" w:eastAsia="標楷體" w:hAnsi="標楷體" w:cs="新細明體" w:hint="eastAsia"/>
          <w:kern w:val="0"/>
          <w:sz w:val="32"/>
          <w:szCs w:val="32"/>
        </w:rPr>
        <w:t>75</w:t>
      </w:r>
      <w:r w:rsidRPr="00FA3B93">
        <w:rPr>
          <w:rFonts w:ascii="標楷體" w:eastAsia="標楷體" w:hAnsi="標楷體" w:cs="新細明體"/>
          <w:kern w:val="0"/>
          <w:sz w:val="32"/>
          <w:szCs w:val="32"/>
        </w:rPr>
        <w:t>條第</w:t>
      </w:r>
      <w:r w:rsidRPr="00FA3B93">
        <w:rPr>
          <w:rFonts w:ascii="標楷體" w:eastAsia="標楷體" w:hAnsi="標楷體" w:cs="新細明體" w:hint="eastAsia"/>
          <w:kern w:val="0"/>
          <w:sz w:val="32"/>
          <w:szCs w:val="32"/>
        </w:rPr>
        <w:t>1項</w:t>
      </w:r>
      <w:r w:rsidRPr="00FA3B93">
        <w:rPr>
          <w:rFonts w:ascii="標楷體" w:eastAsia="標楷體" w:hAnsi="標楷體" w:cs="新細明體"/>
          <w:kern w:val="0"/>
          <w:sz w:val="32"/>
          <w:szCs w:val="32"/>
        </w:rPr>
        <w:t>規定，處</w:t>
      </w:r>
      <w:r w:rsidRPr="00FA3B93">
        <w:rPr>
          <w:rFonts w:ascii="標楷體" w:eastAsia="標楷體" w:hAnsi="標楷體" w:cs="新細明體" w:hint="eastAsia"/>
          <w:kern w:val="0"/>
          <w:sz w:val="32"/>
          <w:szCs w:val="32"/>
        </w:rPr>
        <w:t>2年以下有期徒刑、拘役或科或併科新臺幣180萬元以下罰金</w:t>
      </w:r>
      <w:r w:rsidRPr="00FA3B93">
        <w:rPr>
          <w:rFonts w:ascii="標楷體" w:eastAsia="標楷體" w:hAnsi="標楷體" w:cs="新細明體"/>
          <w:kern w:val="0"/>
          <w:sz w:val="32"/>
          <w:szCs w:val="32"/>
        </w:rPr>
        <w:t>。</w:t>
      </w:r>
    </w:p>
    <w:p w:rsidR="00FA3B93" w:rsidRPr="00FA3B93" w:rsidRDefault="00FA3B93" w:rsidP="00FA3B93">
      <w:pPr>
        <w:widowControl/>
        <w:spacing w:line="600" w:lineRule="exact"/>
        <w:ind w:leftChars="118" w:left="926" w:hangingChars="201" w:hanging="643"/>
        <w:jc w:val="both"/>
        <w:rPr>
          <w:rFonts w:ascii="標楷體" w:eastAsia="標楷體" w:hAnsi="標楷體" w:cs="新細明體"/>
          <w:kern w:val="0"/>
          <w:sz w:val="32"/>
          <w:szCs w:val="32"/>
        </w:rPr>
      </w:pPr>
      <w:r w:rsidRPr="00FA3B93">
        <w:rPr>
          <w:rFonts w:ascii="標楷體" w:eastAsia="標楷體" w:hAnsi="標楷體" w:cs="新細明體" w:hint="eastAsia"/>
          <w:kern w:val="0"/>
          <w:sz w:val="32"/>
          <w:szCs w:val="32"/>
        </w:rPr>
        <w:t>(三)前任何人（包括公司、行號或個人）未經本會許可在臺經營證券業務，均應受證券交易法之規範。</w:t>
      </w:r>
    </w:p>
    <w:p w:rsidR="00D873A9" w:rsidRPr="00D873A9" w:rsidRDefault="00D873A9" w:rsidP="00A736E2">
      <w:pPr>
        <w:widowControl/>
        <w:spacing w:line="600" w:lineRule="exact"/>
        <w:ind w:leftChars="118" w:left="607" w:hangingChars="101" w:hanging="324"/>
        <w:jc w:val="both"/>
        <w:rPr>
          <w:rFonts w:ascii="標楷體" w:eastAsia="標楷體" w:hAnsi="標楷體" w:cs="新細明體" w:hint="eastAsia"/>
          <w:b/>
          <w:kern w:val="0"/>
          <w:sz w:val="32"/>
          <w:szCs w:val="32"/>
        </w:rPr>
      </w:pPr>
    </w:p>
    <w:sectPr w:rsidR="00D873A9" w:rsidRPr="00D873A9" w:rsidSect="00A223A0">
      <w:footerReference w:type="even" r:id="rId8"/>
      <w:pgSz w:w="11906" w:h="16838"/>
      <w:pgMar w:top="1134" w:right="1134" w:bottom="1134" w:left="1134" w:header="851" w:footer="992" w:gutter="0"/>
      <w:pgNumType w:start="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EC5" w:rsidRDefault="00086EC5">
      <w:r>
        <w:separator/>
      </w:r>
    </w:p>
  </w:endnote>
  <w:endnote w:type="continuationSeparator" w:id="0">
    <w:p w:rsidR="00086EC5" w:rsidRDefault="0008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F3C" w:rsidRDefault="00527F3C" w:rsidP="00134D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27F3C" w:rsidRDefault="00527F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EC5" w:rsidRDefault="00086EC5">
      <w:r>
        <w:separator/>
      </w:r>
    </w:p>
  </w:footnote>
  <w:footnote w:type="continuationSeparator" w:id="0">
    <w:p w:rsidR="00086EC5" w:rsidRDefault="00086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12F"/>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621BC"/>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9D43D8"/>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6862D9"/>
    <w:multiLevelType w:val="hybridMultilevel"/>
    <w:tmpl w:val="D4788C2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7A1268B"/>
    <w:multiLevelType w:val="multilevel"/>
    <w:tmpl w:val="C0F2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74D3D"/>
    <w:multiLevelType w:val="hybridMultilevel"/>
    <w:tmpl w:val="812ABD10"/>
    <w:lvl w:ilvl="0" w:tplc="286C3BF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E3A6081"/>
    <w:multiLevelType w:val="hybridMultilevel"/>
    <w:tmpl w:val="2B7A48DC"/>
    <w:lvl w:ilvl="0" w:tplc="8130AAC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2370403C"/>
    <w:multiLevelType w:val="hybridMultilevel"/>
    <w:tmpl w:val="D9EEF8F6"/>
    <w:lvl w:ilvl="0" w:tplc="B9101EE2">
      <w:start w:val="1"/>
      <w:numFmt w:val="bullet"/>
      <w:lvlText w:val=""/>
      <w:lvlJc w:val="left"/>
      <w:pPr>
        <w:tabs>
          <w:tab w:val="num" w:pos="720"/>
        </w:tabs>
        <w:ind w:left="720" w:hanging="360"/>
      </w:pPr>
      <w:rPr>
        <w:rFonts w:ascii="Wingdings" w:hAnsi="Wingdings" w:hint="default"/>
      </w:rPr>
    </w:lvl>
    <w:lvl w:ilvl="1" w:tplc="07408924" w:tentative="1">
      <w:start w:val="1"/>
      <w:numFmt w:val="bullet"/>
      <w:lvlText w:val=""/>
      <w:lvlJc w:val="left"/>
      <w:pPr>
        <w:tabs>
          <w:tab w:val="num" w:pos="1440"/>
        </w:tabs>
        <w:ind w:left="1440" w:hanging="360"/>
      </w:pPr>
      <w:rPr>
        <w:rFonts w:ascii="Wingdings" w:hAnsi="Wingdings" w:hint="default"/>
      </w:rPr>
    </w:lvl>
    <w:lvl w:ilvl="2" w:tplc="D1903B7A" w:tentative="1">
      <w:start w:val="1"/>
      <w:numFmt w:val="bullet"/>
      <w:lvlText w:val=""/>
      <w:lvlJc w:val="left"/>
      <w:pPr>
        <w:tabs>
          <w:tab w:val="num" w:pos="2160"/>
        </w:tabs>
        <w:ind w:left="2160" w:hanging="360"/>
      </w:pPr>
      <w:rPr>
        <w:rFonts w:ascii="Wingdings" w:hAnsi="Wingdings" w:hint="default"/>
      </w:rPr>
    </w:lvl>
    <w:lvl w:ilvl="3" w:tplc="0BE00F94" w:tentative="1">
      <w:start w:val="1"/>
      <w:numFmt w:val="bullet"/>
      <w:lvlText w:val=""/>
      <w:lvlJc w:val="left"/>
      <w:pPr>
        <w:tabs>
          <w:tab w:val="num" w:pos="2880"/>
        </w:tabs>
        <w:ind w:left="2880" w:hanging="360"/>
      </w:pPr>
      <w:rPr>
        <w:rFonts w:ascii="Wingdings" w:hAnsi="Wingdings" w:hint="default"/>
      </w:rPr>
    </w:lvl>
    <w:lvl w:ilvl="4" w:tplc="1CF437A2" w:tentative="1">
      <w:start w:val="1"/>
      <w:numFmt w:val="bullet"/>
      <w:lvlText w:val=""/>
      <w:lvlJc w:val="left"/>
      <w:pPr>
        <w:tabs>
          <w:tab w:val="num" w:pos="3600"/>
        </w:tabs>
        <w:ind w:left="3600" w:hanging="360"/>
      </w:pPr>
      <w:rPr>
        <w:rFonts w:ascii="Wingdings" w:hAnsi="Wingdings" w:hint="default"/>
      </w:rPr>
    </w:lvl>
    <w:lvl w:ilvl="5" w:tplc="B41ADA4C" w:tentative="1">
      <w:start w:val="1"/>
      <w:numFmt w:val="bullet"/>
      <w:lvlText w:val=""/>
      <w:lvlJc w:val="left"/>
      <w:pPr>
        <w:tabs>
          <w:tab w:val="num" w:pos="4320"/>
        </w:tabs>
        <w:ind w:left="4320" w:hanging="360"/>
      </w:pPr>
      <w:rPr>
        <w:rFonts w:ascii="Wingdings" w:hAnsi="Wingdings" w:hint="default"/>
      </w:rPr>
    </w:lvl>
    <w:lvl w:ilvl="6" w:tplc="3F6EAFC4" w:tentative="1">
      <w:start w:val="1"/>
      <w:numFmt w:val="bullet"/>
      <w:lvlText w:val=""/>
      <w:lvlJc w:val="left"/>
      <w:pPr>
        <w:tabs>
          <w:tab w:val="num" w:pos="5040"/>
        </w:tabs>
        <w:ind w:left="5040" w:hanging="360"/>
      </w:pPr>
      <w:rPr>
        <w:rFonts w:ascii="Wingdings" w:hAnsi="Wingdings" w:hint="default"/>
      </w:rPr>
    </w:lvl>
    <w:lvl w:ilvl="7" w:tplc="5DA042FA" w:tentative="1">
      <w:start w:val="1"/>
      <w:numFmt w:val="bullet"/>
      <w:lvlText w:val=""/>
      <w:lvlJc w:val="left"/>
      <w:pPr>
        <w:tabs>
          <w:tab w:val="num" w:pos="5760"/>
        </w:tabs>
        <w:ind w:left="5760" w:hanging="360"/>
      </w:pPr>
      <w:rPr>
        <w:rFonts w:ascii="Wingdings" w:hAnsi="Wingdings" w:hint="default"/>
      </w:rPr>
    </w:lvl>
    <w:lvl w:ilvl="8" w:tplc="D99AAB32" w:tentative="1">
      <w:start w:val="1"/>
      <w:numFmt w:val="bullet"/>
      <w:lvlText w:val=""/>
      <w:lvlJc w:val="left"/>
      <w:pPr>
        <w:tabs>
          <w:tab w:val="num" w:pos="6480"/>
        </w:tabs>
        <w:ind w:left="6480" w:hanging="360"/>
      </w:pPr>
      <w:rPr>
        <w:rFonts w:ascii="Wingdings" w:hAnsi="Wingdings" w:hint="default"/>
      </w:rPr>
    </w:lvl>
  </w:abstractNum>
  <w:abstractNum w:abstractNumId="8">
    <w:nsid w:val="27301B5E"/>
    <w:multiLevelType w:val="hybridMultilevel"/>
    <w:tmpl w:val="4B62873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AEF4CF8"/>
    <w:multiLevelType w:val="hybridMultilevel"/>
    <w:tmpl w:val="7A522436"/>
    <w:lvl w:ilvl="0" w:tplc="49E8ABA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142440"/>
    <w:multiLevelType w:val="hybridMultilevel"/>
    <w:tmpl w:val="773CD880"/>
    <w:lvl w:ilvl="0" w:tplc="9EDE2BB0">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319C63D2"/>
    <w:multiLevelType w:val="multilevel"/>
    <w:tmpl w:val="900E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4B7CD7"/>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45836"/>
    <w:multiLevelType w:val="hybridMultilevel"/>
    <w:tmpl w:val="2B7A48DC"/>
    <w:lvl w:ilvl="0" w:tplc="8130AAC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3A050DC1"/>
    <w:multiLevelType w:val="hybridMultilevel"/>
    <w:tmpl w:val="CB32E82E"/>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47032BC"/>
    <w:multiLevelType w:val="multilevel"/>
    <w:tmpl w:val="205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B400F9"/>
    <w:multiLevelType w:val="hybridMultilevel"/>
    <w:tmpl w:val="7278F4A8"/>
    <w:lvl w:ilvl="0" w:tplc="0A4428E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DD36BA0"/>
    <w:multiLevelType w:val="multilevel"/>
    <w:tmpl w:val="5E6A5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4C4760"/>
    <w:multiLevelType w:val="multilevel"/>
    <w:tmpl w:val="F7BA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C0240E"/>
    <w:multiLevelType w:val="hybridMultilevel"/>
    <w:tmpl w:val="D78EDF24"/>
    <w:lvl w:ilvl="0" w:tplc="5AB0933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5CE13EC"/>
    <w:multiLevelType w:val="multilevel"/>
    <w:tmpl w:val="8C7AAFAC"/>
    <w:lvl w:ilvl="0">
      <w:start w:val="1"/>
      <w:numFmt w:val="decimal"/>
      <w:lvlText w:val="%1."/>
      <w:lvlJc w:val="left"/>
      <w:pPr>
        <w:tabs>
          <w:tab w:val="num" w:pos="720"/>
        </w:tabs>
        <w:ind w:left="720" w:hanging="360"/>
      </w:pPr>
    </w:lvl>
    <w:lvl w:ilvl="1">
      <w:start w:val="1"/>
      <w:numFmt w:val="decimal"/>
      <w:lvlText w:val="（%2）"/>
      <w:lvlJc w:val="left"/>
      <w:pPr>
        <w:tabs>
          <w:tab w:val="num" w:pos="1800"/>
        </w:tabs>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396C42"/>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03156"/>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D71201"/>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AD2D7E"/>
    <w:multiLevelType w:val="hybridMultilevel"/>
    <w:tmpl w:val="BD62EA5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25">
    <w:nsid w:val="67B14830"/>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57475D"/>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5F14D6"/>
    <w:multiLevelType w:val="hybridMultilevel"/>
    <w:tmpl w:val="BD62EA5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28">
    <w:nsid w:val="75604348"/>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FA4E42"/>
    <w:multiLevelType w:val="hybridMultilevel"/>
    <w:tmpl w:val="BD62EA54"/>
    <w:lvl w:ilvl="0" w:tplc="DA962B26">
      <w:start w:val="1"/>
      <w:numFmt w:val="decimal"/>
      <w:lvlText w:val="（%1）"/>
      <w:lvlJc w:val="left"/>
      <w:pPr>
        <w:tabs>
          <w:tab w:val="num" w:pos="1077"/>
        </w:tabs>
        <w:ind w:left="1077" w:hanging="72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0">
    <w:nsid w:val="7B176FD6"/>
    <w:multiLevelType w:val="hybridMultilevel"/>
    <w:tmpl w:val="F0A224B6"/>
    <w:lvl w:ilvl="0" w:tplc="6D6A1E3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nsid w:val="7D5A3887"/>
    <w:multiLevelType w:val="multilevel"/>
    <w:tmpl w:val="CD98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0"/>
  </w:num>
  <w:num w:numId="3">
    <w:abstractNumId w:val="17"/>
  </w:num>
  <w:num w:numId="4">
    <w:abstractNumId w:val="11"/>
  </w:num>
  <w:num w:numId="5">
    <w:abstractNumId w:val="15"/>
  </w:num>
  <w:num w:numId="6">
    <w:abstractNumId w:val="4"/>
  </w:num>
  <w:num w:numId="7">
    <w:abstractNumId w:val="18"/>
  </w:num>
  <w:num w:numId="8">
    <w:abstractNumId w:val="29"/>
  </w:num>
  <w:num w:numId="9">
    <w:abstractNumId w:val="7"/>
  </w:num>
  <w:num w:numId="10">
    <w:abstractNumId w:val="8"/>
  </w:num>
  <w:num w:numId="11">
    <w:abstractNumId w:val="28"/>
  </w:num>
  <w:num w:numId="12">
    <w:abstractNumId w:val="26"/>
  </w:num>
  <w:num w:numId="13">
    <w:abstractNumId w:val="1"/>
  </w:num>
  <w:num w:numId="14">
    <w:abstractNumId w:val="14"/>
  </w:num>
  <w:num w:numId="15">
    <w:abstractNumId w:val="25"/>
  </w:num>
  <w:num w:numId="16">
    <w:abstractNumId w:val="31"/>
  </w:num>
  <w:num w:numId="17">
    <w:abstractNumId w:val="3"/>
  </w:num>
  <w:num w:numId="18">
    <w:abstractNumId w:val="0"/>
  </w:num>
  <w:num w:numId="19">
    <w:abstractNumId w:val="24"/>
  </w:num>
  <w:num w:numId="20">
    <w:abstractNumId w:val="12"/>
  </w:num>
  <w:num w:numId="21">
    <w:abstractNumId w:val="27"/>
  </w:num>
  <w:num w:numId="22">
    <w:abstractNumId w:val="21"/>
  </w:num>
  <w:num w:numId="23">
    <w:abstractNumId w:val="19"/>
  </w:num>
  <w:num w:numId="24">
    <w:abstractNumId w:val="5"/>
  </w:num>
  <w:num w:numId="25">
    <w:abstractNumId w:val="13"/>
  </w:num>
  <w:num w:numId="26">
    <w:abstractNumId w:val="6"/>
  </w:num>
  <w:num w:numId="27">
    <w:abstractNumId w:val="22"/>
  </w:num>
  <w:num w:numId="28">
    <w:abstractNumId w:val="23"/>
  </w:num>
  <w:num w:numId="29">
    <w:abstractNumId w:val="9"/>
  </w:num>
  <w:num w:numId="30">
    <w:abstractNumId w:val="10"/>
  </w:num>
  <w:num w:numId="31">
    <w:abstractNumId w:val="16"/>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DF"/>
    <w:rsid w:val="0000532F"/>
    <w:rsid w:val="0002715B"/>
    <w:rsid w:val="00027915"/>
    <w:rsid w:val="00046AC6"/>
    <w:rsid w:val="00051BCC"/>
    <w:rsid w:val="00056FD9"/>
    <w:rsid w:val="00075B50"/>
    <w:rsid w:val="00086EC5"/>
    <w:rsid w:val="00097B10"/>
    <w:rsid w:val="000A14E3"/>
    <w:rsid w:val="000B137C"/>
    <w:rsid w:val="000D325D"/>
    <w:rsid w:val="0010661A"/>
    <w:rsid w:val="00134CF4"/>
    <w:rsid w:val="00134D0B"/>
    <w:rsid w:val="0015334C"/>
    <w:rsid w:val="00156F8A"/>
    <w:rsid w:val="00176FA1"/>
    <w:rsid w:val="00181FA8"/>
    <w:rsid w:val="00182C7A"/>
    <w:rsid w:val="00190472"/>
    <w:rsid w:val="001A17FC"/>
    <w:rsid w:val="001A352B"/>
    <w:rsid w:val="001B438C"/>
    <w:rsid w:val="001E3CE9"/>
    <w:rsid w:val="002065D5"/>
    <w:rsid w:val="0022397A"/>
    <w:rsid w:val="00227D56"/>
    <w:rsid w:val="002621EC"/>
    <w:rsid w:val="00267633"/>
    <w:rsid w:val="0027691D"/>
    <w:rsid w:val="002A0C42"/>
    <w:rsid w:val="002A2F5E"/>
    <w:rsid w:val="002E248E"/>
    <w:rsid w:val="002E78ED"/>
    <w:rsid w:val="00310E65"/>
    <w:rsid w:val="00340236"/>
    <w:rsid w:val="0034714B"/>
    <w:rsid w:val="003524EE"/>
    <w:rsid w:val="00383346"/>
    <w:rsid w:val="0038571A"/>
    <w:rsid w:val="00386977"/>
    <w:rsid w:val="003C2802"/>
    <w:rsid w:val="003F184B"/>
    <w:rsid w:val="004308A7"/>
    <w:rsid w:val="00443FDB"/>
    <w:rsid w:val="00444F59"/>
    <w:rsid w:val="00455E19"/>
    <w:rsid w:val="00462110"/>
    <w:rsid w:val="00470E60"/>
    <w:rsid w:val="00476903"/>
    <w:rsid w:val="004F1D27"/>
    <w:rsid w:val="00526F0D"/>
    <w:rsid w:val="00527F3C"/>
    <w:rsid w:val="00533AE6"/>
    <w:rsid w:val="0053524E"/>
    <w:rsid w:val="00537DB0"/>
    <w:rsid w:val="00572D97"/>
    <w:rsid w:val="00576171"/>
    <w:rsid w:val="00581162"/>
    <w:rsid w:val="005A2A84"/>
    <w:rsid w:val="005B5002"/>
    <w:rsid w:val="005C4D6D"/>
    <w:rsid w:val="005C53AC"/>
    <w:rsid w:val="005F1CE2"/>
    <w:rsid w:val="00600504"/>
    <w:rsid w:val="00611C8F"/>
    <w:rsid w:val="006308FF"/>
    <w:rsid w:val="0064050A"/>
    <w:rsid w:val="00652F64"/>
    <w:rsid w:val="00666B3C"/>
    <w:rsid w:val="00673AF5"/>
    <w:rsid w:val="00684603"/>
    <w:rsid w:val="006957B8"/>
    <w:rsid w:val="006A08FF"/>
    <w:rsid w:val="006C1930"/>
    <w:rsid w:val="006C63E8"/>
    <w:rsid w:val="006E2633"/>
    <w:rsid w:val="006E4A83"/>
    <w:rsid w:val="006F5DE4"/>
    <w:rsid w:val="00704D8B"/>
    <w:rsid w:val="00706417"/>
    <w:rsid w:val="00727E32"/>
    <w:rsid w:val="007340D5"/>
    <w:rsid w:val="00736597"/>
    <w:rsid w:val="00741127"/>
    <w:rsid w:val="00760990"/>
    <w:rsid w:val="007806B7"/>
    <w:rsid w:val="007A5EE5"/>
    <w:rsid w:val="007B5CEE"/>
    <w:rsid w:val="007D4867"/>
    <w:rsid w:val="007E4E7C"/>
    <w:rsid w:val="007F33D7"/>
    <w:rsid w:val="007F5B66"/>
    <w:rsid w:val="00804D8C"/>
    <w:rsid w:val="00832A91"/>
    <w:rsid w:val="00840245"/>
    <w:rsid w:val="008515E9"/>
    <w:rsid w:val="0086414B"/>
    <w:rsid w:val="00874E30"/>
    <w:rsid w:val="008C57D8"/>
    <w:rsid w:val="008D3DC8"/>
    <w:rsid w:val="008E35E9"/>
    <w:rsid w:val="008F1F65"/>
    <w:rsid w:val="0091131E"/>
    <w:rsid w:val="00921E8C"/>
    <w:rsid w:val="00924CE1"/>
    <w:rsid w:val="00931712"/>
    <w:rsid w:val="009328FB"/>
    <w:rsid w:val="00975024"/>
    <w:rsid w:val="0098206B"/>
    <w:rsid w:val="00990FBE"/>
    <w:rsid w:val="00994369"/>
    <w:rsid w:val="009A5FAB"/>
    <w:rsid w:val="009B5E7E"/>
    <w:rsid w:val="009B676B"/>
    <w:rsid w:val="009D1D4F"/>
    <w:rsid w:val="009F5030"/>
    <w:rsid w:val="00A00185"/>
    <w:rsid w:val="00A04E6B"/>
    <w:rsid w:val="00A0500E"/>
    <w:rsid w:val="00A05AD4"/>
    <w:rsid w:val="00A12523"/>
    <w:rsid w:val="00A223A0"/>
    <w:rsid w:val="00A371D6"/>
    <w:rsid w:val="00A60E5C"/>
    <w:rsid w:val="00A63853"/>
    <w:rsid w:val="00A6752F"/>
    <w:rsid w:val="00A736E2"/>
    <w:rsid w:val="00A73BCB"/>
    <w:rsid w:val="00A81D52"/>
    <w:rsid w:val="00A840CE"/>
    <w:rsid w:val="00AA6E4B"/>
    <w:rsid w:val="00AB4062"/>
    <w:rsid w:val="00AF1FDF"/>
    <w:rsid w:val="00B0075D"/>
    <w:rsid w:val="00B03750"/>
    <w:rsid w:val="00B3519F"/>
    <w:rsid w:val="00B4690F"/>
    <w:rsid w:val="00B5666A"/>
    <w:rsid w:val="00B67D31"/>
    <w:rsid w:val="00B77602"/>
    <w:rsid w:val="00B961CE"/>
    <w:rsid w:val="00B9657F"/>
    <w:rsid w:val="00BA7F0A"/>
    <w:rsid w:val="00BC0051"/>
    <w:rsid w:val="00C10EAB"/>
    <w:rsid w:val="00C34C5B"/>
    <w:rsid w:val="00C36D9E"/>
    <w:rsid w:val="00C66531"/>
    <w:rsid w:val="00C83C2B"/>
    <w:rsid w:val="00C86E6B"/>
    <w:rsid w:val="00C90D4E"/>
    <w:rsid w:val="00CA50DA"/>
    <w:rsid w:val="00CB0FC2"/>
    <w:rsid w:val="00CB2407"/>
    <w:rsid w:val="00CC61F1"/>
    <w:rsid w:val="00CF62A2"/>
    <w:rsid w:val="00D02622"/>
    <w:rsid w:val="00D05741"/>
    <w:rsid w:val="00D1102F"/>
    <w:rsid w:val="00D2211D"/>
    <w:rsid w:val="00D273CC"/>
    <w:rsid w:val="00D61EA7"/>
    <w:rsid w:val="00D74142"/>
    <w:rsid w:val="00D77D93"/>
    <w:rsid w:val="00D81C3F"/>
    <w:rsid w:val="00D873A9"/>
    <w:rsid w:val="00DA179A"/>
    <w:rsid w:val="00DA2B91"/>
    <w:rsid w:val="00DC30CE"/>
    <w:rsid w:val="00DC3555"/>
    <w:rsid w:val="00DC3CD1"/>
    <w:rsid w:val="00DE4673"/>
    <w:rsid w:val="00DE5FB8"/>
    <w:rsid w:val="00E01C4E"/>
    <w:rsid w:val="00E105C7"/>
    <w:rsid w:val="00E231BE"/>
    <w:rsid w:val="00E30DD7"/>
    <w:rsid w:val="00E3622F"/>
    <w:rsid w:val="00E5687A"/>
    <w:rsid w:val="00E57213"/>
    <w:rsid w:val="00E57A81"/>
    <w:rsid w:val="00E62F8E"/>
    <w:rsid w:val="00E73195"/>
    <w:rsid w:val="00E83B8F"/>
    <w:rsid w:val="00E841DC"/>
    <w:rsid w:val="00EA154B"/>
    <w:rsid w:val="00EA643A"/>
    <w:rsid w:val="00EB3C51"/>
    <w:rsid w:val="00ED110C"/>
    <w:rsid w:val="00ED452D"/>
    <w:rsid w:val="00F12117"/>
    <w:rsid w:val="00F44C34"/>
    <w:rsid w:val="00F47BC6"/>
    <w:rsid w:val="00F52468"/>
    <w:rsid w:val="00F706FD"/>
    <w:rsid w:val="00F72FCD"/>
    <w:rsid w:val="00F7315C"/>
    <w:rsid w:val="00F81CFE"/>
    <w:rsid w:val="00F875EC"/>
    <w:rsid w:val="00FA3B93"/>
    <w:rsid w:val="00FB070A"/>
    <w:rsid w:val="00FB6F71"/>
    <w:rsid w:val="00FC2B84"/>
    <w:rsid w:val="00FF6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3B93"/>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ext09ystyle1">
    <w:name w:val="text09y style1"/>
    <w:basedOn w:val="a"/>
    <w:rsid w:val="00AF1FDF"/>
    <w:pPr>
      <w:widowControl/>
      <w:spacing w:before="100" w:beforeAutospacing="1" w:after="100" w:afterAutospacing="1"/>
    </w:pPr>
    <w:rPr>
      <w:rFonts w:ascii="新細明體" w:hAnsi="新細明體" w:cs="新細明體"/>
      <w:kern w:val="0"/>
    </w:rPr>
  </w:style>
  <w:style w:type="paragraph" w:styleId="Web">
    <w:name w:val="Normal (Web)"/>
    <w:basedOn w:val="a"/>
    <w:rsid w:val="00AF1FDF"/>
    <w:pPr>
      <w:widowControl/>
      <w:spacing w:before="100" w:beforeAutospacing="1" w:after="100" w:afterAutospacing="1"/>
    </w:pPr>
    <w:rPr>
      <w:rFonts w:ascii="新細明體" w:hAnsi="新細明體" w:cs="新細明體"/>
      <w:kern w:val="0"/>
    </w:rPr>
  </w:style>
  <w:style w:type="character" w:styleId="a3">
    <w:name w:val="Strong"/>
    <w:qFormat/>
    <w:rsid w:val="00AF1FDF"/>
    <w:rPr>
      <w:b/>
      <w:bCs/>
    </w:rPr>
  </w:style>
  <w:style w:type="paragraph" w:styleId="a4">
    <w:name w:val="footer"/>
    <w:basedOn w:val="a"/>
    <w:rsid w:val="006F5DE4"/>
    <w:pPr>
      <w:tabs>
        <w:tab w:val="center" w:pos="4153"/>
        <w:tab w:val="right" w:pos="8306"/>
      </w:tabs>
      <w:snapToGrid w:val="0"/>
    </w:pPr>
    <w:rPr>
      <w:sz w:val="20"/>
      <w:szCs w:val="20"/>
    </w:rPr>
  </w:style>
  <w:style w:type="character" w:styleId="a5">
    <w:name w:val="page number"/>
    <w:basedOn w:val="a0"/>
    <w:rsid w:val="006F5DE4"/>
  </w:style>
  <w:style w:type="paragraph" w:styleId="a6">
    <w:name w:val="header"/>
    <w:basedOn w:val="a"/>
    <w:rsid w:val="006F5DE4"/>
    <w:pPr>
      <w:tabs>
        <w:tab w:val="center" w:pos="4153"/>
        <w:tab w:val="right" w:pos="8306"/>
      </w:tabs>
      <w:snapToGrid w:val="0"/>
    </w:pPr>
    <w:rPr>
      <w:sz w:val="20"/>
      <w:szCs w:val="20"/>
    </w:rPr>
  </w:style>
  <w:style w:type="paragraph" w:styleId="HTML">
    <w:name w:val="HTML Preformatted"/>
    <w:basedOn w:val="a"/>
    <w:rsid w:val="00075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paragraph" w:styleId="a7">
    <w:name w:val="Balloon Text"/>
    <w:basedOn w:val="a"/>
    <w:semiHidden/>
    <w:rsid w:val="00C90D4E"/>
    <w:rPr>
      <w:rFonts w:ascii="Arial" w:hAnsi="Arial"/>
      <w:sz w:val="18"/>
      <w:szCs w:val="18"/>
    </w:rPr>
  </w:style>
  <w:style w:type="character" w:styleId="a8">
    <w:name w:val="Hyperlink"/>
    <w:rsid w:val="00D873A9"/>
    <w:rPr>
      <w:color w:val="0000FF"/>
      <w:u w:val="single"/>
    </w:rPr>
  </w:style>
  <w:style w:type="character" w:styleId="a9">
    <w:name w:val="FollowedHyperlink"/>
    <w:rsid w:val="00D873A9"/>
    <w:rPr>
      <w:color w:val="800080"/>
      <w:u w:val="single"/>
    </w:rPr>
  </w:style>
  <w:style w:type="paragraph" w:styleId="aa">
    <w:name w:val="List Paragraph"/>
    <w:basedOn w:val="a"/>
    <w:uiPriority w:val="34"/>
    <w:qFormat/>
    <w:rsid w:val="00874E3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3B93"/>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ext09ystyle1">
    <w:name w:val="text09y style1"/>
    <w:basedOn w:val="a"/>
    <w:rsid w:val="00AF1FDF"/>
    <w:pPr>
      <w:widowControl/>
      <w:spacing w:before="100" w:beforeAutospacing="1" w:after="100" w:afterAutospacing="1"/>
    </w:pPr>
    <w:rPr>
      <w:rFonts w:ascii="新細明體" w:hAnsi="新細明體" w:cs="新細明體"/>
      <w:kern w:val="0"/>
    </w:rPr>
  </w:style>
  <w:style w:type="paragraph" w:styleId="Web">
    <w:name w:val="Normal (Web)"/>
    <w:basedOn w:val="a"/>
    <w:rsid w:val="00AF1FDF"/>
    <w:pPr>
      <w:widowControl/>
      <w:spacing w:before="100" w:beforeAutospacing="1" w:after="100" w:afterAutospacing="1"/>
    </w:pPr>
    <w:rPr>
      <w:rFonts w:ascii="新細明體" w:hAnsi="新細明體" w:cs="新細明體"/>
      <w:kern w:val="0"/>
    </w:rPr>
  </w:style>
  <w:style w:type="character" w:styleId="a3">
    <w:name w:val="Strong"/>
    <w:qFormat/>
    <w:rsid w:val="00AF1FDF"/>
    <w:rPr>
      <w:b/>
      <w:bCs/>
    </w:rPr>
  </w:style>
  <w:style w:type="paragraph" w:styleId="a4">
    <w:name w:val="footer"/>
    <w:basedOn w:val="a"/>
    <w:rsid w:val="006F5DE4"/>
    <w:pPr>
      <w:tabs>
        <w:tab w:val="center" w:pos="4153"/>
        <w:tab w:val="right" w:pos="8306"/>
      </w:tabs>
      <w:snapToGrid w:val="0"/>
    </w:pPr>
    <w:rPr>
      <w:sz w:val="20"/>
      <w:szCs w:val="20"/>
    </w:rPr>
  </w:style>
  <w:style w:type="character" w:styleId="a5">
    <w:name w:val="page number"/>
    <w:basedOn w:val="a0"/>
    <w:rsid w:val="006F5DE4"/>
  </w:style>
  <w:style w:type="paragraph" w:styleId="a6">
    <w:name w:val="header"/>
    <w:basedOn w:val="a"/>
    <w:rsid w:val="006F5DE4"/>
    <w:pPr>
      <w:tabs>
        <w:tab w:val="center" w:pos="4153"/>
        <w:tab w:val="right" w:pos="8306"/>
      </w:tabs>
      <w:snapToGrid w:val="0"/>
    </w:pPr>
    <w:rPr>
      <w:sz w:val="20"/>
      <w:szCs w:val="20"/>
    </w:rPr>
  </w:style>
  <w:style w:type="paragraph" w:styleId="HTML">
    <w:name w:val="HTML Preformatted"/>
    <w:basedOn w:val="a"/>
    <w:rsid w:val="00075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rPr>
  </w:style>
  <w:style w:type="paragraph" w:styleId="a7">
    <w:name w:val="Balloon Text"/>
    <w:basedOn w:val="a"/>
    <w:semiHidden/>
    <w:rsid w:val="00C90D4E"/>
    <w:rPr>
      <w:rFonts w:ascii="Arial" w:hAnsi="Arial"/>
      <w:sz w:val="18"/>
      <w:szCs w:val="18"/>
    </w:rPr>
  </w:style>
  <w:style w:type="character" w:styleId="a8">
    <w:name w:val="Hyperlink"/>
    <w:rsid w:val="00D873A9"/>
    <w:rPr>
      <w:color w:val="0000FF"/>
      <w:u w:val="single"/>
    </w:rPr>
  </w:style>
  <w:style w:type="character" w:styleId="a9">
    <w:name w:val="FollowedHyperlink"/>
    <w:rsid w:val="00D873A9"/>
    <w:rPr>
      <w:color w:val="800080"/>
      <w:u w:val="single"/>
    </w:rPr>
  </w:style>
  <w:style w:type="paragraph" w:styleId="aa">
    <w:name w:val="List Paragraph"/>
    <w:basedOn w:val="a"/>
    <w:uiPriority w:val="34"/>
    <w:qFormat/>
    <w:rsid w:val="00874E3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452</Words>
  <Characters>2578</Characters>
  <Application>Microsoft Office Word</Application>
  <DocSecurity>0</DocSecurity>
  <Lines>21</Lines>
  <Paragraphs>6</Paragraphs>
  <ScaleCrop>false</ScaleCrop>
  <Company>sfb</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陳坤松song</cp:lastModifiedBy>
  <cp:revision>2</cp:revision>
  <cp:lastPrinted>2017-04-17T10:17:00Z</cp:lastPrinted>
  <dcterms:created xsi:type="dcterms:W3CDTF">2017-04-20T09:36:00Z</dcterms:created>
  <dcterms:modified xsi:type="dcterms:W3CDTF">2017-04-20T09:36:00Z</dcterms:modified>
</cp:coreProperties>
</file>