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4159D" w14:textId="4888CDF8" w:rsidR="00954C07" w:rsidRDefault="00104B0A" w:rsidP="00B952AB">
      <w:pPr>
        <w:jc w:val="center"/>
        <w:rPr>
          <w:rFonts w:ascii="標楷體" w:eastAsia="標楷體" w:hAnsi="標楷體"/>
          <w:b/>
          <w:sz w:val="28"/>
          <w:szCs w:val="24"/>
        </w:rPr>
      </w:pPr>
      <w:bookmarkStart w:id="0" w:name="_Hlk483903160"/>
      <w:bookmarkEnd w:id="0"/>
      <w:r w:rsidRPr="009B6AD8">
        <w:rPr>
          <w:rFonts w:ascii="標楷體" w:eastAsia="標楷體" w:hAnsi="標楷體" w:hint="eastAsia"/>
          <w:b/>
          <w:color w:val="FF0000"/>
          <w:sz w:val="28"/>
          <w:szCs w:val="24"/>
        </w:rPr>
        <w:t>1</w:t>
      </w:r>
      <w:r w:rsidRPr="009B6AD8">
        <w:rPr>
          <w:rFonts w:ascii="標楷體" w:eastAsia="標楷體" w:hAnsi="標楷體"/>
          <w:b/>
          <w:color w:val="FF0000"/>
          <w:sz w:val="28"/>
          <w:szCs w:val="24"/>
        </w:rPr>
        <w:t>0</w:t>
      </w:r>
      <w:r w:rsidR="00954C07" w:rsidRPr="009B6AD8">
        <w:rPr>
          <w:rFonts w:ascii="標楷體" w:eastAsia="標楷體" w:hAnsi="標楷體" w:hint="eastAsia"/>
          <w:b/>
          <w:color w:val="FF0000"/>
          <w:sz w:val="28"/>
          <w:szCs w:val="24"/>
        </w:rPr>
        <w:t>9</w:t>
      </w:r>
      <w:r w:rsidRPr="009B6AD8">
        <w:rPr>
          <w:rFonts w:ascii="標楷體" w:eastAsia="標楷體" w:hAnsi="標楷體" w:hint="eastAsia"/>
          <w:b/>
          <w:color w:val="FF0000"/>
          <w:sz w:val="28"/>
          <w:szCs w:val="24"/>
        </w:rPr>
        <w:t>年</w:t>
      </w:r>
      <w:r w:rsidR="009B6AD8" w:rsidRPr="009B6AD8">
        <w:rPr>
          <w:rFonts w:ascii="標楷體" w:eastAsia="標楷體" w:hAnsi="標楷體" w:hint="eastAsia"/>
          <w:b/>
          <w:color w:val="FF0000"/>
          <w:sz w:val="28"/>
          <w:szCs w:val="24"/>
        </w:rPr>
        <w:t>上半年</w:t>
      </w:r>
      <w:r w:rsidR="00B2377C">
        <w:rPr>
          <w:rFonts w:ascii="標楷體" w:eastAsia="標楷體" w:hAnsi="標楷體" w:hint="eastAsia"/>
          <w:b/>
          <w:color w:val="FF0000"/>
          <w:sz w:val="28"/>
          <w:szCs w:val="24"/>
        </w:rPr>
        <w:t>度</w:t>
      </w:r>
      <w:r w:rsidR="00B952AB" w:rsidRPr="0063715A">
        <w:rPr>
          <w:rFonts w:ascii="標楷體" w:eastAsia="標楷體" w:hAnsi="標楷體" w:hint="eastAsia"/>
          <w:b/>
          <w:sz w:val="28"/>
          <w:szCs w:val="24"/>
        </w:rPr>
        <w:t>長期</w:t>
      </w:r>
      <w:r w:rsidR="00AD0B64" w:rsidRPr="0063715A">
        <w:rPr>
          <w:rFonts w:ascii="標楷體" w:eastAsia="標楷體" w:hAnsi="標楷體" w:hint="eastAsia"/>
          <w:b/>
          <w:sz w:val="28"/>
          <w:szCs w:val="24"/>
        </w:rPr>
        <w:t>照顧</w:t>
      </w:r>
      <w:r w:rsidR="00B952AB" w:rsidRPr="0063715A">
        <w:rPr>
          <w:rFonts w:ascii="標楷體" w:eastAsia="標楷體" w:hAnsi="標楷體" w:hint="eastAsia"/>
          <w:b/>
          <w:sz w:val="28"/>
          <w:szCs w:val="24"/>
        </w:rPr>
        <w:t>保險投保對象之</w:t>
      </w:r>
    </w:p>
    <w:p w14:paraId="57B31923" w14:textId="518C8F58" w:rsidR="009F6BBD" w:rsidRPr="0063715A" w:rsidRDefault="00B952AB" w:rsidP="00B952AB">
      <w:pPr>
        <w:jc w:val="center"/>
        <w:rPr>
          <w:rFonts w:ascii="標楷體" w:eastAsia="標楷體" w:hAnsi="標楷體"/>
          <w:b/>
          <w:sz w:val="28"/>
          <w:szCs w:val="24"/>
        </w:rPr>
      </w:pPr>
      <w:r w:rsidRPr="0063715A">
        <w:rPr>
          <w:rFonts w:ascii="標楷體" w:eastAsia="標楷體" w:hAnsi="標楷體" w:hint="eastAsia"/>
          <w:b/>
          <w:sz w:val="28"/>
          <w:szCs w:val="24"/>
        </w:rPr>
        <w:t>性別、年齡</w:t>
      </w:r>
      <w:r w:rsidR="003625A3">
        <w:rPr>
          <w:rFonts w:ascii="標楷體" w:eastAsia="標楷體" w:hAnsi="標楷體" w:hint="eastAsia"/>
          <w:b/>
          <w:sz w:val="28"/>
          <w:szCs w:val="24"/>
        </w:rPr>
        <w:t>、</w:t>
      </w:r>
      <w:r w:rsidR="00F21177" w:rsidRPr="0063715A">
        <w:rPr>
          <w:rFonts w:ascii="標楷體" w:eastAsia="標楷體" w:hAnsi="標楷體" w:hint="eastAsia"/>
          <w:b/>
          <w:sz w:val="28"/>
          <w:szCs w:val="24"/>
        </w:rPr>
        <w:t>要保人所在行政區域</w:t>
      </w:r>
      <w:r w:rsidR="003625A3">
        <w:rPr>
          <w:rFonts w:ascii="標楷體" w:eastAsia="標楷體" w:hAnsi="標楷體" w:hint="eastAsia"/>
          <w:b/>
          <w:sz w:val="28"/>
          <w:szCs w:val="24"/>
        </w:rPr>
        <w:t>與年收入</w:t>
      </w:r>
      <w:r w:rsidR="00104B0A">
        <w:rPr>
          <w:rFonts w:ascii="標楷體" w:eastAsia="標楷體" w:hAnsi="標楷體" w:hint="eastAsia"/>
          <w:b/>
          <w:sz w:val="28"/>
          <w:szCs w:val="24"/>
        </w:rPr>
        <w:t>分佈</w:t>
      </w:r>
      <w:r w:rsidR="00721E83">
        <w:rPr>
          <w:rFonts w:ascii="標楷體" w:eastAsia="標楷體" w:hAnsi="標楷體" w:hint="eastAsia"/>
          <w:b/>
          <w:sz w:val="28"/>
          <w:szCs w:val="24"/>
        </w:rPr>
        <w:t>之交叉分析</w:t>
      </w:r>
    </w:p>
    <w:p w14:paraId="0CD82BAF" w14:textId="77777777" w:rsidR="00F6396C" w:rsidRPr="00492F56" w:rsidRDefault="00373C8B" w:rsidP="00954C07">
      <w:pPr>
        <w:spacing w:line="360" w:lineRule="auto"/>
        <w:jc w:val="both"/>
        <w:rPr>
          <w:rFonts w:ascii="標楷體" w:eastAsia="標楷體" w:hAnsi="標楷體"/>
          <w:b/>
        </w:rPr>
      </w:pPr>
      <w:r w:rsidRPr="00492F56">
        <w:rPr>
          <w:rFonts w:ascii="標楷體" w:eastAsia="標楷體" w:hAnsi="標楷體" w:hint="eastAsia"/>
          <w:b/>
        </w:rPr>
        <w:t>一、</w:t>
      </w:r>
      <w:r w:rsidR="00F6396C" w:rsidRPr="00492F56">
        <w:rPr>
          <w:rFonts w:ascii="標楷體" w:eastAsia="標楷體" w:hAnsi="標楷體" w:hint="eastAsia"/>
          <w:b/>
        </w:rPr>
        <w:t>前言：</w:t>
      </w:r>
    </w:p>
    <w:p w14:paraId="5C10957D" w14:textId="6CEEFCDA" w:rsidR="00F6396C" w:rsidRPr="00373C8B" w:rsidRDefault="00F6396C" w:rsidP="00692AAC">
      <w:pPr>
        <w:spacing w:line="360" w:lineRule="auto"/>
        <w:ind w:leftChars="236" w:left="566"/>
        <w:jc w:val="both"/>
        <w:rPr>
          <w:rFonts w:ascii="標楷體" w:eastAsia="標楷體" w:hAnsi="標楷體"/>
        </w:rPr>
      </w:pPr>
      <w:r w:rsidRPr="00F6396C">
        <w:rPr>
          <w:rFonts w:ascii="標楷體" w:eastAsia="標楷體" w:hAnsi="標楷體" w:hint="eastAsia"/>
        </w:rPr>
        <w:t>截至</w:t>
      </w:r>
      <w:r w:rsidRPr="00660918">
        <w:rPr>
          <w:rFonts w:ascii="標楷體" w:eastAsia="標楷體" w:hAnsi="標楷體" w:hint="eastAsia"/>
          <w:color w:val="FF0000"/>
        </w:rPr>
        <w:t>10</w:t>
      </w:r>
      <w:r w:rsidR="00954C07">
        <w:rPr>
          <w:rFonts w:ascii="標楷體" w:eastAsia="標楷體" w:hAnsi="標楷體" w:hint="eastAsia"/>
          <w:color w:val="FF0000"/>
        </w:rPr>
        <w:t>9</w:t>
      </w:r>
      <w:r w:rsidRPr="00660918">
        <w:rPr>
          <w:rFonts w:ascii="標楷體" w:eastAsia="標楷體" w:hAnsi="標楷體" w:hint="eastAsia"/>
          <w:color w:val="FF0000"/>
        </w:rPr>
        <w:t>年</w:t>
      </w:r>
      <w:r w:rsidR="00954C07">
        <w:rPr>
          <w:rFonts w:ascii="標楷體" w:eastAsia="標楷體" w:hAnsi="標楷體" w:hint="eastAsia"/>
          <w:color w:val="FF0000"/>
        </w:rPr>
        <w:t>6</w:t>
      </w:r>
      <w:r w:rsidR="00E93140">
        <w:rPr>
          <w:rFonts w:ascii="標楷體" w:eastAsia="標楷體" w:hAnsi="標楷體" w:hint="eastAsia"/>
          <w:color w:val="FF0000"/>
        </w:rPr>
        <w:t>月</w:t>
      </w:r>
      <w:r w:rsidRPr="00660918">
        <w:rPr>
          <w:rFonts w:ascii="標楷體" w:eastAsia="標楷體" w:hAnsi="標楷體" w:hint="eastAsia"/>
          <w:color w:val="FF0000"/>
        </w:rPr>
        <w:t>底</w:t>
      </w:r>
      <w:r w:rsidR="00B952AB">
        <w:rPr>
          <w:rFonts w:ascii="標楷體" w:eastAsia="標楷體" w:hAnsi="標楷體" w:hint="eastAsia"/>
        </w:rPr>
        <w:t>（以下皆以此一時點之資料作為分析對象）</w:t>
      </w:r>
      <w:r w:rsidRPr="00F6396C">
        <w:rPr>
          <w:rFonts w:ascii="標楷體" w:eastAsia="標楷體" w:hAnsi="標楷體" w:hint="eastAsia"/>
        </w:rPr>
        <w:t>，壽險業長期</w:t>
      </w:r>
      <w:r w:rsidR="00AD0B64">
        <w:rPr>
          <w:rFonts w:ascii="標楷體" w:eastAsia="標楷體" w:hAnsi="標楷體" w:hint="eastAsia"/>
        </w:rPr>
        <w:t>照顧</w:t>
      </w:r>
      <w:r w:rsidRPr="00F6396C">
        <w:rPr>
          <w:rFonts w:ascii="標楷體" w:eastAsia="標楷體" w:hAnsi="標楷體" w:hint="eastAsia"/>
        </w:rPr>
        <w:t>保險有效契約達</w:t>
      </w:r>
      <w:r w:rsidR="00104B0A">
        <w:rPr>
          <w:rFonts w:ascii="標楷體" w:eastAsia="標楷體" w:hAnsi="標楷體" w:hint="eastAsia"/>
          <w:color w:val="FF0000"/>
        </w:rPr>
        <w:t>7</w:t>
      </w:r>
      <w:r w:rsidR="00954C07">
        <w:rPr>
          <w:rFonts w:ascii="標楷體" w:eastAsia="標楷體" w:hAnsi="標楷體" w:hint="eastAsia"/>
          <w:color w:val="FF0000"/>
        </w:rPr>
        <w:t>5</w:t>
      </w:r>
      <w:r w:rsidRPr="00660918">
        <w:rPr>
          <w:rFonts w:ascii="標楷體" w:eastAsia="標楷體" w:hAnsi="標楷體" w:hint="eastAsia"/>
          <w:color w:val="FF0000"/>
        </w:rPr>
        <w:t>萬</w:t>
      </w:r>
      <w:r w:rsidR="00954C07">
        <w:rPr>
          <w:rFonts w:ascii="標楷體" w:eastAsia="標楷體" w:hAnsi="標楷體" w:hint="eastAsia"/>
          <w:color w:val="FF0000"/>
        </w:rPr>
        <w:t>8</w:t>
      </w:r>
      <w:r w:rsidR="00104B0A">
        <w:rPr>
          <w:rFonts w:ascii="標楷體" w:eastAsia="標楷體" w:hAnsi="標楷體"/>
          <w:color w:val="FF0000"/>
        </w:rPr>
        <w:t>,</w:t>
      </w:r>
      <w:r w:rsidR="00954C07">
        <w:rPr>
          <w:rFonts w:ascii="標楷體" w:eastAsia="標楷體" w:hAnsi="標楷體" w:hint="eastAsia"/>
          <w:color w:val="FF0000"/>
        </w:rPr>
        <w:t>506</w:t>
      </w:r>
      <w:r w:rsidRPr="00660918">
        <w:rPr>
          <w:rFonts w:ascii="標楷體" w:eastAsia="標楷體" w:hAnsi="標楷體" w:hint="eastAsia"/>
          <w:color w:val="FF0000"/>
        </w:rPr>
        <w:t>件</w:t>
      </w:r>
      <w:r w:rsidR="00A70845" w:rsidRPr="00DF7219">
        <w:rPr>
          <w:rFonts w:ascii="標楷體" w:eastAsia="標楷體" w:hAnsi="標楷體" w:hint="eastAsia"/>
          <w:color w:val="FF0000"/>
        </w:rPr>
        <w:t>，</w:t>
      </w:r>
      <w:r w:rsidR="00954C07">
        <w:rPr>
          <w:rFonts w:ascii="標楷體" w:eastAsia="標楷體" w:hAnsi="標楷體" w:hint="eastAsia"/>
          <w:color w:val="FF0000"/>
        </w:rPr>
        <w:t>當年度</w:t>
      </w:r>
      <w:r w:rsidR="00A70845" w:rsidRPr="00DF7219">
        <w:rPr>
          <w:rFonts w:ascii="標楷體" w:eastAsia="標楷體" w:hAnsi="標楷體" w:hint="eastAsia"/>
          <w:color w:val="FF0000"/>
        </w:rPr>
        <w:t>新契約達</w:t>
      </w:r>
      <w:r w:rsidR="00954C07">
        <w:rPr>
          <w:rFonts w:ascii="標楷體" w:eastAsia="標楷體" w:hAnsi="標楷體" w:hint="eastAsia"/>
          <w:color w:val="FF0000"/>
        </w:rPr>
        <w:t>5</w:t>
      </w:r>
      <w:r w:rsidR="00A70845" w:rsidRPr="00DF7219">
        <w:rPr>
          <w:rFonts w:ascii="標楷體" w:eastAsia="標楷體" w:hAnsi="標楷體" w:hint="eastAsia"/>
          <w:color w:val="FF0000"/>
        </w:rPr>
        <w:t>萬</w:t>
      </w:r>
      <w:r w:rsidR="00954C07">
        <w:rPr>
          <w:rFonts w:ascii="標楷體" w:eastAsia="標楷體" w:hAnsi="標楷體" w:hint="eastAsia"/>
          <w:color w:val="FF0000"/>
        </w:rPr>
        <w:t>2</w:t>
      </w:r>
      <w:r w:rsidR="00A70845" w:rsidRPr="00DF7219">
        <w:rPr>
          <w:rFonts w:ascii="標楷體" w:eastAsia="標楷體" w:hAnsi="標楷體"/>
          <w:color w:val="FF0000"/>
        </w:rPr>
        <w:t>,</w:t>
      </w:r>
      <w:r w:rsidR="00954C07">
        <w:rPr>
          <w:rFonts w:ascii="標楷體" w:eastAsia="標楷體" w:hAnsi="標楷體" w:hint="eastAsia"/>
          <w:color w:val="FF0000"/>
        </w:rPr>
        <w:t>373</w:t>
      </w:r>
      <w:r w:rsidR="00A70845" w:rsidRPr="00DF7219">
        <w:rPr>
          <w:rFonts w:ascii="標楷體" w:eastAsia="標楷體" w:hAnsi="標楷體" w:hint="eastAsia"/>
          <w:color w:val="FF0000"/>
        </w:rPr>
        <w:t>件</w:t>
      </w:r>
      <w:r w:rsidRPr="00F6396C">
        <w:rPr>
          <w:rFonts w:ascii="標楷體" w:eastAsia="標楷體" w:hAnsi="標楷體" w:hint="eastAsia"/>
        </w:rPr>
        <w:t>，</w:t>
      </w:r>
      <w:r w:rsidR="00B952AB">
        <w:rPr>
          <w:rFonts w:ascii="標楷體" w:eastAsia="標楷體" w:hAnsi="標楷體" w:hint="eastAsia"/>
        </w:rPr>
        <w:t>本文</w:t>
      </w:r>
      <w:r w:rsidRPr="00F6396C">
        <w:rPr>
          <w:rFonts w:ascii="標楷體" w:eastAsia="標楷體" w:hAnsi="標楷體" w:hint="eastAsia"/>
        </w:rPr>
        <w:t>將以</w:t>
      </w:r>
      <w:r w:rsidR="00B952AB">
        <w:rPr>
          <w:rFonts w:ascii="標楷體" w:eastAsia="標楷體" w:hAnsi="標楷體" w:hint="eastAsia"/>
        </w:rPr>
        <w:t>被保險人的性別</w:t>
      </w:r>
      <w:r w:rsidR="00062D55">
        <w:rPr>
          <w:rFonts w:ascii="標楷體" w:eastAsia="標楷體" w:hAnsi="標楷體" w:hint="eastAsia"/>
        </w:rPr>
        <w:t>、</w:t>
      </w:r>
      <w:r w:rsidR="00B952AB">
        <w:rPr>
          <w:rFonts w:ascii="標楷體" w:eastAsia="標楷體" w:hAnsi="標楷體" w:hint="eastAsia"/>
        </w:rPr>
        <w:t>年齡</w:t>
      </w:r>
      <w:r w:rsidR="00DF7219">
        <w:rPr>
          <w:rFonts w:ascii="標楷體" w:eastAsia="標楷體" w:hAnsi="標楷體" w:hint="eastAsia"/>
        </w:rPr>
        <w:t>、</w:t>
      </w:r>
      <w:r w:rsidR="00062D55" w:rsidRPr="00062D55">
        <w:rPr>
          <w:rFonts w:ascii="標楷體" w:eastAsia="標楷體" w:hAnsi="標楷體" w:hint="eastAsia"/>
        </w:rPr>
        <w:t>要保人所在行政區域</w:t>
      </w:r>
      <w:r w:rsidR="00DF7219">
        <w:rPr>
          <w:rFonts w:ascii="標楷體" w:eastAsia="標楷體" w:hAnsi="標楷體" w:hint="eastAsia"/>
        </w:rPr>
        <w:t>與年收入分佈</w:t>
      </w:r>
      <w:r w:rsidR="00B952AB">
        <w:rPr>
          <w:rFonts w:ascii="標楷體" w:eastAsia="標楷體" w:hAnsi="標楷體" w:hint="eastAsia"/>
        </w:rPr>
        <w:t>，對前述有效契約進行分析</w:t>
      </w:r>
      <w:r w:rsidR="00403D3D">
        <w:rPr>
          <w:rFonts w:ascii="標楷體" w:eastAsia="標楷體" w:hAnsi="標楷體" w:hint="eastAsia"/>
        </w:rPr>
        <w:t>。</w:t>
      </w:r>
    </w:p>
    <w:p w14:paraId="0343D01A" w14:textId="77777777" w:rsidR="00F6396C" w:rsidRPr="00492F56" w:rsidRDefault="00373C8B" w:rsidP="00692AAC">
      <w:pPr>
        <w:spacing w:line="360" w:lineRule="auto"/>
        <w:jc w:val="both"/>
        <w:rPr>
          <w:rFonts w:ascii="標楷體" w:eastAsia="標楷體" w:hAnsi="標楷體"/>
          <w:b/>
        </w:rPr>
      </w:pPr>
      <w:r w:rsidRPr="00492F56">
        <w:rPr>
          <w:rFonts w:ascii="標楷體" w:eastAsia="標楷體" w:hAnsi="標楷體" w:hint="eastAsia"/>
          <w:b/>
        </w:rPr>
        <w:t>二、</w:t>
      </w:r>
      <w:r w:rsidR="00F6396C" w:rsidRPr="00492F56">
        <w:rPr>
          <w:rFonts w:ascii="標楷體" w:eastAsia="標楷體" w:hAnsi="標楷體" w:hint="eastAsia"/>
          <w:b/>
        </w:rPr>
        <w:t>性別分</w:t>
      </w:r>
      <w:r w:rsidR="00855FBA">
        <w:rPr>
          <w:rFonts w:ascii="標楷體" w:eastAsia="標楷體" w:hAnsi="標楷體" w:hint="eastAsia"/>
          <w:b/>
        </w:rPr>
        <w:t>佈</w:t>
      </w:r>
      <w:r w:rsidR="00F6396C" w:rsidRPr="00492F56">
        <w:rPr>
          <w:rFonts w:ascii="標楷體" w:eastAsia="標楷體" w:hAnsi="標楷體" w:hint="eastAsia"/>
          <w:b/>
        </w:rPr>
        <w:t>：</w:t>
      </w:r>
    </w:p>
    <w:p w14:paraId="5B933A4E" w14:textId="5CDDDBF4" w:rsidR="00946046" w:rsidRPr="009656F1" w:rsidRDefault="00F6396C" w:rsidP="009656F1">
      <w:pPr>
        <w:spacing w:line="360" w:lineRule="auto"/>
        <w:ind w:leftChars="236" w:left="566"/>
        <w:jc w:val="both"/>
        <w:rPr>
          <w:rFonts w:ascii="標楷體" w:eastAsia="標楷體" w:hAnsi="標楷體"/>
          <w:color w:val="FF0000"/>
        </w:rPr>
      </w:pPr>
      <w:r>
        <w:rPr>
          <w:rFonts w:ascii="標楷體" w:eastAsia="標楷體" w:hAnsi="標楷體" w:hint="eastAsia"/>
        </w:rPr>
        <w:t>在整體有效契約中（</w:t>
      </w:r>
      <w:r w:rsidR="009656F1">
        <w:rPr>
          <w:rFonts w:ascii="標楷體" w:eastAsia="標楷體" w:hAnsi="標楷體" w:hint="eastAsia"/>
          <w:color w:val="FF0000"/>
        </w:rPr>
        <w:t>75</w:t>
      </w:r>
      <w:r w:rsidR="009656F1" w:rsidRPr="00660918">
        <w:rPr>
          <w:rFonts w:ascii="標楷體" w:eastAsia="標楷體" w:hAnsi="標楷體" w:hint="eastAsia"/>
          <w:color w:val="FF0000"/>
        </w:rPr>
        <w:t>萬</w:t>
      </w:r>
      <w:r w:rsidR="009656F1">
        <w:rPr>
          <w:rFonts w:ascii="標楷體" w:eastAsia="標楷體" w:hAnsi="標楷體" w:hint="eastAsia"/>
          <w:color w:val="FF0000"/>
        </w:rPr>
        <w:t>8</w:t>
      </w:r>
      <w:r w:rsidR="009656F1">
        <w:rPr>
          <w:rFonts w:ascii="標楷體" w:eastAsia="標楷體" w:hAnsi="標楷體"/>
          <w:color w:val="FF0000"/>
        </w:rPr>
        <w:t>,</w:t>
      </w:r>
      <w:r w:rsidR="009656F1">
        <w:rPr>
          <w:rFonts w:ascii="標楷體" w:eastAsia="標楷體" w:hAnsi="標楷體" w:hint="eastAsia"/>
          <w:color w:val="FF0000"/>
        </w:rPr>
        <w:t>506</w:t>
      </w:r>
      <w:r w:rsidR="009656F1" w:rsidRPr="00660918">
        <w:rPr>
          <w:rFonts w:ascii="標楷體" w:eastAsia="標楷體" w:hAnsi="標楷體" w:hint="eastAsia"/>
          <w:color w:val="FF0000"/>
        </w:rPr>
        <w:t>件</w:t>
      </w:r>
      <w:r>
        <w:rPr>
          <w:rFonts w:ascii="標楷體" w:eastAsia="標楷體" w:hAnsi="標楷體" w:hint="eastAsia"/>
        </w:rPr>
        <w:t>），</w:t>
      </w:r>
      <w:r w:rsidR="00147199" w:rsidRPr="00766F27">
        <w:rPr>
          <w:rFonts w:ascii="標楷體" w:eastAsia="標楷體" w:hAnsi="標楷體" w:hint="eastAsia"/>
        </w:rPr>
        <w:t>被保險人</w:t>
      </w:r>
      <w:r>
        <w:rPr>
          <w:rFonts w:ascii="標楷體" w:eastAsia="標楷體" w:hAnsi="標楷體" w:hint="eastAsia"/>
        </w:rPr>
        <w:t>為男性者</w:t>
      </w:r>
      <w:r w:rsidR="004F3435">
        <w:rPr>
          <w:rFonts w:ascii="標楷體" w:eastAsia="標楷體" w:hAnsi="標楷體" w:hint="eastAsia"/>
        </w:rPr>
        <w:t>占</w:t>
      </w:r>
      <w:r w:rsidR="00A01722" w:rsidRPr="00C55DBF">
        <w:rPr>
          <w:rFonts w:ascii="標楷體" w:eastAsia="標楷體" w:hAnsi="標楷體"/>
          <w:color w:val="FF0000"/>
        </w:rPr>
        <w:t>45.</w:t>
      </w:r>
      <w:r w:rsidR="009656F1">
        <w:rPr>
          <w:rFonts w:ascii="標楷體" w:eastAsia="標楷體" w:hAnsi="標楷體" w:hint="eastAsia"/>
          <w:color w:val="FF0000"/>
        </w:rPr>
        <w:t>51</w:t>
      </w:r>
      <w:r w:rsidR="00147199" w:rsidRPr="00C55DBF">
        <w:rPr>
          <w:rFonts w:ascii="標楷體" w:eastAsia="標楷體" w:hAnsi="標楷體" w:hint="eastAsia"/>
          <w:color w:val="FF0000"/>
        </w:rPr>
        <w:t>%</w:t>
      </w:r>
      <w:r w:rsidR="00147199" w:rsidRPr="00766F27">
        <w:rPr>
          <w:rFonts w:ascii="標楷體" w:eastAsia="標楷體" w:hAnsi="標楷體" w:hint="eastAsia"/>
        </w:rPr>
        <w:t>、</w:t>
      </w:r>
      <w:r>
        <w:rPr>
          <w:rFonts w:ascii="標楷體" w:eastAsia="標楷體" w:hAnsi="標楷體" w:hint="eastAsia"/>
        </w:rPr>
        <w:t>被保險人為</w:t>
      </w:r>
      <w:r w:rsidR="00147199" w:rsidRPr="00766F27">
        <w:rPr>
          <w:rFonts w:ascii="標楷體" w:eastAsia="標楷體" w:hAnsi="標楷體" w:hint="eastAsia"/>
        </w:rPr>
        <w:t>女性</w:t>
      </w:r>
      <w:r>
        <w:rPr>
          <w:rFonts w:ascii="標楷體" w:eastAsia="標楷體" w:hAnsi="標楷體" w:hint="eastAsia"/>
        </w:rPr>
        <w:t>者占</w:t>
      </w:r>
      <w:r w:rsidR="00A01722" w:rsidRPr="00C55DBF">
        <w:rPr>
          <w:rFonts w:ascii="標楷體" w:eastAsia="標楷體" w:hAnsi="標楷體"/>
          <w:color w:val="FF0000"/>
        </w:rPr>
        <w:t>54.</w:t>
      </w:r>
      <w:r w:rsidR="009656F1">
        <w:rPr>
          <w:rFonts w:ascii="標楷體" w:eastAsia="標楷體" w:hAnsi="標楷體" w:hint="eastAsia"/>
          <w:color w:val="FF0000"/>
        </w:rPr>
        <w:t>49</w:t>
      </w:r>
      <w:r w:rsidR="006D2013" w:rsidRPr="00C55DBF">
        <w:rPr>
          <w:rFonts w:ascii="標楷體" w:eastAsia="標楷體" w:hAnsi="標楷體"/>
          <w:color w:val="FF0000"/>
        </w:rPr>
        <w:t>%</w:t>
      </w:r>
      <w:r w:rsidR="004546B4" w:rsidRPr="00C55DBF">
        <w:rPr>
          <w:rFonts w:ascii="標楷體" w:eastAsia="標楷體" w:hAnsi="標楷體" w:hint="eastAsia"/>
        </w:rPr>
        <w:t>（</w:t>
      </w:r>
      <w:r w:rsidR="004546B4" w:rsidRPr="00C55DBF">
        <w:rPr>
          <w:rFonts w:ascii="標楷體" w:eastAsia="標楷體" w:hAnsi="標楷體" w:hint="eastAsia"/>
          <w:color w:val="FF0000"/>
        </w:rPr>
        <w:t>圖</w:t>
      </w:r>
      <w:r w:rsidRPr="00C55DBF">
        <w:rPr>
          <w:rFonts w:ascii="標楷體" w:eastAsia="標楷體" w:hAnsi="標楷體" w:hint="eastAsia"/>
          <w:color w:val="FF0000"/>
        </w:rPr>
        <w:t>1</w:t>
      </w:r>
      <w:r w:rsidR="004546B4" w:rsidRPr="00C55DBF">
        <w:rPr>
          <w:rFonts w:ascii="標楷體" w:eastAsia="標楷體" w:hAnsi="標楷體" w:hint="eastAsia"/>
        </w:rPr>
        <w:t>）</w:t>
      </w:r>
      <w:r w:rsidR="00613776" w:rsidRPr="00766F27">
        <w:rPr>
          <w:rFonts w:ascii="標楷體" w:eastAsia="標楷體" w:hAnsi="標楷體" w:hint="eastAsia"/>
        </w:rPr>
        <w:t>，顯示女性</w:t>
      </w:r>
      <w:r w:rsidR="00147199" w:rsidRPr="00766F27">
        <w:rPr>
          <w:rFonts w:ascii="標楷體" w:eastAsia="標楷體" w:hAnsi="標楷體" w:hint="eastAsia"/>
        </w:rPr>
        <w:t>對於長期</w:t>
      </w:r>
      <w:r w:rsidR="00AD0B64">
        <w:rPr>
          <w:rFonts w:ascii="標楷體" w:eastAsia="標楷體" w:hAnsi="標楷體" w:hint="eastAsia"/>
        </w:rPr>
        <w:t>照顧</w:t>
      </w:r>
      <w:r w:rsidR="00147199" w:rsidRPr="00766F27">
        <w:rPr>
          <w:rFonts w:ascii="標楷體" w:eastAsia="標楷體" w:hAnsi="標楷體" w:hint="eastAsia"/>
        </w:rPr>
        <w:t>保險之需求略</w:t>
      </w:r>
      <w:r w:rsidR="00CE45C9">
        <w:rPr>
          <w:rFonts w:ascii="標楷體" w:eastAsia="標楷體" w:hAnsi="標楷體" w:hint="eastAsia"/>
        </w:rPr>
        <w:t>高於男性，此可能與國人女性平均壽命高於男性，相對重視長期</w:t>
      </w:r>
      <w:r w:rsidR="00AD0B64">
        <w:rPr>
          <w:rFonts w:ascii="標楷體" w:eastAsia="標楷體" w:hAnsi="標楷體" w:hint="eastAsia"/>
        </w:rPr>
        <w:t>照顧</w:t>
      </w:r>
      <w:r w:rsidR="00147199" w:rsidRPr="00766F27">
        <w:rPr>
          <w:rFonts w:ascii="標楷體" w:eastAsia="標楷體" w:hAnsi="標楷體" w:hint="eastAsia"/>
        </w:rPr>
        <w:t>需求之</w:t>
      </w:r>
      <w:r w:rsidR="0043409D">
        <w:rPr>
          <w:rFonts w:ascii="標楷體" w:eastAsia="標楷體" w:hAnsi="標楷體" w:hint="eastAsia"/>
        </w:rPr>
        <w:t>規劃</w:t>
      </w:r>
      <w:r w:rsidR="00147199" w:rsidRPr="00766F27">
        <w:rPr>
          <w:rFonts w:ascii="標楷體" w:eastAsia="標楷體" w:hAnsi="標楷體" w:hint="eastAsia"/>
        </w:rPr>
        <w:t>有關</w:t>
      </w:r>
      <w:r w:rsidR="00766F27" w:rsidRPr="00766F27">
        <w:rPr>
          <w:rFonts w:ascii="標楷體" w:eastAsia="標楷體" w:hAnsi="標楷體" w:hint="eastAsia"/>
        </w:rPr>
        <w:t>。</w:t>
      </w:r>
      <w:r w:rsidR="004546B4">
        <w:rPr>
          <w:rFonts w:ascii="標楷體" w:eastAsia="標楷體" w:hAnsi="標楷體" w:hint="eastAsia"/>
        </w:rPr>
        <w:t>若進一步以</w:t>
      </w:r>
      <w:r w:rsidR="00EF1427">
        <w:rPr>
          <w:rFonts w:ascii="標楷體" w:eastAsia="標楷體" w:hAnsi="標楷體" w:hint="eastAsia"/>
        </w:rPr>
        <w:t>要</w:t>
      </w:r>
      <w:r w:rsidR="004546B4">
        <w:rPr>
          <w:rFonts w:ascii="標楷體" w:eastAsia="標楷體" w:hAnsi="標楷體" w:hint="eastAsia"/>
        </w:rPr>
        <w:t>保人與被保險人為同一人之案件（為自己投保）</w:t>
      </w:r>
      <w:r w:rsidR="009656F1">
        <w:rPr>
          <w:rFonts w:ascii="標楷體" w:eastAsia="標楷體" w:hAnsi="標楷體" w:hint="eastAsia"/>
        </w:rPr>
        <w:t xml:space="preserve"> </w:t>
      </w:r>
      <w:r w:rsidR="004546B4">
        <w:rPr>
          <w:rFonts w:ascii="標楷體" w:eastAsia="標楷體" w:hAnsi="標楷體" w:hint="eastAsia"/>
        </w:rPr>
        <w:t>（</w:t>
      </w:r>
      <w:r w:rsidR="000F3D61" w:rsidRPr="009656F1">
        <w:rPr>
          <w:rFonts w:ascii="標楷體" w:eastAsia="標楷體" w:hAnsi="標楷體" w:hint="eastAsia"/>
          <w:color w:val="FF0000"/>
        </w:rPr>
        <w:t>共</w:t>
      </w:r>
      <w:r w:rsidR="00C74536" w:rsidRPr="00124FD4">
        <w:rPr>
          <w:rFonts w:ascii="標楷體" w:eastAsia="標楷體" w:hAnsi="標楷體" w:hint="eastAsia"/>
          <w:color w:val="FF0000"/>
        </w:rPr>
        <w:t>5</w:t>
      </w:r>
      <w:r w:rsidR="009656F1">
        <w:rPr>
          <w:rFonts w:ascii="標楷體" w:eastAsia="標楷體" w:hAnsi="標楷體" w:hint="eastAsia"/>
          <w:color w:val="FF0000"/>
        </w:rPr>
        <w:t>8</w:t>
      </w:r>
      <w:r w:rsidR="000F3D61" w:rsidRPr="00124FD4">
        <w:rPr>
          <w:rFonts w:ascii="標楷體" w:eastAsia="標楷體" w:hAnsi="標楷體" w:hint="eastAsia"/>
          <w:color w:val="FF0000"/>
        </w:rPr>
        <w:t>萬</w:t>
      </w:r>
      <w:r w:rsidR="009656F1">
        <w:rPr>
          <w:rFonts w:ascii="標楷體" w:eastAsia="標楷體" w:hAnsi="標楷體" w:hint="eastAsia"/>
          <w:color w:val="FF0000"/>
        </w:rPr>
        <w:t>3,</w:t>
      </w:r>
      <w:r w:rsidR="009656F1">
        <w:rPr>
          <w:rFonts w:ascii="標楷體" w:eastAsia="標楷體" w:hAnsi="標楷體"/>
          <w:color w:val="FF0000"/>
        </w:rPr>
        <w:t>705</w:t>
      </w:r>
      <w:r w:rsidR="000F3D61" w:rsidRPr="00124FD4">
        <w:rPr>
          <w:rFonts w:ascii="標楷體" w:eastAsia="標楷體" w:hAnsi="標楷體" w:hint="eastAsia"/>
          <w:color w:val="FF0000"/>
        </w:rPr>
        <w:t>件</w:t>
      </w:r>
      <w:r w:rsidR="009656F1">
        <w:rPr>
          <w:rFonts w:ascii="標楷體" w:eastAsia="標楷體" w:hAnsi="標楷體" w:hint="eastAsia"/>
          <w:color w:val="FF0000"/>
        </w:rPr>
        <w:t>為整體長期照顧保險有效契約的77%</w:t>
      </w:r>
      <w:r w:rsidR="004546B4">
        <w:rPr>
          <w:rFonts w:ascii="標楷體" w:eastAsia="標楷體" w:hAnsi="標楷體" w:hint="eastAsia"/>
        </w:rPr>
        <w:t>）為母體進行</w:t>
      </w:r>
      <w:r w:rsidR="00EF1427">
        <w:rPr>
          <w:rFonts w:ascii="標楷體" w:eastAsia="標楷體" w:hAnsi="標楷體" w:hint="eastAsia"/>
        </w:rPr>
        <w:t>購買者</w:t>
      </w:r>
      <w:r w:rsidR="004546B4">
        <w:rPr>
          <w:rFonts w:ascii="標楷體" w:eastAsia="標楷體" w:hAnsi="標楷體" w:hint="eastAsia"/>
        </w:rPr>
        <w:t>分析，則此一比率將變為</w:t>
      </w:r>
      <w:r w:rsidR="00B47A5A" w:rsidRPr="00B47A5A">
        <w:rPr>
          <w:rFonts w:ascii="標楷體" w:eastAsia="標楷體" w:hAnsi="標楷體"/>
          <w:color w:val="FF0000"/>
        </w:rPr>
        <w:t>3</w:t>
      </w:r>
      <w:r w:rsidR="00B47A5A" w:rsidRPr="00B47A5A">
        <w:rPr>
          <w:rFonts w:ascii="標楷體" w:eastAsia="標楷體" w:hAnsi="標楷體" w:hint="eastAsia"/>
          <w:color w:val="FF0000"/>
        </w:rPr>
        <w:t>9.</w:t>
      </w:r>
      <w:r w:rsidR="003005B2">
        <w:rPr>
          <w:rFonts w:ascii="標楷體" w:eastAsia="標楷體" w:hAnsi="標楷體" w:hint="eastAsia"/>
          <w:color w:val="FF0000"/>
        </w:rPr>
        <w:t>72</w:t>
      </w:r>
      <w:r w:rsidR="00EB047A" w:rsidRPr="00B47A5A">
        <w:rPr>
          <w:rFonts w:ascii="標楷體" w:eastAsia="標楷體" w:hAnsi="標楷體"/>
          <w:color w:val="FF0000"/>
        </w:rPr>
        <w:t>%</w:t>
      </w:r>
      <w:r w:rsidR="004546B4" w:rsidRPr="00B47A5A">
        <w:rPr>
          <w:rFonts w:ascii="標楷體" w:eastAsia="標楷體" w:hAnsi="標楷體" w:hint="eastAsia"/>
          <w:color w:val="FF0000"/>
        </w:rPr>
        <w:t>、</w:t>
      </w:r>
      <w:r w:rsidR="00B47A5A" w:rsidRPr="00B47A5A">
        <w:rPr>
          <w:rFonts w:ascii="標楷體" w:eastAsia="標楷體" w:hAnsi="標楷體"/>
          <w:color w:val="FF0000"/>
        </w:rPr>
        <w:t>6</w:t>
      </w:r>
      <w:r w:rsidR="00B47A5A" w:rsidRPr="00B47A5A">
        <w:rPr>
          <w:rFonts w:ascii="標楷體" w:eastAsia="標楷體" w:hAnsi="標楷體" w:hint="eastAsia"/>
          <w:color w:val="FF0000"/>
        </w:rPr>
        <w:t>0.</w:t>
      </w:r>
      <w:r w:rsidR="003005B2">
        <w:rPr>
          <w:rFonts w:ascii="標楷體" w:eastAsia="標楷體" w:hAnsi="標楷體" w:hint="eastAsia"/>
          <w:color w:val="FF0000"/>
        </w:rPr>
        <w:t>28</w:t>
      </w:r>
      <w:r w:rsidR="00EB047A" w:rsidRPr="00B47A5A">
        <w:rPr>
          <w:rFonts w:ascii="標楷體" w:eastAsia="標楷體" w:hAnsi="標楷體"/>
          <w:color w:val="FF0000"/>
        </w:rPr>
        <w:t>%</w:t>
      </w:r>
      <w:r w:rsidR="004546B4" w:rsidRPr="00B47A5A">
        <w:rPr>
          <w:rFonts w:ascii="標楷體" w:eastAsia="標楷體" w:hAnsi="標楷體" w:hint="eastAsia"/>
        </w:rPr>
        <w:t>（</w:t>
      </w:r>
      <w:r w:rsidR="004546B4" w:rsidRPr="00B47A5A">
        <w:rPr>
          <w:rFonts w:ascii="標楷體" w:eastAsia="標楷體" w:hAnsi="標楷體" w:hint="eastAsia"/>
          <w:color w:val="FF0000"/>
        </w:rPr>
        <w:t>圖2</w:t>
      </w:r>
      <w:r w:rsidR="004546B4" w:rsidRPr="00B47A5A">
        <w:rPr>
          <w:rFonts w:ascii="標楷體" w:eastAsia="標楷體" w:hAnsi="標楷體" w:hint="eastAsia"/>
        </w:rPr>
        <w:t>）</w:t>
      </w:r>
      <w:r w:rsidR="004546B4">
        <w:rPr>
          <w:rFonts w:ascii="標楷體" w:eastAsia="標楷體" w:hAnsi="標楷體" w:hint="eastAsia"/>
        </w:rPr>
        <w:t>，可進一步佐證前述關於女性相對重視長期</w:t>
      </w:r>
      <w:r w:rsidR="00C84B3D">
        <w:rPr>
          <w:rFonts w:ascii="標楷體" w:eastAsia="標楷體" w:hAnsi="標楷體" w:hint="eastAsia"/>
        </w:rPr>
        <w:t>照顧</w:t>
      </w:r>
      <w:r w:rsidR="004546B4">
        <w:rPr>
          <w:rFonts w:ascii="標楷體" w:eastAsia="標楷體" w:hAnsi="標楷體" w:hint="eastAsia"/>
        </w:rPr>
        <w:t>需求之</w:t>
      </w:r>
      <w:r w:rsidR="0043409D">
        <w:rPr>
          <w:rFonts w:ascii="標楷體" w:eastAsia="標楷體" w:hAnsi="標楷體" w:hint="eastAsia"/>
        </w:rPr>
        <w:t>規劃</w:t>
      </w:r>
      <w:r w:rsidR="004546B4">
        <w:rPr>
          <w:rFonts w:ascii="標楷體" w:eastAsia="標楷體" w:hAnsi="標楷體" w:hint="eastAsia"/>
        </w:rPr>
        <w:t>之推論。</w:t>
      </w:r>
    </w:p>
    <w:p w14:paraId="3A309968" w14:textId="1544D666" w:rsidR="004546B4" w:rsidRDefault="003005B2" w:rsidP="00D67CD3">
      <w:pPr>
        <w:jc w:val="center"/>
        <w:rPr>
          <w:rFonts w:ascii="標楷體" w:eastAsia="標楷體" w:hAnsi="標楷體"/>
        </w:rPr>
      </w:pPr>
      <w:r>
        <w:rPr>
          <w:noProof/>
        </w:rPr>
        <w:drawing>
          <wp:inline distT="0" distB="0" distL="0" distR="0" wp14:anchorId="0CE1CE04" wp14:editId="72D505B9">
            <wp:extent cx="5400000" cy="3600000"/>
            <wp:effectExtent l="0" t="0" r="0" b="0"/>
            <wp:docPr id="1" name="圖表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60B792D-9D19-48E9-9E95-514963824D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79F7CE" w14:textId="7B042099" w:rsidR="0005355D" w:rsidRDefault="003005B2" w:rsidP="00763890">
      <w:pPr>
        <w:jc w:val="center"/>
        <w:rPr>
          <w:rFonts w:ascii="標楷體" w:eastAsia="標楷體" w:hAnsi="標楷體"/>
        </w:rPr>
      </w:pPr>
      <w:r>
        <w:rPr>
          <w:noProof/>
        </w:rPr>
        <w:lastRenderedPageBreak/>
        <w:drawing>
          <wp:inline distT="0" distB="0" distL="0" distR="0" wp14:anchorId="71ADD95A" wp14:editId="71496F95">
            <wp:extent cx="5400000" cy="3600000"/>
            <wp:effectExtent l="0" t="0" r="0" b="0"/>
            <wp:docPr id="3" name="圖表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DCCDE07-ADEB-434A-94A8-525B66FA3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6392BA" w14:textId="77777777" w:rsidR="00E24B19" w:rsidRPr="00766F27" w:rsidRDefault="00E24B19" w:rsidP="00E24B19">
      <w:pPr>
        <w:rPr>
          <w:rFonts w:ascii="標楷體" w:eastAsia="標楷體" w:hAnsi="標楷體"/>
        </w:rPr>
      </w:pPr>
    </w:p>
    <w:p w14:paraId="63248F8C" w14:textId="77777777" w:rsidR="004546B4" w:rsidRPr="007B44CD" w:rsidRDefault="00466557" w:rsidP="003005B2">
      <w:pPr>
        <w:spacing w:line="360" w:lineRule="auto"/>
        <w:jc w:val="both"/>
        <w:rPr>
          <w:rFonts w:ascii="標楷體" w:eastAsia="標楷體" w:hAnsi="標楷體"/>
          <w:b/>
        </w:rPr>
      </w:pPr>
      <w:r w:rsidRPr="007B44CD">
        <w:rPr>
          <w:rFonts w:ascii="標楷體" w:eastAsia="標楷體" w:hAnsi="標楷體" w:hint="eastAsia"/>
          <w:b/>
        </w:rPr>
        <w:t>三、年齡分</w:t>
      </w:r>
      <w:r w:rsidR="001323C6">
        <w:rPr>
          <w:rFonts w:ascii="標楷體" w:eastAsia="標楷體" w:hAnsi="標楷體" w:hint="eastAsia"/>
          <w:b/>
        </w:rPr>
        <w:t>佈</w:t>
      </w:r>
      <w:r w:rsidRPr="007B44CD">
        <w:rPr>
          <w:rFonts w:ascii="標楷體" w:eastAsia="標楷體" w:hAnsi="標楷體" w:hint="eastAsia"/>
          <w:b/>
        </w:rPr>
        <w:t>：</w:t>
      </w:r>
    </w:p>
    <w:p w14:paraId="19E0AAC6" w14:textId="48F16CA5" w:rsidR="00024FEA" w:rsidRDefault="00FF4331" w:rsidP="00BC79C0">
      <w:pPr>
        <w:spacing w:line="360" w:lineRule="auto"/>
        <w:ind w:leftChars="236" w:left="566"/>
        <w:jc w:val="both"/>
        <w:rPr>
          <w:rFonts w:ascii="標楷體" w:eastAsia="標楷體" w:hAnsi="標楷體"/>
          <w:color w:val="FF0000"/>
        </w:rPr>
      </w:pPr>
      <w:r>
        <w:rPr>
          <w:rFonts w:ascii="標楷體" w:eastAsia="標楷體" w:hAnsi="標楷體" w:hint="eastAsia"/>
        </w:rPr>
        <w:t>進</w:t>
      </w:r>
      <w:r w:rsidR="00134823" w:rsidRPr="007B44CD">
        <w:rPr>
          <w:rFonts w:ascii="標楷體" w:eastAsia="標楷體" w:hAnsi="標楷體" w:hint="eastAsia"/>
        </w:rPr>
        <w:t>一步瞭解年齡對於長期</w:t>
      </w:r>
      <w:r w:rsidR="00AD0B64" w:rsidRPr="007B44CD">
        <w:rPr>
          <w:rFonts w:ascii="標楷體" w:eastAsia="標楷體" w:hAnsi="標楷體" w:hint="eastAsia"/>
        </w:rPr>
        <w:t>照顧</w:t>
      </w:r>
      <w:r w:rsidR="00134823" w:rsidRPr="007B44CD">
        <w:rPr>
          <w:rFonts w:ascii="標楷體" w:eastAsia="標楷體" w:hAnsi="標楷體" w:hint="eastAsia"/>
        </w:rPr>
        <w:t>保險需求之影響，可以發現</w:t>
      </w:r>
      <w:r w:rsidR="004847E7">
        <w:rPr>
          <w:rFonts w:ascii="標楷體" w:eastAsia="標楷體" w:hAnsi="標楷體" w:hint="eastAsia"/>
        </w:rPr>
        <w:t>男性</w:t>
      </w:r>
      <w:r w:rsidR="00F55906" w:rsidRPr="007B44CD">
        <w:rPr>
          <w:rFonts w:ascii="標楷體" w:eastAsia="標楷體" w:hAnsi="標楷體" w:hint="eastAsia"/>
        </w:rPr>
        <w:t>被保險人之投保年齡主要集中於</w:t>
      </w:r>
      <w:r w:rsidR="004847E7">
        <w:rPr>
          <w:rFonts w:ascii="標楷體" w:eastAsia="標楷體" w:hAnsi="標楷體" w:hint="eastAsia"/>
          <w:color w:val="FF0000"/>
        </w:rPr>
        <w:t>20</w:t>
      </w:r>
      <w:r w:rsidR="00EF1427" w:rsidRPr="007B44CD">
        <w:rPr>
          <w:rFonts w:ascii="標楷體" w:eastAsia="標楷體" w:hAnsi="標楷體" w:hint="eastAsia"/>
          <w:color w:val="FF0000"/>
        </w:rPr>
        <w:t>歲</w:t>
      </w:r>
      <w:r w:rsidR="00F55906" w:rsidRPr="007B44CD">
        <w:rPr>
          <w:rFonts w:ascii="標楷體" w:eastAsia="標楷體" w:hAnsi="標楷體" w:hint="eastAsia"/>
          <w:color w:val="FF0000"/>
        </w:rPr>
        <w:t>到</w:t>
      </w:r>
      <w:r w:rsidR="004847E7">
        <w:rPr>
          <w:rFonts w:ascii="標楷體" w:eastAsia="標楷體" w:hAnsi="標楷體" w:hint="eastAsia"/>
          <w:color w:val="FF0000"/>
        </w:rPr>
        <w:t>3</w:t>
      </w:r>
      <w:r w:rsidR="00F55906" w:rsidRPr="007B44CD">
        <w:rPr>
          <w:rFonts w:ascii="標楷體" w:eastAsia="標楷體" w:hAnsi="標楷體" w:hint="eastAsia"/>
          <w:color w:val="FF0000"/>
        </w:rPr>
        <w:t>9歲</w:t>
      </w:r>
      <w:r w:rsidR="00F55906" w:rsidRPr="007B44CD">
        <w:rPr>
          <w:rFonts w:ascii="標楷體" w:eastAsia="標楷體" w:hAnsi="標楷體" w:hint="eastAsia"/>
        </w:rPr>
        <w:t>這個族群，</w:t>
      </w:r>
      <w:r w:rsidR="0085442A">
        <w:rPr>
          <w:rFonts w:ascii="標楷體" w:eastAsia="標楷體" w:hAnsi="標楷體" w:hint="eastAsia"/>
        </w:rPr>
        <w:t>其男性人數</w:t>
      </w:r>
      <w:r>
        <w:rPr>
          <w:rFonts w:ascii="標楷體" w:eastAsia="標楷體" w:hAnsi="標楷體" w:hint="eastAsia"/>
        </w:rPr>
        <w:t>占</w:t>
      </w:r>
      <w:r w:rsidR="00F55906" w:rsidRPr="007B44CD">
        <w:rPr>
          <w:rFonts w:ascii="標楷體" w:eastAsia="標楷體" w:hAnsi="標楷體" w:hint="eastAsia"/>
        </w:rPr>
        <w:t>男</w:t>
      </w:r>
      <w:r w:rsidR="004847E7">
        <w:rPr>
          <w:rFonts w:ascii="標楷體" w:eastAsia="標楷體" w:hAnsi="標楷體" w:hint="eastAsia"/>
        </w:rPr>
        <w:t>性</w:t>
      </w:r>
      <w:r w:rsidR="00F55906" w:rsidRPr="007B44CD">
        <w:rPr>
          <w:rFonts w:ascii="標楷體" w:eastAsia="標楷體" w:hAnsi="標楷體" w:hint="eastAsia"/>
        </w:rPr>
        <w:t>總被保險人數的</w:t>
      </w:r>
      <w:r w:rsidR="004847E7">
        <w:rPr>
          <w:rFonts w:ascii="標楷體" w:eastAsia="標楷體" w:hAnsi="標楷體" w:hint="eastAsia"/>
          <w:color w:val="FF0000"/>
        </w:rPr>
        <w:t>4</w:t>
      </w:r>
      <w:r w:rsidR="00D011E8">
        <w:rPr>
          <w:rFonts w:ascii="標楷體" w:eastAsia="標楷體" w:hAnsi="標楷體" w:hint="eastAsia"/>
          <w:color w:val="FF0000"/>
        </w:rPr>
        <w:t>7</w:t>
      </w:r>
      <w:r w:rsidR="004847E7">
        <w:rPr>
          <w:rFonts w:ascii="標楷體" w:eastAsia="標楷體" w:hAnsi="標楷體" w:hint="eastAsia"/>
          <w:color w:val="FF0000"/>
        </w:rPr>
        <w:t>.</w:t>
      </w:r>
      <w:r w:rsidR="00D011E8">
        <w:rPr>
          <w:rFonts w:ascii="標楷體" w:eastAsia="標楷體" w:hAnsi="標楷體" w:hint="eastAsia"/>
          <w:color w:val="FF0000"/>
        </w:rPr>
        <w:t>4</w:t>
      </w:r>
      <w:r w:rsidR="004847E7">
        <w:rPr>
          <w:rFonts w:ascii="標楷體" w:eastAsia="標楷體" w:hAnsi="標楷體" w:hint="eastAsia"/>
          <w:color w:val="FF0000"/>
        </w:rPr>
        <w:t>7%</w:t>
      </w:r>
      <w:r w:rsidR="004847E7">
        <w:rPr>
          <w:rFonts w:ascii="標楷體" w:eastAsia="標楷體" w:hAnsi="標楷體"/>
          <w:color w:val="FF0000"/>
        </w:rPr>
        <w:t>;</w:t>
      </w:r>
      <w:r w:rsidR="004847E7">
        <w:rPr>
          <w:rFonts w:ascii="標楷體" w:eastAsia="標楷體" w:hAnsi="標楷體" w:hint="eastAsia"/>
        </w:rPr>
        <w:t>女性</w:t>
      </w:r>
      <w:r w:rsidR="004847E7" w:rsidRPr="007B44CD">
        <w:rPr>
          <w:rFonts w:ascii="標楷體" w:eastAsia="標楷體" w:hAnsi="標楷體" w:hint="eastAsia"/>
        </w:rPr>
        <w:t>被保險人之投保年齡主要集中於</w:t>
      </w:r>
      <w:r w:rsidR="004847E7">
        <w:rPr>
          <w:rFonts w:ascii="標楷體" w:eastAsia="標楷體" w:hAnsi="標楷體" w:hint="eastAsia"/>
          <w:color w:val="FF0000"/>
        </w:rPr>
        <w:t>30</w:t>
      </w:r>
      <w:r w:rsidR="004847E7" w:rsidRPr="007B44CD">
        <w:rPr>
          <w:rFonts w:ascii="標楷體" w:eastAsia="標楷體" w:hAnsi="標楷體" w:hint="eastAsia"/>
          <w:color w:val="FF0000"/>
        </w:rPr>
        <w:t>歲到</w:t>
      </w:r>
      <w:r w:rsidR="004847E7">
        <w:rPr>
          <w:rFonts w:ascii="標楷體" w:eastAsia="標楷體" w:hAnsi="標楷體" w:hint="eastAsia"/>
          <w:color w:val="FF0000"/>
        </w:rPr>
        <w:t>4</w:t>
      </w:r>
      <w:r w:rsidR="004847E7" w:rsidRPr="007B44CD">
        <w:rPr>
          <w:rFonts w:ascii="標楷體" w:eastAsia="標楷體" w:hAnsi="標楷體" w:hint="eastAsia"/>
          <w:color w:val="FF0000"/>
        </w:rPr>
        <w:t>9歲</w:t>
      </w:r>
      <w:r w:rsidR="004847E7" w:rsidRPr="007B44CD">
        <w:rPr>
          <w:rFonts w:ascii="標楷體" w:eastAsia="標楷體" w:hAnsi="標楷體" w:hint="eastAsia"/>
        </w:rPr>
        <w:t>這個族群，</w:t>
      </w:r>
      <w:r w:rsidR="0085442A">
        <w:rPr>
          <w:rFonts w:ascii="標楷體" w:eastAsia="標楷體" w:hAnsi="標楷體" w:hint="eastAsia"/>
        </w:rPr>
        <w:t>其女性人數</w:t>
      </w:r>
      <w:r>
        <w:rPr>
          <w:rFonts w:ascii="標楷體" w:eastAsia="標楷體" w:hAnsi="標楷體" w:hint="eastAsia"/>
        </w:rPr>
        <w:t>占</w:t>
      </w:r>
      <w:r w:rsidR="004847E7">
        <w:rPr>
          <w:rFonts w:ascii="標楷體" w:eastAsia="標楷體" w:hAnsi="標楷體" w:hint="eastAsia"/>
        </w:rPr>
        <w:t>女性</w:t>
      </w:r>
      <w:r w:rsidR="004847E7" w:rsidRPr="007B44CD">
        <w:rPr>
          <w:rFonts w:ascii="標楷體" w:eastAsia="標楷體" w:hAnsi="標楷體" w:hint="eastAsia"/>
        </w:rPr>
        <w:t>總被保險人數的</w:t>
      </w:r>
      <w:r w:rsidR="004847E7">
        <w:rPr>
          <w:rFonts w:ascii="標楷體" w:eastAsia="標楷體" w:hAnsi="標楷體" w:hint="eastAsia"/>
          <w:color w:val="FF0000"/>
        </w:rPr>
        <w:t>48.3</w:t>
      </w:r>
      <w:r w:rsidR="00370D85">
        <w:rPr>
          <w:rFonts w:ascii="標楷體" w:eastAsia="標楷體" w:hAnsi="標楷體" w:hint="eastAsia"/>
          <w:color w:val="FF0000"/>
        </w:rPr>
        <w:t>9</w:t>
      </w:r>
      <w:r w:rsidR="004847E7">
        <w:rPr>
          <w:rFonts w:ascii="標楷體" w:eastAsia="標楷體" w:hAnsi="標楷體" w:hint="eastAsia"/>
          <w:color w:val="FF0000"/>
        </w:rPr>
        <w:t>%</w:t>
      </w:r>
      <w:r w:rsidR="00E85C09">
        <w:rPr>
          <w:rFonts w:ascii="標楷體" w:eastAsia="標楷體" w:hAnsi="標楷體"/>
          <w:color w:val="FF0000"/>
        </w:rPr>
        <w:t xml:space="preserve"> </w:t>
      </w:r>
      <w:r w:rsidR="004546B4" w:rsidRPr="00E85C09">
        <w:rPr>
          <w:rFonts w:ascii="標楷體" w:eastAsia="標楷體" w:hAnsi="標楷體" w:hint="eastAsia"/>
        </w:rPr>
        <w:t>（圖3）</w:t>
      </w:r>
      <w:r w:rsidR="004847E7">
        <w:rPr>
          <w:rFonts w:ascii="標楷體" w:eastAsia="標楷體" w:hAnsi="標楷體" w:hint="eastAsia"/>
        </w:rPr>
        <w:t>。</w:t>
      </w:r>
      <w:r w:rsidR="006368D2" w:rsidRPr="006368D2">
        <w:rPr>
          <w:rFonts w:ascii="標楷體" w:eastAsia="標楷體" w:hAnsi="標楷體" w:hint="eastAsia"/>
          <w:color w:val="FF0000"/>
        </w:rPr>
        <w:t>男性被保險人之投保年齡(</w:t>
      </w:r>
      <w:r w:rsidR="006368D2" w:rsidRPr="006368D2">
        <w:rPr>
          <w:rFonts w:ascii="標楷體" w:eastAsia="標楷體" w:hAnsi="標楷體"/>
          <w:color w:val="FF0000"/>
        </w:rPr>
        <w:t>issue age</w:t>
      </w:r>
      <w:r w:rsidR="006368D2" w:rsidRPr="006368D2">
        <w:rPr>
          <w:rFonts w:ascii="標楷體" w:eastAsia="標楷體" w:hAnsi="標楷體" w:hint="eastAsia"/>
          <w:color w:val="FF0000"/>
        </w:rPr>
        <w:t>)主要集中於20歲到39歲</w:t>
      </w:r>
      <w:r w:rsidR="006368D2">
        <w:rPr>
          <w:rFonts w:ascii="標楷體" w:eastAsia="標楷體" w:hAnsi="標楷體" w:hint="eastAsia"/>
          <w:color w:val="FF0000"/>
        </w:rPr>
        <w:t>，</w:t>
      </w:r>
      <w:r w:rsidR="006368D2" w:rsidRPr="006368D2">
        <w:rPr>
          <w:rFonts w:ascii="標楷體" w:eastAsia="標楷體" w:hAnsi="標楷體" w:hint="eastAsia"/>
          <w:color w:val="FF0000"/>
        </w:rPr>
        <w:t>但女性被保險人之投保年齡</w:t>
      </w:r>
      <w:r w:rsidR="006368D2">
        <w:rPr>
          <w:rFonts w:ascii="標楷體" w:eastAsia="標楷體" w:hAnsi="標楷體" w:hint="eastAsia"/>
          <w:color w:val="FF0000"/>
        </w:rPr>
        <w:t>卻</w:t>
      </w:r>
      <w:r w:rsidR="006368D2" w:rsidRPr="006368D2">
        <w:rPr>
          <w:rFonts w:ascii="標楷體" w:eastAsia="標楷體" w:hAnsi="標楷體" w:hint="eastAsia"/>
          <w:color w:val="FF0000"/>
        </w:rPr>
        <w:t>主要集中於30歲到49歲</w:t>
      </w:r>
      <w:r w:rsidR="006368D2">
        <w:rPr>
          <w:rFonts w:ascii="標楷體" w:eastAsia="標楷體" w:hAnsi="標楷體" w:hint="eastAsia"/>
          <w:color w:val="FF0000"/>
        </w:rPr>
        <w:t>，男</w:t>
      </w:r>
      <w:r w:rsidR="003255F8">
        <w:rPr>
          <w:rFonts w:ascii="標楷體" w:eastAsia="標楷體" w:hAnsi="標楷體" w:hint="eastAsia"/>
          <w:color w:val="FF0000"/>
        </w:rPr>
        <w:t>、</w:t>
      </w:r>
      <w:r w:rsidR="006368D2">
        <w:rPr>
          <w:rFonts w:ascii="標楷體" w:eastAsia="標楷體" w:hAnsi="標楷體" w:hint="eastAsia"/>
          <w:color w:val="FF0000"/>
        </w:rPr>
        <w:t>女</w:t>
      </w:r>
      <w:r w:rsidR="00024FEA">
        <w:rPr>
          <w:rFonts w:ascii="標楷體" w:eastAsia="標楷體" w:hAnsi="標楷體" w:hint="eastAsia"/>
          <w:color w:val="FF0000"/>
        </w:rPr>
        <w:t>主要</w:t>
      </w:r>
      <w:r w:rsidR="006368D2">
        <w:rPr>
          <w:rFonts w:ascii="標楷體" w:eastAsia="標楷體" w:hAnsi="標楷體" w:hint="eastAsia"/>
          <w:color w:val="FF0000"/>
        </w:rPr>
        <w:t>投保年齡的10歲差距可能與男</w:t>
      </w:r>
      <w:r w:rsidR="00D944E0">
        <w:rPr>
          <w:rFonts w:ascii="標楷體" w:eastAsia="標楷體" w:hAnsi="標楷體" w:hint="eastAsia"/>
          <w:color w:val="FF0000"/>
        </w:rPr>
        <w:t>、</w:t>
      </w:r>
      <w:r w:rsidR="006368D2">
        <w:rPr>
          <w:rFonts w:ascii="標楷體" w:eastAsia="標楷體" w:hAnsi="標楷體" w:hint="eastAsia"/>
          <w:color w:val="FF0000"/>
        </w:rPr>
        <w:t>女購買動機</w:t>
      </w:r>
      <w:r w:rsidR="00D944E0">
        <w:rPr>
          <w:rFonts w:ascii="標楷體" w:eastAsia="標楷體" w:hAnsi="標楷體" w:hint="eastAsia"/>
          <w:color w:val="FF0000"/>
        </w:rPr>
        <w:t>不同有關。</w:t>
      </w:r>
    </w:p>
    <w:p w14:paraId="115DA77B" w14:textId="6750E02D" w:rsidR="00230273" w:rsidRPr="00230273" w:rsidRDefault="00D944E0" w:rsidP="00BC79C0">
      <w:pPr>
        <w:spacing w:line="360" w:lineRule="auto"/>
        <w:ind w:leftChars="236" w:left="566"/>
        <w:jc w:val="both"/>
        <w:rPr>
          <w:rFonts w:ascii="標楷體" w:eastAsia="標楷體" w:hAnsi="標楷體"/>
          <w:color w:val="FF0000"/>
        </w:rPr>
      </w:pPr>
      <w:r>
        <w:rPr>
          <w:rFonts w:ascii="標楷體" w:eastAsia="標楷體" w:hAnsi="標楷體" w:hint="eastAsia"/>
          <w:color w:val="FF0000"/>
        </w:rPr>
        <w:t>由於</w:t>
      </w:r>
      <w:r w:rsidRPr="00A56826">
        <w:rPr>
          <w:rFonts w:ascii="標楷體" w:eastAsia="標楷體" w:hAnsi="標楷體" w:hint="eastAsia"/>
          <w:color w:val="FF0000"/>
        </w:rPr>
        <w:t>同一年齡的</w:t>
      </w:r>
      <w:r w:rsidR="002934B5" w:rsidRPr="00A56826">
        <w:rPr>
          <w:rFonts w:ascii="標楷體" w:eastAsia="標楷體" w:hAnsi="標楷體" w:hint="eastAsia"/>
          <w:color w:val="FF0000"/>
        </w:rPr>
        <w:t>長期照顧保險</w:t>
      </w:r>
      <w:r w:rsidR="00452A05" w:rsidRPr="00A56826">
        <w:rPr>
          <w:rFonts w:ascii="標楷體" w:eastAsia="標楷體" w:hAnsi="標楷體" w:hint="eastAsia"/>
          <w:color w:val="FF0000"/>
        </w:rPr>
        <w:t>女性費率高於男性費率(因為一旦啟動長照理賠，一般女性的餘命高於男性餘命)</w:t>
      </w:r>
      <w:r>
        <w:rPr>
          <w:rFonts w:ascii="標楷體" w:eastAsia="標楷體" w:hAnsi="標楷體" w:hint="eastAsia"/>
          <w:color w:val="FF0000"/>
        </w:rPr>
        <w:t>，因此</w:t>
      </w:r>
      <w:r w:rsidR="00452A05" w:rsidRPr="00A56826">
        <w:rPr>
          <w:rFonts w:ascii="標楷體" w:eastAsia="標楷體" w:hAnsi="標楷體" w:hint="eastAsia"/>
          <w:color w:val="FF0000"/>
        </w:rPr>
        <w:t>多數男性會在40歲以前投保長期照顧保險</w:t>
      </w:r>
      <w:r w:rsidR="006368D2">
        <w:rPr>
          <w:rFonts w:ascii="標楷體" w:eastAsia="標楷體" w:hAnsi="標楷體" w:hint="eastAsia"/>
          <w:color w:val="FF0000"/>
        </w:rPr>
        <w:t>，以取得較便宜的保費，但</w:t>
      </w:r>
      <w:r w:rsidR="00452A05" w:rsidRPr="00A56826">
        <w:rPr>
          <w:rFonts w:ascii="標楷體" w:eastAsia="標楷體" w:hAnsi="標楷體" w:hint="eastAsia"/>
          <w:color w:val="FF0000"/>
        </w:rPr>
        <w:t>多數的女性</w:t>
      </w:r>
      <w:r w:rsidR="00024FEA">
        <w:rPr>
          <w:rFonts w:ascii="標楷體" w:eastAsia="標楷體" w:hAnsi="標楷體" w:hint="eastAsia"/>
          <w:color w:val="FF0000"/>
        </w:rPr>
        <w:t>會</w:t>
      </w:r>
      <w:r w:rsidR="00452A05" w:rsidRPr="00A56826">
        <w:rPr>
          <w:rFonts w:ascii="標楷體" w:eastAsia="標楷體" w:hAnsi="標楷體" w:hint="eastAsia"/>
          <w:color w:val="FF0000"/>
        </w:rPr>
        <w:t>在</w:t>
      </w:r>
      <w:r w:rsidR="00A56826" w:rsidRPr="00A56826">
        <w:rPr>
          <w:rFonts w:ascii="標楷體" w:eastAsia="標楷體" w:hAnsi="標楷體" w:hint="eastAsia"/>
          <w:color w:val="FF0000"/>
        </w:rPr>
        <w:t>生兒育女後或成為家中另一經濟支柱時才開始考慮投保長期照顧保險</w:t>
      </w:r>
      <w:r w:rsidR="006368D2">
        <w:rPr>
          <w:rFonts w:ascii="標楷體" w:eastAsia="標楷體" w:hAnsi="標楷體" w:hint="eastAsia"/>
          <w:color w:val="FF0000"/>
        </w:rPr>
        <w:t>，因此</w:t>
      </w:r>
      <w:r>
        <w:rPr>
          <w:rFonts w:ascii="標楷體" w:eastAsia="標楷體" w:hAnsi="標楷體" w:hint="eastAsia"/>
          <w:color w:val="FF0000"/>
        </w:rPr>
        <w:t>女性的主要投保年齡比男性主要投保年齡晚10歲。</w:t>
      </w:r>
      <w:r w:rsidR="003255F8" w:rsidRPr="004B0EA8">
        <w:rPr>
          <w:rFonts w:ascii="標楷體" w:eastAsia="標楷體" w:hAnsi="標楷體" w:hint="eastAsia"/>
        </w:rPr>
        <w:t>另，男、女投保年齡</w:t>
      </w:r>
      <w:r w:rsidR="00766F27" w:rsidRPr="004B0EA8">
        <w:rPr>
          <w:rFonts w:ascii="標楷體" w:eastAsia="標楷體" w:hAnsi="標楷體" w:hint="eastAsia"/>
        </w:rPr>
        <w:t>在60歲之後</w:t>
      </w:r>
      <w:r w:rsidR="003255F8" w:rsidRPr="004B0EA8">
        <w:rPr>
          <w:rFonts w:ascii="標楷體" w:eastAsia="標楷體" w:hAnsi="標楷體" w:hint="eastAsia"/>
        </w:rPr>
        <w:t>均</w:t>
      </w:r>
      <w:r w:rsidR="00766F27" w:rsidRPr="004B0EA8">
        <w:rPr>
          <w:rFonts w:ascii="標楷體" w:eastAsia="標楷體" w:hAnsi="標楷體" w:hint="eastAsia"/>
        </w:rPr>
        <w:t>大幅下降，</w:t>
      </w:r>
      <w:r w:rsidR="00766F27" w:rsidRPr="000074F6">
        <w:rPr>
          <w:rFonts w:ascii="標楷體" w:eastAsia="標楷體" w:hAnsi="標楷體" w:hint="eastAsia"/>
        </w:rPr>
        <w:t>主要原因</w:t>
      </w:r>
      <w:r w:rsidR="00EF1427" w:rsidRPr="000074F6">
        <w:rPr>
          <w:rFonts w:ascii="標楷體" w:eastAsia="標楷體" w:hAnsi="標楷體" w:hint="eastAsia"/>
        </w:rPr>
        <w:t>可能</w:t>
      </w:r>
      <w:r w:rsidR="00766F27" w:rsidRPr="000074F6">
        <w:rPr>
          <w:rFonts w:ascii="標楷體" w:eastAsia="標楷體" w:hAnsi="標楷體" w:hint="eastAsia"/>
        </w:rPr>
        <w:t>是</w:t>
      </w:r>
      <w:r w:rsidR="00A44650" w:rsidRPr="000074F6">
        <w:rPr>
          <w:rFonts w:ascii="標楷體" w:eastAsia="標楷體" w:hAnsi="標楷體" w:hint="eastAsia"/>
        </w:rPr>
        <w:t>（</w:t>
      </w:r>
      <w:r w:rsidR="00766F27" w:rsidRPr="000074F6">
        <w:rPr>
          <w:rFonts w:ascii="標楷體" w:eastAsia="標楷體" w:hAnsi="標楷體" w:hint="eastAsia"/>
        </w:rPr>
        <w:t>1</w:t>
      </w:r>
      <w:r w:rsidR="00A44650" w:rsidRPr="000074F6">
        <w:rPr>
          <w:rFonts w:ascii="標楷體" w:eastAsia="標楷體" w:hAnsi="標楷體" w:hint="eastAsia"/>
        </w:rPr>
        <w:t>）</w:t>
      </w:r>
      <w:r w:rsidR="00766F27" w:rsidRPr="000074F6">
        <w:rPr>
          <w:rFonts w:ascii="標楷體" w:eastAsia="標楷體" w:hAnsi="標楷體" w:hint="eastAsia"/>
        </w:rPr>
        <w:t>該年齡投保保費</w:t>
      </w:r>
      <w:r w:rsidR="0086054C" w:rsidRPr="000074F6">
        <w:rPr>
          <w:rFonts w:ascii="標楷體" w:eastAsia="標楷體" w:hAnsi="標楷體" w:hint="eastAsia"/>
        </w:rPr>
        <w:t>過於</w:t>
      </w:r>
      <w:r w:rsidR="003255F8" w:rsidRPr="000074F6">
        <w:rPr>
          <w:rFonts w:ascii="標楷體" w:eastAsia="標楷體" w:hAnsi="標楷體" w:hint="eastAsia"/>
        </w:rPr>
        <w:t>高昂</w:t>
      </w:r>
      <w:r w:rsidR="00CC033C" w:rsidRPr="000074F6">
        <w:rPr>
          <w:rFonts w:ascii="標楷體" w:eastAsia="標楷體" w:hAnsi="標楷體" w:hint="eastAsia"/>
        </w:rPr>
        <w:t>（</w:t>
      </w:r>
      <w:r w:rsidR="00766F27" w:rsidRPr="000074F6">
        <w:rPr>
          <w:rFonts w:ascii="標楷體" w:eastAsia="標楷體" w:hAnsi="標楷體" w:hint="eastAsia"/>
        </w:rPr>
        <w:t>2</w:t>
      </w:r>
      <w:r w:rsidR="00A44650" w:rsidRPr="000074F6">
        <w:rPr>
          <w:rFonts w:ascii="標楷體" w:eastAsia="標楷體" w:hAnsi="標楷體" w:hint="eastAsia"/>
        </w:rPr>
        <w:t>）</w:t>
      </w:r>
      <w:r w:rsidR="00EF1427" w:rsidRPr="000074F6">
        <w:rPr>
          <w:rFonts w:ascii="標楷體" w:eastAsia="標楷體" w:hAnsi="標楷體" w:hint="eastAsia"/>
        </w:rPr>
        <w:t>年齡過高或</w:t>
      </w:r>
      <w:r w:rsidR="00766F27" w:rsidRPr="000074F6">
        <w:rPr>
          <w:rFonts w:ascii="標楷體" w:eastAsia="標楷體" w:hAnsi="標楷體" w:hint="eastAsia"/>
        </w:rPr>
        <w:t>體況變差</w:t>
      </w:r>
      <w:r w:rsidR="00EF1427" w:rsidRPr="000074F6">
        <w:rPr>
          <w:rFonts w:ascii="標楷體" w:eastAsia="標楷體" w:hAnsi="標楷體" w:hint="eastAsia"/>
        </w:rPr>
        <w:t>而</w:t>
      </w:r>
      <w:r w:rsidR="00766F27" w:rsidRPr="000074F6">
        <w:rPr>
          <w:rFonts w:ascii="標楷體" w:eastAsia="標楷體" w:hAnsi="標楷體" w:hint="eastAsia"/>
        </w:rPr>
        <w:t>無法投保。</w:t>
      </w:r>
    </w:p>
    <w:p w14:paraId="6D049B4C" w14:textId="53B3A3BC" w:rsidR="0094755F" w:rsidRPr="007A49A1" w:rsidRDefault="00E6128D" w:rsidP="00BC79C0">
      <w:pPr>
        <w:spacing w:line="360" w:lineRule="auto"/>
        <w:ind w:leftChars="236" w:left="566"/>
        <w:jc w:val="both"/>
        <w:rPr>
          <w:rFonts w:ascii="標楷體" w:eastAsia="標楷體" w:hAnsi="標楷體"/>
          <w:color w:val="FF0000"/>
        </w:rPr>
      </w:pPr>
      <w:r w:rsidRPr="007B44CD">
        <w:rPr>
          <w:rFonts w:ascii="標楷體" w:eastAsia="標楷體" w:hAnsi="標楷體" w:hint="eastAsia"/>
        </w:rPr>
        <w:t>如</w:t>
      </w:r>
      <w:r w:rsidR="005144F5" w:rsidRPr="007B44CD">
        <w:rPr>
          <w:rFonts w:ascii="標楷體" w:eastAsia="標楷體" w:hAnsi="標楷體" w:hint="eastAsia"/>
        </w:rPr>
        <w:t>以要保人與被保險人為同一人</w:t>
      </w:r>
      <w:r w:rsidR="008E7EE5" w:rsidRPr="007B44CD">
        <w:rPr>
          <w:rFonts w:ascii="標楷體" w:eastAsia="標楷體" w:hAnsi="標楷體" w:hint="eastAsia"/>
        </w:rPr>
        <w:t>之</w:t>
      </w:r>
      <w:r w:rsidR="0086054C">
        <w:rPr>
          <w:rFonts w:ascii="標楷體" w:eastAsia="標楷體" w:hAnsi="標楷體" w:hint="eastAsia"/>
        </w:rPr>
        <w:t>案件為</w:t>
      </w:r>
      <w:r w:rsidR="008E7EE5" w:rsidRPr="007B44CD">
        <w:rPr>
          <w:rFonts w:ascii="標楷體" w:eastAsia="標楷體" w:hAnsi="標楷體" w:hint="eastAsia"/>
        </w:rPr>
        <w:t>資料</w:t>
      </w:r>
      <w:r w:rsidR="005144F5" w:rsidRPr="007B44CD">
        <w:rPr>
          <w:rFonts w:ascii="標楷體" w:eastAsia="標楷體" w:hAnsi="標楷體" w:hint="eastAsia"/>
        </w:rPr>
        <w:t>母體進行分析</w:t>
      </w:r>
      <w:r w:rsidRPr="007B44CD">
        <w:rPr>
          <w:rFonts w:ascii="標楷體" w:eastAsia="標楷體" w:hAnsi="標楷體" w:hint="eastAsia"/>
        </w:rPr>
        <w:t>（圖4）</w:t>
      </w:r>
      <w:r w:rsidR="008E7EE5" w:rsidRPr="007B44CD">
        <w:rPr>
          <w:rFonts w:ascii="標楷體" w:eastAsia="標楷體" w:hAnsi="標楷體" w:hint="eastAsia"/>
        </w:rPr>
        <w:t>，</w:t>
      </w:r>
      <w:r w:rsidR="00714F9D">
        <w:rPr>
          <w:rFonts w:ascii="標楷體" w:eastAsia="標楷體" w:hAnsi="標楷體" w:hint="eastAsia"/>
        </w:rPr>
        <w:t>其中</w:t>
      </w:r>
      <w:r w:rsidR="00756BB5">
        <w:rPr>
          <w:rFonts w:ascii="標楷體" w:eastAsia="標楷體" w:hAnsi="標楷體" w:hint="eastAsia"/>
        </w:rPr>
        <w:t>男性</w:t>
      </w:r>
      <w:r w:rsidR="008E7EE5" w:rsidRPr="007B44CD">
        <w:rPr>
          <w:rFonts w:ascii="標楷體" w:eastAsia="標楷體" w:hAnsi="標楷體" w:hint="eastAsia"/>
        </w:rPr>
        <w:t>購買主力仍是集中在</w:t>
      </w:r>
      <w:r w:rsidR="00756BB5">
        <w:rPr>
          <w:rFonts w:ascii="標楷體" w:eastAsia="標楷體" w:hAnsi="標楷體" w:hint="eastAsia"/>
          <w:color w:val="FF0000"/>
        </w:rPr>
        <w:t>20</w:t>
      </w:r>
      <w:r w:rsidR="00756BB5" w:rsidRPr="007B44CD">
        <w:rPr>
          <w:rFonts w:ascii="標楷體" w:eastAsia="標楷體" w:hAnsi="標楷體" w:hint="eastAsia"/>
          <w:color w:val="FF0000"/>
        </w:rPr>
        <w:t>歲到</w:t>
      </w:r>
      <w:r w:rsidR="00756BB5">
        <w:rPr>
          <w:rFonts w:ascii="標楷體" w:eastAsia="標楷體" w:hAnsi="標楷體" w:hint="eastAsia"/>
          <w:color w:val="FF0000"/>
        </w:rPr>
        <w:t>3</w:t>
      </w:r>
      <w:r w:rsidR="00756BB5" w:rsidRPr="007B44CD">
        <w:rPr>
          <w:rFonts w:ascii="標楷體" w:eastAsia="標楷體" w:hAnsi="標楷體" w:hint="eastAsia"/>
          <w:color w:val="FF0000"/>
        </w:rPr>
        <w:t>9歲</w:t>
      </w:r>
      <w:r w:rsidR="008E7EE5" w:rsidRPr="007B44CD">
        <w:rPr>
          <w:rFonts w:ascii="標楷體" w:eastAsia="標楷體" w:hAnsi="標楷體" w:hint="eastAsia"/>
        </w:rPr>
        <w:t>這個年齡層</w:t>
      </w:r>
      <w:r w:rsidR="009D3FDA">
        <w:rPr>
          <w:rFonts w:ascii="標楷體" w:eastAsia="標楷體" w:hAnsi="標楷體" w:hint="eastAsia"/>
        </w:rPr>
        <w:t>，</w:t>
      </w:r>
      <w:r w:rsidR="00891833" w:rsidRPr="00891833">
        <w:rPr>
          <w:rFonts w:ascii="標楷體" w:eastAsia="標楷體" w:hAnsi="標楷體" w:hint="eastAsia"/>
          <w:color w:val="FF0000"/>
        </w:rPr>
        <w:t>但</w:t>
      </w:r>
      <w:r w:rsidR="009D3FDA" w:rsidRPr="00891833">
        <w:rPr>
          <w:rFonts w:ascii="標楷體" w:eastAsia="標楷體" w:hAnsi="標楷體" w:hint="eastAsia"/>
          <w:color w:val="FF0000"/>
        </w:rPr>
        <w:t>其</w:t>
      </w:r>
      <w:r w:rsidR="009D3FDA" w:rsidRPr="007A49A1">
        <w:rPr>
          <w:rFonts w:ascii="標楷體" w:eastAsia="標楷體" w:hAnsi="標楷體" w:hint="eastAsia"/>
          <w:color w:val="FF0000"/>
        </w:rPr>
        <w:t>男性人數</w:t>
      </w:r>
      <w:r w:rsidR="00FF4331">
        <w:rPr>
          <w:rFonts w:ascii="標楷體" w:eastAsia="標楷體" w:hAnsi="標楷體" w:hint="eastAsia"/>
          <w:color w:val="FF0000"/>
        </w:rPr>
        <w:t>占</w:t>
      </w:r>
      <w:r w:rsidR="009D3FDA" w:rsidRPr="007A49A1">
        <w:rPr>
          <w:rFonts w:ascii="標楷體" w:eastAsia="標楷體" w:hAnsi="標楷體" w:hint="eastAsia"/>
          <w:color w:val="FF0000"/>
        </w:rPr>
        <w:t>男性總被保險人數</w:t>
      </w:r>
      <w:r w:rsidR="007751AF">
        <w:rPr>
          <w:rFonts w:ascii="標楷體" w:eastAsia="標楷體" w:hAnsi="標楷體" w:hint="eastAsia"/>
          <w:color w:val="FF0000"/>
        </w:rPr>
        <w:t>之</w:t>
      </w:r>
      <w:r w:rsidR="007A49A1" w:rsidRPr="007A49A1">
        <w:rPr>
          <w:rFonts w:ascii="標楷體" w:eastAsia="標楷體" w:hAnsi="標楷體" w:hint="eastAsia"/>
          <w:color w:val="FF0000"/>
        </w:rPr>
        <w:t>比率上升至</w:t>
      </w:r>
      <w:r w:rsidR="009D3FDA" w:rsidRPr="007A49A1">
        <w:rPr>
          <w:rFonts w:ascii="標楷體" w:eastAsia="標楷體" w:hAnsi="標楷體" w:hint="eastAsia"/>
          <w:color w:val="FF0000"/>
        </w:rPr>
        <w:t>51.4</w:t>
      </w:r>
      <w:r w:rsidR="00B2377C">
        <w:rPr>
          <w:rFonts w:ascii="標楷體" w:eastAsia="標楷體" w:hAnsi="標楷體" w:hint="eastAsia"/>
          <w:color w:val="FF0000"/>
        </w:rPr>
        <w:t>2</w:t>
      </w:r>
      <w:r w:rsidR="009D3FDA" w:rsidRPr="007A49A1">
        <w:rPr>
          <w:rFonts w:ascii="標楷體" w:eastAsia="標楷體" w:hAnsi="標楷體" w:hint="eastAsia"/>
          <w:color w:val="FF0000"/>
        </w:rPr>
        <w:t>%</w:t>
      </w:r>
      <w:r w:rsidR="007A49A1">
        <w:rPr>
          <w:rFonts w:ascii="標楷體" w:eastAsia="標楷體" w:hAnsi="標楷體"/>
        </w:rPr>
        <w:t>;</w:t>
      </w:r>
      <w:r w:rsidR="00756BB5">
        <w:rPr>
          <w:rFonts w:ascii="標楷體" w:eastAsia="標楷體" w:hAnsi="標楷體" w:hint="eastAsia"/>
        </w:rPr>
        <w:t>女性</w:t>
      </w:r>
      <w:r w:rsidR="00756BB5" w:rsidRPr="007B44CD">
        <w:rPr>
          <w:rFonts w:ascii="標楷體" w:eastAsia="標楷體" w:hAnsi="標楷體" w:hint="eastAsia"/>
        </w:rPr>
        <w:t>購買主力</w:t>
      </w:r>
      <w:r w:rsidR="00756BB5">
        <w:rPr>
          <w:rFonts w:ascii="標楷體" w:eastAsia="標楷體" w:hAnsi="標楷體" w:hint="eastAsia"/>
        </w:rPr>
        <w:t>亦</w:t>
      </w:r>
      <w:r w:rsidR="00756BB5" w:rsidRPr="007B44CD">
        <w:rPr>
          <w:rFonts w:ascii="標楷體" w:eastAsia="標楷體" w:hAnsi="標楷體" w:hint="eastAsia"/>
        </w:rPr>
        <w:t>是集中</w:t>
      </w:r>
      <w:r w:rsidR="00756BB5">
        <w:rPr>
          <w:rFonts w:ascii="標楷體" w:eastAsia="標楷體" w:hAnsi="標楷體" w:hint="eastAsia"/>
        </w:rPr>
        <w:t>在</w:t>
      </w:r>
      <w:r w:rsidR="00756BB5">
        <w:rPr>
          <w:rFonts w:ascii="標楷體" w:eastAsia="標楷體" w:hAnsi="標楷體" w:hint="eastAsia"/>
          <w:color w:val="FF0000"/>
        </w:rPr>
        <w:t>30</w:t>
      </w:r>
      <w:r w:rsidR="00756BB5" w:rsidRPr="007B44CD">
        <w:rPr>
          <w:rFonts w:ascii="標楷體" w:eastAsia="標楷體" w:hAnsi="標楷體" w:hint="eastAsia"/>
          <w:color w:val="FF0000"/>
        </w:rPr>
        <w:t>歲到</w:t>
      </w:r>
      <w:r w:rsidR="00756BB5">
        <w:rPr>
          <w:rFonts w:ascii="標楷體" w:eastAsia="標楷體" w:hAnsi="標楷體" w:hint="eastAsia"/>
          <w:color w:val="FF0000"/>
        </w:rPr>
        <w:t>4</w:t>
      </w:r>
      <w:r w:rsidR="00756BB5" w:rsidRPr="007B44CD">
        <w:rPr>
          <w:rFonts w:ascii="標楷體" w:eastAsia="標楷體" w:hAnsi="標楷體" w:hint="eastAsia"/>
          <w:color w:val="FF0000"/>
        </w:rPr>
        <w:t>9歲</w:t>
      </w:r>
      <w:r w:rsidR="00756BB5" w:rsidRPr="007B44CD">
        <w:rPr>
          <w:rFonts w:ascii="標楷體" w:eastAsia="標楷體" w:hAnsi="標楷體" w:hint="eastAsia"/>
        </w:rPr>
        <w:t>這個年齡層</w:t>
      </w:r>
      <w:r w:rsidR="007A49A1">
        <w:rPr>
          <w:rFonts w:ascii="標楷體" w:eastAsia="標楷體" w:hAnsi="標楷體" w:hint="eastAsia"/>
        </w:rPr>
        <w:t>，</w:t>
      </w:r>
      <w:r w:rsidR="00891833" w:rsidRPr="00891833">
        <w:rPr>
          <w:rFonts w:ascii="標楷體" w:eastAsia="標楷體" w:hAnsi="標楷體" w:hint="eastAsia"/>
          <w:color w:val="FF0000"/>
        </w:rPr>
        <w:t>但</w:t>
      </w:r>
      <w:r w:rsidR="007A49A1" w:rsidRPr="00891833">
        <w:rPr>
          <w:rFonts w:ascii="標楷體" w:eastAsia="標楷體" w:hAnsi="標楷體" w:hint="eastAsia"/>
          <w:color w:val="FF0000"/>
        </w:rPr>
        <w:t>其</w:t>
      </w:r>
      <w:r w:rsidR="007A49A1" w:rsidRPr="007A49A1">
        <w:rPr>
          <w:rFonts w:ascii="標楷體" w:eastAsia="標楷體" w:hAnsi="標楷體" w:hint="eastAsia"/>
          <w:color w:val="FF0000"/>
        </w:rPr>
        <w:t>女性人數</w:t>
      </w:r>
      <w:r w:rsidR="00FF4331">
        <w:rPr>
          <w:rFonts w:ascii="標楷體" w:eastAsia="標楷體" w:hAnsi="標楷體" w:hint="eastAsia"/>
          <w:color w:val="FF0000"/>
        </w:rPr>
        <w:t>占</w:t>
      </w:r>
      <w:r w:rsidR="007A49A1" w:rsidRPr="007A49A1">
        <w:rPr>
          <w:rFonts w:ascii="標楷體" w:eastAsia="標楷體" w:hAnsi="標楷體" w:hint="eastAsia"/>
          <w:color w:val="FF0000"/>
        </w:rPr>
        <w:t>女性總被保險人數</w:t>
      </w:r>
      <w:r w:rsidR="007751AF">
        <w:rPr>
          <w:rFonts w:ascii="標楷體" w:eastAsia="標楷體" w:hAnsi="標楷體" w:hint="eastAsia"/>
          <w:color w:val="FF0000"/>
        </w:rPr>
        <w:t>之</w:t>
      </w:r>
      <w:r w:rsidR="007A49A1" w:rsidRPr="007A49A1">
        <w:rPr>
          <w:rFonts w:ascii="標楷體" w:eastAsia="標楷體" w:hAnsi="標楷體" w:hint="eastAsia"/>
          <w:color w:val="FF0000"/>
        </w:rPr>
        <w:t>比率上升至52.14%</w:t>
      </w:r>
      <w:r w:rsidR="00756BB5" w:rsidRPr="007A49A1">
        <w:rPr>
          <w:rFonts w:ascii="標楷體" w:eastAsia="標楷體" w:hAnsi="標楷體" w:hint="eastAsia"/>
          <w:color w:val="FF0000"/>
        </w:rPr>
        <w:t>。</w:t>
      </w:r>
    </w:p>
    <w:p w14:paraId="64C69F67" w14:textId="2B47AC0D" w:rsidR="00134823" w:rsidRDefault="008919AF" w:rsidP="004B0DA7">
      <w:pPr>
        <w:jc w:val="center"/>
      </w:pPr>
      <w:r>
        <w:rPr>
          <w:noProof/>
        </w:rPr>
        <w:drawing>
          <wp:inline distT="0" distB="0" distL="0" distR="0" wp14:anchorId="77A039DF" wp14:editId="7E506671">
            <wp:extent cx="5400000" cy="3600000"/>
            <wp:effectExtent l="0" t="0" r="0" b="0"/>
            <wp:docPr id="4" name="圖表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332AC35A-62F4-42EE-8AB6-7B37A3CB1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DE28BB" w14:textId="1BC62D0A" w:rsidR="00F05A1C" w:rsidRDefault="00F05A1C" w:rsidP="00AE1F13">
      <w:pPr>
        <w:jc w:val="center"/>
        <w:rPr>
          <w:noProof/>
        </w:rPr>
      </w:pPr>
    </w:p>
    <w:p w14:paraId="1CBA89CA" w14:textId="1C018D29" w:rsidR="008919AF" w:rsidRDefault="008919AF" w:rsidP="00AE1F13">
      <w:pPr>
        <w:jc w:val="center"/>
        <w:rPr>
          <w:rFonts w:ascii="標楷體" w:eastAsia="標楷體" w:hAnsi="標楷體"/>
        </w:rPr>
      </w:pPr>
      <w:r>
        <w:rPr>
          <w:noProof/>
        </w:rPr>
        <w:drawing>
          <wp:inline distT="0" distB="0" distL="0" distR="0" wp14:anchorId="74CD00B9" wp14:editId="7B0D48F0">
            <wp:extent cx="5400000" cy="3600000"/>
            <wp:effectExtent l="0" t="0" r="0" b="0"/>
            <wp:docPr id="5" name="圖表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977F711-08A1-4B81-B833-102FC91E3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C6B33A" w14:textId="24B51736" w:rsidR="009D3FDA" w:rsidRDefault="009D3FDA" w:rsidP="008919AF">
      <w:pPr>
        <w:rPr>
          <w:rFonts w:ascii="標楷體" w:eastAsia="標楷體" w:hAnsi="標楷體"/>
        </w:rPr>
      </w:pPr>
    </w:p>
    <w:p w14:paraId="52483108" w14:textId="368DE583" w:rsidR="00E52F08" w:rsidRDefault="00E52F08" w:rsidP="008919AF">
      <w:pPr>
        <w:rPr>
          <w:rFonts w:ascii="標楷體" w:eastAsia="標楷體" w:hAnsi="標楷體"/>
        </w:rPr>
      </w:pPr>
    </w:p>
    <w:p w14:paraId="7CAA91C0" w14:textId="77777777" w:rsidR="00E52F08" w:rsidRPr="00AE1F13" w:rsidRDefault="00E52F08" w:rsidP="008919AF">
      <w:pPr>
        <w:rPr>
          <w:rFonts w:ascii="標楷體" w:eastAsia="標楷體" w:hAnsi="標楷體"/>
        </w:rPr>
      </w:pPr>
    </w:p>
    <w:p w14:paraId="0FCD6082" w14:textId="77777777" w:rsidR="00855F88" w:rsidRPr="00492F56" w:rsidRDefault="00F21177" w:rsidP="009D3FDA">
      <w:pPr>
        <w:spacing w:line="360" w:lineRule="auto"/>
        <w:jc w:val="both"/>
        <w:rPr>
          <w:rFonts w:ascii="標楷體" w:eastAsia="標楷體" w:hAnsi="標楷體"/>
          <w:b/>
        </w:rPr>
      </w:pPr>
      <w:r w:rsidRPr="00492F56">
        <w:rPr>
          <w:rFonts w:ascii="標楷體" w:eastAsia="標楷體" w:hAnsi="標楷體" w:hint="eastAsia"/>
          <w:b/>
        </w:rPr>
        <w:t>四、要保人所在行政區域</w:t>
      </w:r>
      <w:r w:rsidR="005D259B">
        <w:rPr>
          <w:rFonts w:ascii="標楷體" w:eastAsia="標楷體" w:hAnsi="標楷體" w:hint="eastAsia"/>
          <w:b/>
        </w:rPr>
        <w:t>分佈</w:t>
      </w:r>
      <w:r w:rsidR="00373C8B" w:rsidRPr="00492F56">
        <w:rPr>
          <w:rFonts w:ascii="標楷體" w:eastAsia="標楷體" w:hAnsi="標楷體" w:hint="eastAsia"/>
          <w:b/>
        </w:rPr>
        <w:t>：</w:t>
      </w:r>
    </w:p>
    <w:p w14:paraId="54FC1525" w14:textId="61610A99" w:rsidR="00984325" w:rsidRDefault="00864267" w:rsidP="00BC79C0">
      <w:pPr>
        <w:spacing w:line="360" w:lineRule="auto"/>
        <w:ind w:leftChars="236" w:left="566"/>
        <w:jc w:val="both"/>
        <w:rPr>
          <w:rFonts w:ascii="標楷體" w:eastAsia="標楷體" w:hAnsi="標楷體"/>
        </w:rPr>
      </w:pPr>
      <w:r>
        <w:rPr>
          <w:rFonts w:ascii="標楷體" w:eastAsia="標楷體" w:hAnsi="標楷體" w:hint="eastAsia"/>
        </w:rPr>
        <w:t>以全台灣總人口</w:t>
      </w:r>
      <w:r w:rsidR="00C6116D">
        <w:rPr>
          <w:rFonts w:ascii="標楷體" w:eastAsia="標楷體" w:hAnsi="標楷體" w:hint="eastAsia"/>
        </w:rPr>
        <w:t>數</w:t>
      </w:r>
      <w:r>
        <w:rPr>
          <w:rFonts w:ascii="標楷體" w:eastAsia="標楷體" w:hAnsi="標楷體" w:hint="eastAsia"/>
        </w:rPr>
        <w:t>為分母，</w:t>
      </w:r>
      <w:r w:rsidR="00B7406B" w:rsidRPr="00B7406B">
        <w:rPr>
          <w:rFonts w:ascii="標楷體" w:eastAsia="標楷體" w:hAnsi="標楷體" w:hint="eastAsia"/>
        </w:rPr>
        <w:t>長期照顧保險</w:t>
      </w:r>
      <w:r w:rsidR="00B7406B">
        <w:rPr>
          <w:rFonts w:ascii="標楷體" w:eastAsia="標楷體" w:hAnsi="標楷體" w:hint="eastAsia"/>
        </w:rPr>
        <w:t>有效契約件數為分子，則</w:t>
      </w:r>
      <w:r>
        <w:rPr>
          <w:rFonts w:ascii="標楷體" w:eastAsia="標楷體" w:hAnsi="標楷體" w:hint="eastAsia"/>
        </w:rPr>
        <w:t>男、女性投保比率分別為</w:t>
      </w:r>
      <w:r w:rsidR="00AE1F13">
        <w:rPr>
          <w:rFonts w:ascii="標楷體" w:eastAsia="標楷體" w:hAnsi="標楷體" w:hint="eastAsia"/>
          <w:color w:val="FF0000"/>
        </w:rPr>
        <w:t>2.</w:t>
      </w:r>
      <w:r w:rsidR="001465D4">
        <w:rPr>
          <w:rFonts w:ascii="標楷體" w:eastAsia="標楷體" w:hAnsi="標楷體" w:hint="eastAsia"/>
          <w:color w:val="FF0000"/>
        </w:rPr>
        <w:t>30</w:t>
      </w:r>
      <w:r w:rsidR="00234290" w:rsidRPr="00234290">
        <w:rPr>
          <w:rFonts w:ascii="標楷體" w:eastAsia="標楷體" w:hAnsi="標楷體"/>
          <w:color w:val="FF0000"/>
        </w:rPr>
        <w:t>%</w:t>
      </w:r>
      <w:r>
        <w:rPr>
          <w:rFonts w:ascii="標楷體" w:eastAsia="標楷體" w:hAnsi="標楷體" w:hint="eastAsia"/>
        </w:rPr>
        <w:t>與</w:t>
      </w:r>
      <w:r w:rsidR="001465D4">
        <w:rPr>
          <w:rFonts w:ascii="標楷體" w:eastAsia="標楷體" w:hAnsi="標楷體" w:hint="eastAsia"/>
          <w:color w:val="FF0000"/>
        </w:rPr>
        <w:t>4.12</w:t>
      </w:r>
      <w:r w:rsidR="00234290" w:rsidRPr="00B45637">
        <w:rPr>
          <w:rFonts w:ascii="標楷體" w:eastAsia="標楷體" w:hAnsi="標楷體"/>
          <w:color w:val="FF0000"/>
        </w:rPr>
        <w:t>%</w:t>
      </w:r>
      <w:r>
        <w:rPr>
          <w:rFonts w:ascii="標楷體" w:eastAsia="標楷體" w:hAnsi="標楷體" w:hint="eastAsia"/>
        </w:rPr>
        <w:t>，</w:t>
      </w:r>
      <w:r w:rsidR="00AE1F13">
        <w:rPr>
          <w:rFonts w:ascii="標楷體" w:eastAsia="標楷體" w:hAnsi="標楷體" w:hint="eastAsia"/>
        </w:rPr>
        <w:t>而</w:t>
      </w:r>
      <w:r>
        <w:rPr>
          <w:rFonts w:ascii="標楷體" w:eastAsia="標楷體" w:hAnsi="標楷體" w:hint="eastAsia"/>
        </w:rPr>
        <w:t>整體投保率為</w:t>
      </w:r>
      <w:r w:rsidR="00AE1F13">
        <w:rPr>
          <w:rFonts w:ascii="標楷體" w:eastAsia="標楷體" w:hAnsi="標楷體" w:hint="eastAsia"/>
          <w:color w:val="FF0000"/>
        </w:rPr>
        <w:t>3.</w:t>
      </w:r>
      <w:r w:rsidR="001465D4">
        <w:rPr>
          <w:rFonts w:ascii="標楷體" w:eastAsia="標楷體" w:hAnsi="標楷體" w:hint="eastAsia"/>
          <w:color w:val="FF0000"/>
        </w:rPr>
        <w:t>21</w:t>
      </w:r>
      <w:r w:rsidR="00234290" w:rsidRPr="00234290">
        <w:rPr>
          <w:rFonts w:ascii="標楷體" w:eastAsia="標楷體" w:hAnsi="標楷體"/>
          <w:color w:val="FF0000"/>
        </w:rPr>
        <w:t>%</w:t>
      </w:r>
      <w:r w:rsidR="00984325">
        <w:rPr>
          <w:rFonts w:ascii="標楷體" w:eastAsia="標楷體" w:hAnsi="標楷體" w:hint="eastAsia"/>
        </w:rPr>
        <w:t>。</w:t>
      </w:r>
    </w:p>
    <w:p w14:paraId="65C415F0" w14:textId="53AF6040" w:rsidR="00864267" w:rsidRDefault="00B7406B" w:rsidP="00BC79C0">
      <w:pPr>
        <w:spacing w:line="360" w:lineRule="auto"/>
        <w:ind w:leftChars="236" w:left="566"/>
        <w:jc w:val="both"/>
        <w:rPr>
          <w:rFonts w:ascii="標楷體" w:eastAsia="標楷體" w:hAnsi="標楷體"/>
        </w:rPr>
      </w:pPr>
      <w:r>
        <w:rPr>
          <w:rFonts w:ascii="標楷體" w:eastAsia="標楷體" w:hAnsi="標楷體" w:hint="eastAsia"/>
        </w:rPr>
        <w:t>再</w:t>
      </w:r>
      <w:r w:rsidR="00864267" w:rsidRPr="00864267">
        <w:rPr>
          <w:rFonts w:ascii="標楷體" w:eastAsia="標楷體" w:hAnsi="標楷體" w:hint="eastAsia"/>
        </w:rPr>
        <w:t>以要保人通訊地址所在地為分類標準，</w:t>
      </w:r>
      <w:r w:rsidR="0015637A">
        <w:rPr>
          <w:rFonts w:ascii="標楷體" w:eastAsia="標楷體" w:hAnsi="標楷體" w:hint="eastAsia"/>
        </w:rPr>
        <w:t>就</w:t>
      </w:r>
      <w:r w:rsidR="00795D6F" w:rsidRPr="00795D6F">
        <w:rPr>
          <w:rFonts w:ascii="標楷體" w:eastAsia="標楷體" w:hAnsi="標楷體" w:hint="eastAsia"/>
        </w:rPr>
        <w:t>6直轄市</w:t>
      </w:r>
      <w:r w:rsidR="00795D6F">
        <w:rPr>
          <w:rFonts w:ascii="標楷體" w:eastAsia="標楷體" w:hAnsi="標楷體" w:hint="eastAsia"/>
        </w:rPr>
        <w:t>部分</w:t>
      </w:r>
      <w:r w:rsidR="00C57636">
        <w:rPr>
          <w:rFonts w:ascii="標楷體" w:eastAsia="標楷體" w:hAnsi="標楷體" w:hint="eastAsia"/>
        </w:rPr>
        <w:t>而言</w:t>
      </w:r>
      <w:r w:rsidR="005466B5">
        <w:rPr>
          <w:rFonts w:ascii="標楷體" w:eastAsia="標楷體" w:hAnsi="標楷體" w:hint="eastAsia"/>
        </w:rPr>
        <w:t>（</w:t>
      </w:r>
      <w:r w:rsidR="005B2C6F">
        <w:rPr>
          <w:rFonts w:ascii="標楷體" w:eastAsia="標楷體" w:hAnsi="標楷體" w:hint="eastAsia"/>
        </w:rPr>
        <w:t>圖5</w:t>
      </w:r>
      <w:r w:rsidR="005466B5">
        <w:rPr>
          <w:rFonts w:ascii="標楷體" w:eastAsia="標楷體" w:hAnsi="標楷體" w:hint="eastAsia"/>
        </w:rPr>
        <w:t>）</w:t>
      </w:r>
      <w:r w:rsidR="00795D6F">
        <w:rPr>
          <w:rFonts w:ascii="標楷體" w:eastAsia="標楷體" w:hAnsi="標楷體" w:hint="eastAsia"/>
        </w:rPr>
        <w:t>，</w:t>
      </w:r>
      <w:r w:rsidR="00E25C06">
        <w:rPr>
          <w:rFonts w:ascii="標楷體" w:eastAsia="標楷體" w:hAnsi="標楷體" w:hint="eastAsia"/>
        </w:rPr>
        <w:t>新北</w:t>
      </w:r>
      <w:r w:rsidR="00C57636">
        <w:rPr>
          <w:rFonts w:ascii="標楷體" w:eastAsia="標楷體" w:hAnsi="標楷體" w:hint="eastAsia"/>
        </w:rPr>
        <w:t>市男性及女性要保人均居6直轄市之首</w:t>
      </w:r>
      <w:r w:rsidR="000879C1">
        <w:rPr>
          <w:rFonts w:ascii="標楷體" w:eastAsia="標楷體" w:hAnsi="標楷體" w:hint="eastAsia"/>
        </w:rPr>
        <w:t>，分別為</w:t>
      </w:r>
      <w:r w:rsidR="00062FF8" w:rsidRPr="00C05F07">
        <w:rPr>
          <w:rFonts w:ascii="標楷體" w:eastAsia="標楷體" w:hAnsi="標楷體"/>
          <w:color w:val="FF0000"/>
        </w:rPr>
        <w:t>4</w:t>
      </w:r>
      <w:r w:rsidR="00C57636">
        <w:rPr>
          <w:rFonts w:ascii="標楷體" w:eastAsia="標楷體" w:hAnsi="標楷體" w:hint="eastAsia"/>
          <w:color w:val="FF0000"/>
        </w:rPr>
        <w:t>9</w:t>
      </w:r>
      <w:r w:rsidR="00C05F07">
        <w:rPr>
          <w:rFonts w:ascii="標楷體" w:eastAsia="標楷體" w:hAnsi="標楷體" w:hint="eastAsia"/>
          <w:color w:val="FF0000"/>
        </w:rPr>
        <w:t>,</w:t>
      </w:r>
      <w:r w:rsidR="00C57636">
        <w:rPr>
          <w:rFonts w:ascii="標楷體" w:eastAsia="標楷體" w:hAnsi="標楷體" w:hint="eastAsia"/>
          <w:color w:val="FF0000"/>
        </w:rPr>
        <w:t>344</w:t>
      </w:r>
      <w:r w:rsidR="000879C1" w:rsidRPr="00C05F07">
        <w:rPr>
          <w:rFonts w:ascii="標楷體" w:eastAsia="標楷體" w:hAnsi="標楷體" w:hint="eastAsia"/>
          <w:color w:val="FF0000"/>
        </w:rPr>
        <w:t>件</w:t>
      </w:r>
      <w:r w:rsidR="000879C1">
        <w:rPr>
          <w:rFonts w:ascii="標楷體" w:eastAsia="標楷體" w:hAnsi="標楷體" w:hint="eastAsia"/>
        </w:rPr>
        <w:t>與</w:t>
      </w:r>
      <w:r w:rsidR="00C57636">
        <w:rPr>
          <w:rFonts w:ascii="標楷體" w:eastAsia="標楷體" w:hAnsi="標楷體" w:hint="eastAsia"/>
          <w:color w:val="FF0000"/>
        </w:rPr>
        <w:t>91</w:t>
      </w:r>
      <w:r w:rsidR="00C05F07">
        <w:rPr>
          <w:rFonts w:ascii="標楷體" w:eastAsia="標楷體" w:hAnsi="標楷體" w:hint="eastAsia"/>
          <w:color w:val="FF0000"/>
        </w:rPr>
        <w:t>,</w:t>
      </w:r>
      <w:r w:rsidR="00C57636">
        <w:rPr>
          <w:rFonts w:ascii="標楷體" w:eastAsia="標楷體" w:hAnsi="標楷體" w:hint="eastAsia"/>
          <w:color w:val="FF0000"/>
        </w:rPr>
        <w:t>209</w:t>
      </w:r>
      <w:r w:rsidR="000879C1" w:rsidRPr="00C05F07">
        <w:rPr>
          <w:rFonts w:ascii="標楷體" w:eastAsia="標楷體" w:hAnsi="標楷體" w:hint="eastAsia"/>
          <w:color w:val="FF0000"/>
        </w:rPr>
        <w:t>件</w:t>
      </w:r>
      <w:r w:rsidR="005466B5">
        <w:rPr>
          <w:rFonts w:ascii="標楷體" w:eastAsia="標楷體" w:hAnsi="標楷體" w:hint="eastAsia"/>
        </w:rPr>
        <w:t>；</w:t>
      </w:r>
      <w:r w:rsidR="007E51C8">
        <w:rPr>
          <w:rFonts w:ascii="標楷體" w:eastAsia="標楷體" w:hAnsi="標楷體" w:hint="eastAsia"/>
        </w:rPr>
        <w:t>惟</w:t>
      </w:r>
      <w:r w:rsidR="001D7F00">
        <w:rPr>
          <w:rFonts w:ascii="標楷體" w:eastAsia="標楷體" w:hAnsi="標楷體" w:hint="eastAsia"/>
        </w:rPr>
        <w:t>若以投保率觀之，則</w:t>
      </w:r>
      <w:r>
        <w:rPr>
          <w:rFonts w:ascii="標楷體" w:eastAsia="標楷體" w:hAnsi="標楷體" w:hint="eastAsia"/>
        </w:rPr>
        <w:t>男、女性投保率最高之縣市</w:t>
      </w:r>
      <w:r w:rsidR="007E51C8">
        <w:rPr>
          <w:rFonts w:ascii="標楷體" w:eastAsia="標楷體" w:hAnsi="標楷體" w:hint="eastAsia"/>
        </w:rPr>
        <w:t>則</w:t>
      </w:r>
      <w:r>
        <w:rPr>
          <w:rFonts w:ascii="標楷體" w:eastAsia="標楷體" w:hAnsi="標楷體" w:hint="eastAsia"/>
        </w:rPr>
        <w:t>為</w:t>
      </w:r>
      <w:r w:rsidR="00795D6F">
        <w:rPr>
          <w:rFonts w:ascii="標楷體" w:eastAsia="標楷體" w:hAnsi="標楷體" w:hint="eastAsia"/>
        </w:rPr>
        <w:t>臺南市</w:t>
      </w:r>
      <w:r w:rsidR="00993CC2">
        <w:rPr>
          <w:rFonts w:ascii="標楷體" w:eastAsia="標楷體" w:hAnsi="標楷體" w:hint="eastAsia"/>
        </w:rPr>
        <w:t>，比率分別是</w:t>
      </w:r>
      <w:r w:rsidR="00185E42" w:rsidRPr="00552AC1">
        <w:rPr>
          <w:rFonts w:ascii="標楷體" w:eastAsia="標楷體" w:hAnsi="標楷體"/>
          <w:color w:val="FF0000"/>
        </w:rPr>
        <w:t>2.</w:t>
      </w:r>
      <w:r w:rsidR="00355C32">
        <w:rPr>
          <w:rFonts w:ascii="標楷體" w:eastAsia="標楷體" w:hAnsi="標楷體" w:hint="eastAsia"/>
          <w:color w:val="FF0000"/>
        </w:rPr>
        <w:t>56</w:t>
      </w:r>
      <w:r w:rsidR="00185E42" w:rsidRPr="00552AC1">
        <w:rPr>
          <w:rFonts w:ascii="標楷體" w:eastAsia="標楷體" w:hAnsi="標楷體"/>
          <w:color w:val="FF0000"/>
        </w:rPr>
        <w:t>%</w:t>
      </w:r>
      <w:r w:rsidR="00993CC2">
        <w:rPr>
          <w:rFonts w:ascii="標楷體" w:eastAsia="標楷體" w:hAnsi="標楷體" w:hint="eastAsia"/>
        </w:rPr>
        <w:t>與</w:t>
      </w:r>
      <w:r w:rsidR="00552AC1" w:rsidRPr="00552AC1">
        <w:rPr>
          <w:rFonts w:ascii="標楷體" w:eastAsia="標楷體" w:hAnsi="標楷體" w:hint="eastAsia"/>
          <w:color w:val="FF0000"/>
        </w:rPr>
        <w:t>4.</w:t>
      </w:r>
      <w:r w:rsidR="00355C32">
        <w:rPr>
          <w:rFonts w:ascii="標楷體" w:eastAsia="標楷體" w:hAnsi="標楷體" w:hint="eastAsia"/>
          <w:color w:val="FF0000"/>
        </w:rPr>
        <w:t>49</w:t>
      </w:r>
      <w:r w:rsidR="00185E42" w:rsidRPr="00552AC1">
        <w:rPr>
          <w:rFonts w:ascii="標楷體" w:eastAsia="標楷體" w:hAnsi="標楷體"/>
          <w:color w:val="FF0000"/>
        </w:rPr>
        <w:t>%</w:t>
      </w:r>
      <w:r w:rsidR="005466B5">
        <w:rPr>
          <w:rFonts w:ascii="標楷體" w:eastAsia="標楷體" w:hAnsi="標楷體" w:hint="eastAsia"/>
        </w:rPr>
        <w:t>（</w:t>
      </w:r>
      <w:r w:rsidR="005B2C6F">
        <w:rPr>
          <w:rFonts w:ascii="標楷體" w:eastAsia="標楷體" w:hAnsi="標楷體"/>
        </w:rPr>
        <w:t>圖6</w:t>
      </w:r>
      <w:r w:rsidR="005466B5">
        <w:rPr>
          <w:rFonts w:ascii="標楷體" w:eastAsia="標楷體" w:hAnsi="標楷體" w:hint="eastAsia"/>
        </w:rPr>
        <w:t>）</w:t>
      </w:r>
      <w:r w:rsidR="00754488">
        <w:rPr>
          <w:rFonts w:ascii="標楷體" w:eastAsia="標楷體" w:hAnsi="標楷體" w:hint="eastAsia"/>
        </w:rPr>
        <w:t>；</w:t>
      </w:r>
      <w:r w:rsidR="00704DF6">
        <w:rPr>
          <w:rFonts w:ascii="標楷體" w:eastAsia="標楷體" w:hAnsi="標楷體" w:hint="eastAsia"/>
        </w:rPr>
        <w:t>若再將</w:t>
      </w:r>
      <w:r w:rsidR="00993CC2">
        <w:rPr>
          <w:rFonts w:ascii="標楷體" w:eastAsia="標楷體" w:hAnsi="標楷體" w:hint="eastAsia"/>
        </w:rPr>
        <w:t>男</w:t>
      </w:r>
      <w:r w:rsidR="00AB575D">
        <w:rPr>
          <w:rFonts w:ascii="標楷體" w:eastAsia="標楷體" w:hAnsi="標楷體" w:hint="eastAsia"/>
        </w:rPr>
        <w:t>、</w:t>
      </w:r>
      <w:r w:rsidR="00993CC2">
        <w:rPr>
          <w:rFonts w:ascii="標楷體" w:eastAsia="標楷體" w:hAnsi="標楷體" w:hint="eastAsia"/>
        </w:rPr>
        <w:t>女性合計</w:t>
      </w:r>
      <w:r w:rsidR="00704DF6">
        <w:rPr>
          <w:rFonts w:ascii="標楷體" w:eastAsia="標楷體" w:hAnsi="標楷體" w:hint="eastAsia"/>
        </w:rPr>
        <w:t>，</w:t>
      </w:r>
      <w:r w:rsidR="00993CC2">
        <w:rPr>
          <w:rFonts w:ascii="標楷體" w:eastAsia="標楷體" w:hAnsi="標楷體" w:hint="eastAsia"/>
        </w:rPr>
        <w:t>投保率</w:t>
      </w:r>
      <w:r w:rsidR="00704DF6">
        <w:rPr>
          <w:rFonts w:ascii="標楷體" w:eastAsia="標楷體" w:hAnsi="標楷體" w:hint="eastAsia"/>
        </w:rPr>
        <w:t>最高</w:t>
      </w:r>
      <w:r w:rsidR="00993CC2">
        <w:rPr>
          <w:rFonts w:ascii="標楷體" w:eastAsia="標楷體" w:hAnsi="標楷體" w:hint="eastAsia"/>
        </w:rPr>
        <w:t>亦</w:t>
      </w:r>
      <w:r w:rsidR="00704DF6">
        <w:rPr>
          <w:rFonts w:ascii="標楷體" w:eastAsia="標楷體" w:hAnsi="標楷體" w:hint="eastAsia"/>
        </w:rPr>
        <w:t>為</w:t>
      </w:r>
      <w:r w:rsidR="00795D6F">
        <w:rPr>
          <w:rFonts w:ascii="標楷體" w:eastAsia="標楷體" w:hAnsi="標楷體" w:hint="eastAsia"/>
        </w:rPr>
        <w:t>臺南市</w:t>
      </w:r>
      <w:r w:rsidR="00993CC2">
        <w:rPr>
          <w:rFonts w:ascii="標楷體" w:eastAsia="標楷體" w:hAnsi="標楷體" w:hint="eastAsia"/>
        </w:rPr>
        <w:t>，比率為</w:t>
      </w:r>
      <w:r w:rsidR="00185E42" w:rsidRPr="00552AC1">
        <w:rPr>
          <w:rFonts w:ascii="標楷體" w:eastAsia="標楷體" w:hAnsi="標楷體"/>
          <w:color w:val="FF0000"/>
        </w:rPr>
        <w:t>3.</w:t>
      </w:r>
      <w:r w:rsidR="00355C32">
        <w:rPr>
          <w:rFonts w:ascii="標楷體" w:eastAsia="標楷體" w:hAnsi="標楷體" w:hint="eastAsia"/>
          <w:color w:val="FF0000"/>
        </w:rPr>
        <w:t>53</w:t>
      </w:r>
      <w:r w:rsidR="00185E42" w:rsidRPr="00552AC1">
        <w:rPr>
          <w:rFonts w:ascii="標楷體" w:eastAsia="標楷體" w:hAnsi="標楷體"/>
          <w:color w:val="FF0000"/>
        </w:rPr>
        <w:t>%</w:t>
      </w:r>
      <w:r w:rsidR="000C3010">
        <w:rPr>
          <w:rFonts w:ascii="標楷體" w:eastAsia="標楷體" w:hAnsi="標楷體" w:hint="eastAsia"/>
        </w:rPr>
        <w:t>。</w:t>
      </w:r>
    </w:p>
    <w:p w14:paraId="2E8A8ECD" w14:textId="77777777" w:rsidR="00492F56" w:rsidRDefault="00492F56" w:rsidP="00984325">
      <w:pPr>
        <w:jc w:val="both"/>
        <w:rPr>
          <w:rFonts w:ascii="標楷體" w:eastAsia="標楷體" w:hAnsi="標楷體"/>
        </w:rPr>
      </w:pPr>
    </w:p>
    <w:p w14:paraId="1495168F" w14:textId="701A7E73" w:rsidR="00492F56" w:rsidRDefault="00C57636" w:rsidP="00355C32">
      <w:pPr>
        <w:ind w:leftChars="236" w:left="566"/>
        <w:jc w:val="both"/>
        <w:rPr>
          <w:rFonts w:ascii="標楷體" w:eastAsia="標楷體" w:hAnsi="標楷體"/>
        </w:rPr>
      </w:pPr>
      <w:r>
        <w:rPr>
          <w:noProof/>
        </w:rPr>
        <w:drawing>
          <wp:inline distT="0" distB="0" distL="0" distR="0" wp14:anchorId="4371E25C" wp14:editId="045D03D1">
            <wp:extent cx="5691117" cy="3599815"/>
            <wp:effectExtent l="0" t="0" r="0" b="0"/>
            <wp:docPr id="9" name="圖表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5C31431C-745E-4FE9-83A6-591A11B91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8F1563" w14:textId="77777777" w:rsidR="005E7FDC" w:rsidRDefault="005E7FDC" w:rsidP="00492F56">
      <w:pPr>
        <w:jc w:val="both"/>
      </w:pPr>
    </w:p>
    <w:p w14:paraId="2A343B9A" w14:textId="779011A7" w:rsidR="00492F56" w:rsidRDefault="00613030" w:rsidP="00901A57">
      <w:pPr>
        <w:jc w:val="both"/>
      </w:pPr>
      <w:r>
        <w:rPr>
          <w:noProof/>
        </w:rPr>
        <w:drawing>
          <wp:inline distT="0" distB="0" distL="0" distR="0" wp14:anchorId="6D0232F8" wp14:editId="64FD87E7">
            <wp:extent cx="6120130" cy="2814955"/>
            <wp:effectExtent l="0" t="0" r="0" b="0"/>
            <wp:docPr id="23" name="圖表 2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A140344C-30F6-4AA7-82BC-0F7B68185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DF451C" w14:textId="60471866" w:rsidR="00CB695E" w:rsidRDefault="00CB695E">
      <w:pPr>
        <w:widowControl/>
        <w:rPr>
          <w:rFonts w:ascii="標楷體" w:eastAsia="標楷體" w:hAnsi="標楷體"/>
        </w:rPr>
      </w:pPr>
    </w:p>
    <w:p w14:paraId="006B0590" w14:textId="4FC25499" w:rsidR="00D2617C" w:rsidRDefault="00492F56" w:rsidP="00245E35">
      <w:pPr>
        <w:spacing w:line="360" w:lineRule="auto"/>
        <w:ind w:leftChars="236" w:left="566"/>
        <w:jc w:val="both"/>
        <w:rPr>
          <w:rFonts w:ascii="標楷體" w:eastAsia="標楷體" w:hAnsi="標楷體"/>
        </w:rPr>
      </w:pPr>
      <w:r w:rsidRPr="00492F56">
        <w:rPr>
          <w:rFonts w:ascii="標楷體" w:eastAsia="標楷體" w:hAnsi="標楷體" w:hint="eastAsia"/>
        </w:rPr>
        <w:t>至於16縣市部分</w:t>
      </w:r>
      <w:r w:rsidR="005466B5">
        <w:rPr>
          <w:rFonts w:ascii="標楷體" w:eastAsia="標楷體" w:hAnsi="標楷體" w:hint="eastAsia"/>
        </w:rPr>
        <w:t>（</w:t>
      </w:r>
      <w:r w:rsidRPr="00492F56">
        <w:rPr>
          <w:rFonts w:ascii="標楷體" w:eastAsia="標楷體" w:hAnsi="標楷體" w:hint="eastAsia"/>
        </w:rPr>
        <w:t>圖7</w:t>
      </w:r>
      <w:r w:rsidR="005466B5">
        <w:rPr>
          <w:rFonts w:ascii="標楷體" w:eastAsia="標楷體" w:hAnsi="標楷體" w:hint="eastAsia"/>
        </w:rPr>
        <w:t>）</w:t>
      </w:r>
      <w:r w:rsidR="00DB47AC">
        <w:rPr>
          <w:rFonts w:ascii="標楷體" w:eastAsia="標楷體" w:hAnsi="標楷體" w:hint="eastAsia"/>
        </w:rPr>
        <w:t>，彰化縣</w:t>
      </w:r>
      <w:r w:rsidR="00DB47AC" w:rsidRPr="00DB47AC">
        <w:rPr>
          <w:rFonts w:ascii="標楷體" w:eastAsia="標楷體" w:hAnsi="標楷體" w:hint="eastAsia"/>
        </w:rPr>
        <w:t>男、女人口數居</w:t>
      </w:r>
      <w:r w:rsidR="00DB47AC">
        <w:rPr>
          <w:rFonts w:ascii="標楷體" w:eastAsia="標楷體" w:hAnsi="標楷體" w:hint="eastAsia"/>
        </w:rPr>
        <w:t>1</w:t>
      </w:r>
      <w:r w:rsidR="00DB47AC" w:rsidRPr="00DB47AC">
        <w:rPr>
          <w:rFonts w:ascii="標楷體" w:eastAsia="標楷體" w:hAnsi="標楷體" w:hint="eastAsia"/>
        </w:rPr>
        <w:t>6</w:t>
      </w:r>
      <w:r w:rsidR="00DB47AC">
        <w:rPr>
          <w:rFonts w:ascii="標楷體" w:eastAsia="標楷體" w:hAnsi="標楷體" w:hint="eastAsia"/>
        </w:rPr>
        <w:t>縣</w:t>
      </w:r>
      <w:r w:rsidR="00DB47AC" w:rsidRPr="00DB47AC">
        <w:rPr>
          <w:rFonts w:ascii="標楷體" w:eastAsia="標楷體" w:hAnsi="標楷體" w:hint="eastAsia"/>
        </w:rPr>
        <w:t>市人口數之首，其男、女性長期照顧保險有效契約件數亦為最多，分別為</w:t>
      </w:r>
      <w:r w:rsidR="00F3000E" w:rsidRPr="00BE2B32">
        <w:rPr>
          <w:rFonts w:ascii="標楷體" w:eastAsia="標楷體" w:hAnsi="標楷體"/>
          <w:color w:val="FF0000"/>
        </w:rPr>
        <w:t>1</w:t>
      </w:r>
      <w:r w:rsidR="00473945">
        <w:rPr>
          <w:rFonts w:ascii="標楷體" w:eastAsia="標楷體" w:hAnsi="標楷體" w:hint="eastAsia"/>
          <w:color w:val="FF0000"/>
        </w:rPr>
        <w:t>6</w:t>
      </w:r>
      <w:r w:rsidR="00BE2B32">
        <w:rPr>
          <w:rFonts w:ascii="標楷體" w:eastAsia="標楷體" w:hAnsi="標楷體" w:hint="eastAsia"/>
          <w:color w:val="FF0000"/>
        </w:rPr>
        <w:t>,</w:t>
      </w:r>
      <w:r w:rsidR="00473945">
        <w:rPr>
          <w:rFonts w:ascii="標楷體" w:eastAsia="標楷體" w:hAnsi="標楷體" w:hint="eastAsia"/>
          <w:color w:val="FF0000"/>
        </w:rPr>
        <w:t>306</w:t>
      </w:r>
      <w:r w:rsidR="00DB47AC" w:rsidRPr="00BE2B32">
        <w:rPr>
          <w:rFonts w:ascii="標楷體" w:eastAsia="標楷體" w:hAnsi="標楷體" w:hint="eastAsia"/>
          <w:color w:val="FF0000"/>
        </w:rPr>
        <w:t>件</w:t>
      </w:r>
      <w:r w:rsidR="00DB47AC" w:rsidRPr="00DB47AC">
        <w:rPr>
          <w:rFonts w:ascii="標楷體" w:eastAsia="標楷體" w:hAnsi="標楷體" w:hint="eastAsia"/>
        </w:rPr>
        <w:t>與</w:t>
      </w:r>
      <w:r w:rsidR="00536EEE" w:rsidRPr="00BE2B32">
        <w:rPr>
          <w:rFonts w:ascii="標楷體" w:eastAsia="標楷體" w:hAnsi="標楷體"/>
          <w:color w:val="FF0000"/>
        </w:rPr>
        <w:t>2</w:t>
      </w:r>
      <w:r w:rsidR="00473945">
        <w:rPr>
          <w:rFonts w:ascii="標楷體" w:eastAsia="標楷體" w:hAnsi="標楷體" w:hint="eastAsia"/>
          <w:color w:val="FF0000"/>
        </w:rPr>
        <w:t>8</w:t>
      </w:r>
      <w:r w:rsidR="00BE2B32">
        <w:rPr>
          <w:rFonts w:ascii="標楷體" w:eastAsia="標楷體" w:hAnsi="標楷體" w:hint="eastAsia"/>
          <w:color w:val="FF0000"/>
        </w:rPr>
        <w:t>,</w:t>
      </w:r>
      <w:r w:rsidR="00473945">
        <w:rPr>
          <w:rFonts w:ascii="標楷體" w:eastAsia="標楷體" w:hAnsi="標楷體" w:hint="eastAsia"/>
          <w:color w:val="FF0000"/>
        </w:rPr>
        <w:t>904</w:t>
      </w:r>
      <w:r w:rsidR="00DB47AC" w:rsidRPr="00BE2B32">
        <w:rPr>
          <w:rFonts w:ascii="標楷體" w:eastAsia="標楷體" w:hAnsi="標楷體" w:hint="eastAsia"/>
          <w:color w:val="FF0000"/>
        </w:rPr>
        <w:t>件</w:t>
      </w:r>
      <w:r w:rsidR="00DB47AC" w:rsidRPr="00DB47AC">
        <w:rPr>
          <w:rFonts w:ascii="標楷體" w:eastAsia="標楷體" w:hAnsi="標楷體" w:hint="eastAsia"/>
        </w:rPr>
        <w:t>；惟若以投保率觀之，則男、女性投保率最高之縣市則為</w:t>
      </w:r>
      <w:r w:rsidRPr="00492F56">
        <w:rPr>
          <w:rFonts w:ascii="標楷體" w:eastAsia="標楷體" w:hAnsi="標楷體" w:hint="eastAsia"/>
        </w:rPr>
        <w:t>宜蘭縣，比率分別是</w:t>
      </w:r>
      <w:r w:rsidR="007B5265">
        <w:rPr>
          <w:rFonts w:ascii="標楷體" w:eastAsia="標楷體" w:hAnsi="標楷體" w:hint="eastAsia"/>
          <w:color w:val="FF0000"/>
        </w:rPr>
        <w:t>3.</w:t>
      </w:r>
      <w:r w:rsidR="00023A31">
        <w:rPr>
          <w:rFonts w:ascii="標楷體" w:eastAsia="標楷體" w:hAnsi="標楷體" w:hint="eastAsia"/>
          <w:color w:val="FF0000"/>
        </w:rPr>
        <w:t>54</w:t>
      </w:r>
      <w:r w:rsidR="00914AD9" w:rsidRPr="007B5265">
        <w:rPr>
          <w:rFonts w:ascii="標楷體" w:eastAsia="標楷體" w:hAnsi="標楷體"/>
          <w:color w:val="FF0000"/>
        </w:rPr>
        <w:t>%</w:t>
      </w:r>
      <w:r w:rsidRPr="00492F56">
        <w:rPr>
          <w:rFonts w:ascii="標楷體" w:eastAsia="標楷體" w:hAnsi="標楷體" w:hint="eastAsia"/>
        </w:rPr>
        <w:t>與</w:t>
      </w:r>
      <w:r w:rsidR="007B5265">
        <w:rPr>
          <w:rFonts w:ascii="標楷體" w:eastAsia="標楷體" w:hAnsi="標楷體" w:hint="eastAsia"/>
          <w:color w:val="FF0000"/>
        </w:rPr>
        <w:t>6.</w:t>
      </w:r>
      <w:r w:rsidR="00023A31">
        <w:rPr>
          <w:rFonts w:ascii="標楷體" w:eastAsia="標楷體" w:hAnsi="標楷體" w:hint="eastAsia"/>
          <w:color w:val="FF0000"/>
        </w:rPr>
        <w:t>75</w:t>
      </w:r>
      <w:r w:rsidR="00914AD9" w:rsidRPr="007B5265">
        <w:rPr>
          <w:rFonts w:ascii="標楷體" w:eastAsia="標楷體" w:hAnsi="標楷體"/>
          <w:color w:val="FF0000"/>
        </w:rPr>
        <w:t>%</w:t>
      </w:r>
      <w:r w:rsidR="005466B5">
        <w:rPr>
          <w:rFonts w:ascii="標楷體" w:eastAsia="標楷體" w:hAnsi="標楷體" w:hint="eastAsia"/>
        </w:rPr>
        <w:t>（</w:t>
      </w:r>
      <w:r w:rsidRPr="00492F56">
        <w:rPr>
          <w:rFonts w:ascii="標楷體" w:eastAsia="標楷體" w:hAnsi="標楷體" w:hint="eastAsia"/>
        </w:rPr>
        <w:t>圖8</w:t>
      </w:r>
      <w:r w:rsidR="005466B5">
        <w:rPr>
          <w:rFonts w:ascii="標楷體" w:eastAsia="標楷體" w:hAnsi="標楷體" w:hint="eastAsia"/>
        </w:rPr>
        <w:t>）</w:t>
      </w:r>
      <w:r w:rsidRPr="00492F56">
        <w:rPr>
          <w:rFonts w:ascii="標楷體" w:eastAsia="標楷體" w:hAnsi="標楷體" w:hint="eastAsia"/>
        </w:rPr>
        <w:t>，男</w:t>
      </w:r>
      <w:r w:rsidR="00AB575D">
        <w:rPr>
          <w:rFonts w:ascii="標楷體" w:eastAsia="標楷體" w:hAnsi="標楷體" w:hint="eastAsia"/>
        </w:rPr>
        <w:t>、</w:t>
      </w:r>
      <w:r w:rsidRPr="00492F56">
        <w:rPr>
          <w:rFonts w:ascii="標楷體" w:eastAsia="標楷體" w:hAnsi="標楷體" w:hint="eastAsia"/>
        </w:rPr>
        <w:t>女性合計之投保率亦以宜蘭縣最高，比率為</w:t>
      </w:r>
      <w:r w:rsidR="00023A31">
        <w:rPr>
          <w:rFonts w:ascii="標楷體" w:eastAsia="標楷體" w:hAnsi="標楷體" w:hint="eastAsia"/>
          <w:color w:val="FF0000"/>
        </w:rPr>
        <w:t>5.13</w:t>
      </w:r>
      <w:r w:rsidR="00914AD9" w:rsidRPr="007B5265">
        <w:rPr>
          <w:rFonts w:ascii="標楷體" w:eastAsia="標楷體" w:hAnsi="標楷體"/>
          <w:color w:val="FF0000"/>
        </w:rPr>
        <w:t>%</w:t>
      </w:r>
      <w:r w:rsidRPr="00492F56">
        <w:rPr>
          <w:rFonts w:ascii="標楷體" w:eastAsia="標楷體" w:hAnsi="標楷體" w:hint="eastAsia"/>
        </w:rPr>
        <w:t>。</w:t>
      </w:r>
    </w:p>
    <w:p w14:paraId="24C1163E" w14:textId="77777777" w:rsidR="00E26BAB" w:rsidRPr="007B5265" w:rsidRDefault="00E26BAB" w:rsidP="00CC3F72">
      <w:pPr>
        <w:jc w:val="both"/>
        <w:rPr>
          <w:rFonts w:ascii="標楷體" w:eastAsia="標楷體" w:hAnsi="標楷體"/>
        </w:rPr>
      </w:pPr>
    </w:p>
    <w:p w14:paraId="1E7F1375" w14:textId="640A8E24" w:rsidR="00CC3F72" w:rsidRDefault="008C63F8" w:rsidP="00CC3F72">
      <w:pPr>
        <w:jc w:val="both"/>
        <w:rPr>
          <w:rFonts w:ascii="標楷體" w:eastAsia="標楷體" w:hAnsi="標楷體"/>
        </w:rPr>
      </w:pPr>
      <w:r>
        <w:rPr>
          <w:noProof/>
        </w:rPr>
        <w:drawing>
          <wp:inline distT="0" distB="0" distL="0" distR="0" wp14:anchorId="03FBF584" wp14:editId="149E2BD1">
            <wp:extent cx="6480000" cy="3251200"/>
            <wp:effectExtent l="0" t="0" r="0" b="0"/>
            <wp:docPr id="18" name="圖表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E2E88A1F-1F28-4926-A44D-C43E3D21EF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1A20B3" w14:textId="77777777" w:rsidR="00E26BAB" w:rsidRDefault="00E26BAB" w:rsidP="00CC3F72">
      <w:pPr>
        <w:jc w:val="both"/>
        <w:rPr>
          <w:rFonts w:ascii="標楷體" w:eastAsia="標楷體" w:hAnsi="標楷體"/>
        </w:rPr>
      </w:pPr>
    </w:p>
    <w:p w14:paraId="61651CCC" w14:textId="7304DF32" w:rsidR="00E26BAB" w:rsidRDefault="00E26BAB" w:rsidP="00CC3F72">
      <w:pPr>
        <w:jc w:val="both"/>
        <w:rPr>
          <w:rFonts w:ascii="標楷體" w:eastAsia="標楷體" w:hAnsi="標楷體"/>
        </w:rPr>
      </w:pPr>
    </w:p>
    <w:p w14:paraId="7F0EB548" w14:textId="77777777" w:rsidR="00E26BAB" w:rsidRDefault="00E26BAB" w:rsidP="00CC3F72">
      <w:pPr>
        <w:jc w:val="both"/>
        <w:rPr>
          <w:rFonts w:ascii="標楷體" w:eastAsia="標楷體" w:hAnsi="標楷體"/>
        </w:rPr>
      </w:pPr>
    </w:p>
    <w:p w14:paraId="5BCCE7C0" w14:textId="77777777" w:rsidR="007173A5" w:rsidRDefault="007173A5" w:rsidP="00D2617C">
      <w:pPr>
        <w:jc w:val="both"/>
        <w:rPr>
          <w:rFonts w:ascii="標楷體" w:eastAsia="標楷體" w:hAnsi="標楷體"/>
        </w:rPr>
      </w:pPr>
    </w:p>
    <w:p w14:paraId="5EE38604" w14:textId="5B6F5304" w:rsidR="00B006EA" w:rsidRDefault="00613030">
      <w:pPr>
        <w:widowControl/>
        <w:rPr>
          <w:rFonts w:ascii="標楷體" w:eastAsia="標楷體" w:hAnsi="標楷體"/>
        </w:rPr>
      </w:pPr>
      <w:r>
        <w:rPr>
          <w:noProof/>
        </w:rPr>
        <w:drawing>
          <wp:inline distT="0" distB="0" distL="0" distR="0" wp14:anchorId="58D0A3A8" wp14:editId="76A1CD16">
            <wp:extent cx="6437376" cy="3043123"/>
            <wp:effectExtent l="0" t="0" r="0" b="0"/>
            <wp:docPr id="26" name="圖表 2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31A31E1-7C21-4290-847A-3A6A0A0F23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993C6A" w14:textId="77777777" w:rsidR="00A347D5" w:rsidRDefault="00A347D5">
      <w:pPr>
        <w:widowControl/>
        <w:rPr>
          <w:rFonts w:ascii="標楷體" w:eastAsia="標楷體" w:hAnsi="標楷體"/>
        </w:rPr>
      </w:pPr>
    </w:p>
    <w:p w14:paraId="66AF9D1A" w14:textId="77777777" w:rsidR="008A694C" w:rsidRPr="008A694C" w:rsidRDefault="005D259B" w:rsidP="00571506">
      <w:pPr>
        <w:widowControl/>
        <w:spacing w:line="360" w:lineRule="auto"/>
        <w:rPr>
          <w:rFonts w:ascii="標楷體" w:eastAsia="標楷體" w:hAnsi="標楷體"/>
          <w:b/>
          <w:bCs/>
        </w:rPr>
      </w:pPr>
      <w:r>
        <w:rPr>
          <w:rFonts w:ascii="標楷體" w:eastAsia="標楷體" w:hAnsi="標楷體" w:hint="eastAsia"/>
          <w:b/>
          <w:bCs/>
        </w:rPr>
        <w:t>五、要保人年收入分佈</w:t>
      </w:r>
      <w:r w:rsidR="008A694C" w:rsidRPr="008A694C">
        <w:rPr>
          <w:rFonts w:ascii="標楷體" w:eastAsia="標楷體" w:hAnsi="標楷體" w:hint="eastAsia"/>
          <w:b/>
          <w:bCs/>
        </w:rPr>
        <w:t>：</w:t>
      </w:r>
    </w:p>
    <w:p w14:paraId="57A9541F" w14:textId="1EC62EEB" w:rsidR="00FA7F37" w:rsidRDefault="000E30DF" w:rsidP="00BC79C0">
      <w:pPr>
        <w:widowControl/>
        <w:spacing w:line="360" w:lineRule="auto"/>
        <w:ind w:leftChars="236" w:left="566"/>
        <w:jc w:val="both"/>
        <w:rPr>
          <w:rFonts w:ascii="標楷體" w:eastAsia="標楷體" w:hAnsi="標楷體"/>
        </w:rPr>
      </w:pPr>
      <w:r w:rsidRPr="00571506">
        <w:rPr>
          <w:rFonts w:ascii="標楷體" w:eastAsia="標楷體" w:hAnsi="標楷體" w:hint="eastAsia"/>
          <w:color w:val="FF0000"/>
        </w:rPr>
        <w:t>10</w:t>
      </w:r>
      <w:r w:rsidR="00571506" w:rsidRPr="00571506">
        <w:rPr>
          <w:rFonts w:ascii="標楷體" w:eastAsia="標楷體" w:hAnsi="標楷體" w:hint="eastAsia"/>
          <w:color w:val="FF0000"/>
        </w:rPr>
        <w:t>9</w:t>
      </w:r>
      <w:r w:rsidRPr="00571506">
        <w:rPr>
          <w:rFonts w:ascii="標楷體" w:eastAsia="標楷體" w:hAnsi="標楷體" w:hint="eastAsia"/>
          <w:color w:val="FF0000"/>
        </w:rPr>
        <w:t>年</w:t>
      </w:r>
      <w:r w:rsidR="00571506" w:rsidRPr="00571506">
        <w:rPr>
          <w:rFonts w:ascii="標楷體" w:eastAsia="標楷體" w:hAnsi="標楷體" w:hint="eastAsia"/>
          <w:color w:val="FF0000"/>
        </w:rPr>
        <w:t>上半年</w:t>
      </w:r>
      <w:r w:rsidR="00B2377C">
        <w:rPr>
          <w:rFonts w:ascii="標楷體" w:eastAsia="標楷體" w:hAnsi="標楷體" w:hint="eastAsia"/>
          <w:color w:val="FF0000"/>
        </w:rPr>
        <w:t>度</w:t>
      </w:r>
      <w:r w:rsidR="003E64AA">
        <w:rPr>
          <w:rFonts w:ascii="標楷體" w:eastAsia="標楷體" w:hAnsi="標楷體" w:hint="eastAsia"/>
        </w:rPr>
        <w:t>長期照顧</w:t>
      </w:r>
      <w:r w:rsidRPr="000E30DF">
        <w:rPr>
          <w:rFonts w:ascii="標楷體" w:eastAsia="標楷體" w:hAnsi="標楷體" w:hint="eastAsia"/>
        </w:rPr>
        <w:t>保險</w:t>
      </w:r>
      <w:r>
        <w:rPr>
          <w:rFonts w:ascii="標楷體" w:eastAsia="標楷體" w:hAnsi="標楷體" w:hint="eastAsia"/>
        </w:rPr>
        <w:t>新契約男性</w:t>
      </w:r>
      <w:r w:rsidRPr="000E30DF">
        <w:rPr>
          <w:rFonts w:ascii="標楷體" w:eastAsia="標楷體" w:hAnsi="標楷體" w:hint="eastAsia"/>
        </w:rPr>
        <w:t>要保人</w:t>
      </w:r>
      <w:r>
        <w:rPr>
          <w:rFonts w:ascii="標楷體" w:eastAsia="標楷體" w:hAnsi="標楷體" w:hint="eastAsia"/>
        </w:rPr>
        <w:t>和女性要保人的件數分別</w:t>
      </w:r>
      <w:r w:rsidRPr="000E30DF">
        <w:rPr>
          <w:rFonts w:ascii="標楷體" w:eastAsia="標楷體" w:hAnsi="標楷體" w:hint="eastAsia"/>
          <w:color w:val="FF0000"/>
        </w:rPr>
        <w:t>2</w:t>
      </w:r>
      <w:r w:rsidR="009B6AD8">
        <w:rPr>
          <w:rFonts w:ascii="標楷體" w:eastAsia="標楷體" w:hAnsi="標楷體" w:hint="eastAsia"/>
          <w:color w:val="FF0000"/>
        </w:rPr>
        <w:t>2</w:t>
      </w:r>
      <w:r w:rsidR="009B6AD8">
        <w:rPr>
          <w:rFonts w:ascii="標楷體" w:eastAsia="標楷體" w:hAnsi="標楷體"/>
          <w:color w:val="FF0000"/>
        </w:rPr>
        <w:t>,</w:t>
      </w:r>
      <w:r w:rsidR="009B6AD8">
        <w:rPr>
          <w:rFonts w:ascii="標楷體" w:eastAsia="標楷體" w:hAnsi="標楷體" w:hint="eastAsia"/>
          <w:color w:val="FF0000"/>
        </w:rPr>
        <w:t>557</w:t>
      </w:r>
      <w:r w:rsidRPr="000E30DF">
        <w:rPr>
          <w:rFonts w:ascii="標楷體" w:eastAsia="標楷體" w:hAnsi="標楷體" w:hint="eastAsia"/>
          <w:color w:val="FF0000"/>
        </w:rPr>
        <w:t>件</w:t>
      </w:r>
      <w:r>
        <w:rPr>
          <w:rFonts w:ascii="標楷體" w:eastAsia="標楷體" w:hAnsi="標楷體" w:hint="eastAsia"/>
        </w:rPr>
        <w:t>和</w:t>
      </w:r>
      <w:r w:rsidR="009B6AD8">
        <w:rPr>
          <w:rFonts w:ascii="標楷體" w:eastAsia="標楷體" w:hAnsi="標楷體"/>
          <w:color w:val="FF0000"/>
        </w:rPr>
        <w:t>29,774</w:t>
      </w:r>
      <w:r w:rsidRPr="000E30DF">
        <w:rPr>
          <w:rFonts w:ascii="標楷體" w:eastAsia="標楷體" w:hAnsi="標楷體" w:hint="eastAsia"/>
          <w:color w:val="FF0000"/>
        </w:rPr>
        <w:t>件</w:t>
      </w:r>
      <w:r>
        <w:rPr>
          <w:rFonts w:ascii="標楷體" w:eastAsia="標楷體" w:hAnsi="標楷體" w:hint="eastAsia"/>
        </w:rPr>
        <w:t>，</w:t>
      </w:r>
      <w:r w:rsidR="007C42D0">
        <w:rPr>
          <w:rFonts w:ascii="標楷體" w:eastAsia="標楷體" w:hAnsi="標楷體" w:hint="eastAsia"/>
        </w:rPr>
        <w:t>女性</w:t>
      </w:r>
      <w:r w:rsidR="009F53C0">
        <w:rPr>
          <w:rFonts w:ascii="標楷體" w:eastAsia="標楷體" w:hAnsi="標楷體" w:hint="eastAsia"/>
        </w:rPr>
        <w:t>件數較男性件數高。若以要保人年收入</w:t>
      </w:r>
      <w:r w:rsidR="0000443B">
        <w:rPr>
          <w:rFonts w:ascii="標楷體" w:eastAsia="標楷體" w:hAnsi="標楷體" w:hint="eastAsia"/>
        </w:rPr>
        <w:t>級距為</w:t>
      </w:r>
      <w:r w:rsidR="009F53C0">
        <w:rPr>
          <w:rFonts w:ascii="標楷體" w:eastAsia="標楷體" w:hAnsi="標楷體" w:hint="eastAsia"/>
        </w:rPr>
        <w:t>資料母體進行分析</w:t>
      </w:r>
      <w:r w:rsidR="004B7251">
        <w:rPr>
          <w:rFonts w:ascii="標楷體" w:eastAsia="標楷體" w:hAnsi="標楷體" w:hint="eastAsia"/>
        </w:rPr>
        <w:t>(圖9)</w:t>
      </w:r>
      <w:r w:rsidR="009F53C0">
        <w:rPr>
          <w:rFonts w:ascii="標楷體" w:eastAsia="標楷體" w:hAnsi="標楷體" w:hint="eastAsia"/>
        </w:rPr>
        <w:t>，要保人年收入在51~100萬的</w:t>
      </w:r>
      <w:r w:rsidR="004B7251">
        <w:rPr>
          <w:rFonts w:ascii="標楷體" w:eastAsia="標楷體" w:hAnsi="標楷體" w:hint="eastAsia"/>
        </w:rPr>
        <w:t>男、女性</w:t>
      </w:r>
      <w:r w:rsidR="009F53C0">
        <w:rPr>
          <w:rFonts w:ascii="標楷體" w:eastAsia="標楷體" w:hAnsi="標楷體" w:hint="eastAsia"/>
        </w:rPr>
        <w:t>新契約件數</w:t>
      </w:r>
      <w:r w:rsidR="00DD55EF">
        <w:rPr>
          <w:rFonts w:ascii="標楷體" w:eastAsia="標楷體" w:hAnsi="標楷體" w:hint="eastAsia"/>
        </w:rPr>
        <w:t>均</w:t>
      </w:r>
      <w:r w:rsidR="00FD702D">
        <w:rPr>
          <w:rFonts w:ascii="標楷體" w:eastAsia="標楷體" w:hAnsi="標楷體" w:hint="eastAsia"/>
        </w:rPr>
        <w:t>為7</w:t>
      </w:r>
      <w:r w:rsidR="00CB3025">
        <w:rPr>
          <w:rFonts w:ascii="標楷體" w:eastAsia="標楷體" w:hAnsi="標楷體" w:hint="eastAsia"/>
        </w:rPr>
        <w:t>個</w:t>
      </w:r>
      <w:r w:rsidR="00FD702D">
        <w:rPr>
          <w:rFonts w:ascii="標楷體" w:eastAsia="標楷體" w:hAnsi="標楷體" w:hint="eastAsia"/>
        </w:rPr>
        <w:t>收入</w:t>
      </w:r>
      <w:r w:rsidR="005E5EAD">
        <w:rPr>
          <w:rFonts w:ascii="標楷體" w:eastAsia="標楷體" w:hAnsi="標楷體" w:hint="eastAsia"/>
        </w:rPr>
        <w:t>級距</w:t>
      </w:r>
      <w:r w:rsidR="00FD702D">
        <w:rPr>
          <w:rFonts w:ascii="標楷體" w:eastAsia="標楷體" w:hAnsi="標楷體" w:hint="eastAsia"/>
        </w:rPr>
        <w:t>之首，</w:t>
      </w:r>
      <w:r w:rsidR="00B235CE">
        <w:rPr>
          <w:rFonts w:ascii="標楷體" w:eastAsia="標楷體" w:hAnsi="標楷體" w:hint="eastAsia"/>
        </w:rPr>
        <w:t>分別為</w:t>
      </w:r>
      <w:r w:rsidR="00CB3025" w:rsidRPr="00CB3025">
        <w:rPr>
          <w:rFonts w:ascii="標楷體" w:eastAsia="標楷體" w:hAnsi="標楷體" w:hint="eastAsia"/>
          <w:color w:val="FF0000"/>
        </w:rPr>
        <w:t>11,6</w:t>
      </w:r>
      <w:r w:rsidR="005E5EAD">
        <w:rPr>
          <w:rFonts w:ascii="標楷體" w:eastAsia="標楷體" w:hAnsi="標楷體" w:hint="eastAsia"/>
          <w:color w:val="FF0000"/>
        </w:rPr>
        <w:t>62</w:t>
      </w:r>
      <w:r w:rsidR="00B235CE" w:rsidRPr="00CB3025">
        <w:rPr>
          <w:rFonts w:ascii="標楷體" w:eastAsia="標楷體" w:hAnsi="標楷體" w:hint="eastAsia"/>
          <w:color w:val="FF0000"/>
        </w:rPr>
        <w:t>件</w:t>
      </w:r>
      <w:r w:rsidR="00B235CE">
        <w:rPr>
          <w:rFonts w:ascii="標楷體" w:eastAsia="標楷體" w:hAnsi="標楷體" w:hint="eastAsia"/>
        </w:rPr>
        <w:t>與</w:t>
      </w:r>
      <w:r w:rsidR="00CB3025" w:rsidRPr="00CB3025">
        <w:rPr>
          <w:rFonts w:ascii="標楷體" w:eastAsia="標楷體" w:hAnsi="標楷體" w:hint="eastAsia"/>
          <w:color w:val="FF0000"/>
        </w:rPr>
        <w:t>1</w:t>
      </w:r>
      <w:r w:rsidR="005E5EAD">
        <w:rPr>
          <w:rFonts w:ascii="標楷體" w:eastAsia="標楷體" w:hAnsi="標楷體" w:hint="eastAsia"/>
          <w:color w:val="FF0000"/>
        </w:rPr>
        <w:t>5</w:t>
      </w:r>
      <w:r w:rsidR="005E5EAD">
        <w:rPr>
          <w:rFonts w:ascii="標楷體" w:eastAsia="標楷體" w:hAnsi="標楷體"/>
          <w:color w:val="FF0000"/>
        </w:rPr>
        <w:t>,</w:t>
      </w:r>
      <w:r w:rsidR="005E5EAD">
        <w:rPr>
          <w:rFonts w:ascii="標楷體" w:eastAsia="標楷體" w:hAnsi="標楷體" w:hint="eastAsia"/>
          <w:color w:val="FF0000"/>
        </w:rPr>
        <w:t>531</w:t>
      </w:r>
      <w:r w:rsidR="00B235CE" w:rsidRPr="00CB3025">
        <w:rPr>
          <w:rFonts w:ascii="標楷體" w:eastAsia="標楷體" w:hAnsi="標楷體" w:hint="eastAsia"/>
          <w:color w:val="FF0000"/>
        </w:rPr>
        <w:t>件</w:t>
      </w:r>
      <w:r w:rsidR="003F7908">
        <w:rPr>
          <w:rFonts w:ascii="標楷體" w:eastAsia="標楷體" w:hAnsi="標楷體" w:hint="eastAsia"/>
        </w:rPr>
        <w:t>，</w:t>
      </w:r>
      <w:r w:rsidR="009A7A38">
        <w:rPr>
          <w:rFonts w:ascii="標楷體" w:eastAsia="標楷體" w:hAnsi="標楷體" w:hint="eastAsia"/>
        </w:rPr>
        <w:t>此</w:t>
      </w:r>
      <w:r w:rsidR="003F7908">
        <w:rPr>
          <w:rFonts w:ascii="標楷體" w:eastAsia="標楷體" w:hAnsi="標楷體" w:hint="eastAsia"/>
        </w:rPr>
        <w:t>年收入</w:t>
      </w:r>
      <w:r w:rsidR="009A7A38">
        <w:rPr>
          <w:rFonts w:ascii="標楷體" w:eastAsia="標楷體" w:hAnsi="標楷體" w:hint="eastAsia"/>
        </w:rPr>
        <w:t>區間的男、女</w:t>
      </w:r>
      <w:r w:rsidR="00A3013E">
        <w:rPr>
          <w:rFonts w:ascii="標楷體" w:eastAsia="標楷體" w:hAnsi="標楷體" w:hint="eastAsia"/>
        </w:rPr>
        <w:t>新契約投保件數</w:t>
      </w:r>
      <w:r w:rsidR="00FF4331">
        <w:rPr>
          <w:rFonts w:ascii="標楷體" w:eastAsia="標楷體" w:hAnsi="標楷體" w:hint="eastAsia"/>
        </w:rPr>
        <w:t>占</w:t>
      </w:r>
      <w:r w:rsidR="003F7908">
        <w:rPr>
          <w:rFonts w:ascii="標楷體" w:eastAsia="標楷體" w:hAnsi="標楷體" w:hint="eastAsia"/>
        </w:rPr>
        <w:t>同性總要保人數</w:t>
      </w:r>
      <w:r w:rsidR="00A3013E">
        <w:rPr>
          <w:rFonts w:ascii="標楷體" w:eastAsia="標楷體" w:hAnsi="標楷體" w:hint="eastAsia"/>
        </w:rPr>
        <w:t>比例</w:t>
      </w:r>
      <w:r w:rsidR="00FA7F37">
        <w:rPr>
          <w:rFonts w:ascii="標楷體" w:eastAsia="標楷體" w:hAnsi="標楷體" w:hint="eastAsia"/>
        </w:rPr>
        <w:t>分別為</w:t>
      </w:r>
      <w:r w:rsidR="00572776">
        <w:rPr>
          <w:rFonts w:ascii="標楷體" w:eastAsia="標楷體" w:hAnsi="標楷體" w:hint="eastAsia"/>
          <w:color w:val="FF0000"/>
        </w:rPr>
        <w:t>51.70</w:t>
      </w:r>
      <w:r w:rsidR="00FA7F37" w:rsidRPr="00755119">
        <w:rPr>
          <w:rFonts w:ascii="標楷體" w:eastAsia="標楷體" w:hAnsi="標楷體" w:hint="eastAsia"/>
          <w:color w:val="FF0000"/>
        </w:rPr>
        <w:t>%</w:t>
      </w:r>
      <w:r w:rsidR="00FA7F37">
        <w:rPr>
          <w:rFonts w:ascii="標楷體" w:eastAsia="標楷體" w:hAnsi="標楷體" w:hint="eastAsia"/>
        </w:rPr>
        <w:t>與</w:t>
      </w:r>
      <w:r w:rsidR="00572776">
        <w:rPr>
          <w:rFonts w:ascii="標楷體" w:eastAsia="標楷體" w:hAnsi="標楷體" w:hint="eastAsia"/>
          <w:color w:val="FF0000"/>
        </w:rPr>
        <w:t>52.16</w:t>
      </w:r>
      <w:r w:rsidR="00FA7F37" w:rsidRPr="00755119">
        <w:rPr>
          <w:rFonts w:ascii="標楷體" w:eastAsia="標楷體" w:hAnsi="標楷體" w:hint="eastAsia"/>
          <w:color w:val="FF0000"/>
        </w:rPr>
        <w:t>%</w:t>
      </w:r>
      <w:r w:rsidR="00572776">
        <w:rPr>
          <w:rFonts w:ascii="標楷體" w:eastAsia="標楷體" w:hAnsi="標楷體" w:hint="eastAsia"/>
        </w:rPr>
        <w:t>。</w:t>
      </w:r>
      <w:r w:rsidR="00572776">
        <w:rPr>
          <w:rFonts w:ascii="標楷體" w:eastAsia="標楷體" w:hAnsi="標楷體"/>
        </w:rPr>
        <w:t xml:space="preserve"> </w:t>
      </w:r>
    </w:p>
    <w:p w14:paraId="5E9B051C" w14:textId="160D1995" w:rsidR="00FA7F37" w:rsidRPr="003F7908" w:rsidRDefault="00FA7F37" w:rsidP="00571506">
      <w:pPr>
        <w:widowControl/>
        <w:spacing w:line="360" w:lineRule="auto"/>
        <w:ind w:leftChars="236" w:left="566"/>
        <w:rPr>
          <w:rFonts w:ascii="標楷體" w:eastAsia="標楷體" w:hAnsi="標楷體"/>
        </w:rPr>
      </w:pPr>
    </w:p>
    <w:p w14:paraId="56E7E377" w14:textId="6D76CB1F" w:rsidR="00476647" w:rsidRDefault="00245E35">
      <w:pPr>
        <w:widowControl/>
        <w:rPr>
          <w:rFonts w:ascii="標楷體" w:eastAsia="標楷體" w:hAnsi="標楷體"/>
        </w:rPr>
      </w:pPr>
      <w:r>
        <w:rPr>
          <w:noProof/>
        </w:rPr>
        <w:drawing>
          <wp:inline distT="0" distB="0" distL="0" distR="0" wp14:anchorId="015B5B07" wp14:editId="5B7AE79E">
            <wp:extent cx="6120130" cy="3933190"/>
            <wp:effectExtent l="0" t="0" r="0" b="0"/>
            <wp:docPr id="27" name="圖表 2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6AD3022-D407-4664-87F4-803B8CF4E5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0E35A8" w14:textId="77777777" w:rsidR="008A694C" w:rsidRDefault="008A694C">
      <w:pPr>
        <w:widowControl/>
        <w:rPr>
          <w:rFonts w:ascii="標楷體" w:eastAsia="標楷體" w:hAnsi="標楷體"/>
        </w:rPr>
      </w:pPr>
    </w:p>
    <w:p w14:paraId="512D374F" w14:textId="190FFACD" w:rsidR="008A694C" w:rsidRDefault="00BB3A31">
      <w:pPr>
        <w:widowControl/>
        <w:rPr>
          <w:rFonts w:ascii="標楷體" w:eastAsia="標楷體" w:hAnsi="標楷體"/>
        </w:rPr>
      </w:pPr>
      <w:r>
        <w:rPr>
          <w:noProof/>
        </w:rPr>
        <w:drawing>
          <wp:inline distT="0" distB="0" distL="0" distR="0" wp14:anchorId="15153D5A" wp14:editId="64772198">
            <wp:extent cx="6120130" cy="3847795"/>
            <wp:effectExtent l="0" t="0" r="0" b="635"/>
            <wp:docPr id="2" name="圖表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0528645-DAE5-4AC4-B008-77B3BA4F5B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AFC444" w14:textId="77777777" w:rsidR="001F701A" w:rsidRDefault="001F701A">
      <w:pPr>
        <w:widowControl/>
        <w:rPr>
          <w:rFonts w:ascii="標楷體" w:eastAsia="標楷體" w:hAnsi="標楷體"/>
        </w:rPr>
      </w:pPr>
    </w:p>
    <w:p w14:paraId="48093420" w14:textId="799B157B" w:rsidR="00AB5553" w:rsidRDefault="00AB5553">
      <w:pPr>
        <w:widowControl/>
        <w:rPr>
          <w:rFonts w:ascii="標楷體" w:eastAsia="標楷體" w:hAnsi="標楷體"/>
        </w:rPr>
      </w:pPr>
    </w:p>
    <w:p w14:paraId="4D941415" w14:textId="44D341F8" w:rsidR="003F7908" w:rsidRDefault="003F7908">
      <w:pPr>
        <w:widowControl/>
        <w:rPr>
          <w:rFonts w:ascii="標楷體" w:eastAsia="標楷體" w:hAnsi="標楷體"/>
        </w:rPr>
      </w:pPr>
    </w:p>
    <w:p w14:paraId="5456BADC" w14:textId="77777777" w:rsidR="003F7908" w:rsidRDefault="003F7908">
      <w:pPr>
        <w:widowControl/>
        <w:rPr>
          <w:rFonts w:ascii="標楷體" w:eastAsia="標楷體" w:hAnsi="標楷體"/>
        </w:rPr>
      </w:pPr>
    </w:p>
    <w:p w14:paraId="24219E25" w14:textId="5A97B15B" w:rsidR="00123047" w:rsidRDefault="003F7908" w:rsidP="00BC79C0">
      <w:pPr>
        <w:widowControl/>
        <w:spacing w:line="360" w:lineRule="auto"/>
        <w:ind w:leftChars="236" w:left="566"/>
        <w:jc w:val="both"/>
        <w:rPr>
          <w:rFonts w:ascii="標楷體" w:eastAsia="標楷體" w:hAnsi="標楷體"/>
        </w:rPr>
      </w:pPr>
      <w:r>
        <w:rPr>
          <w:rFonts w:ascii="標楷體" w:eastAsia="標楷體" w:hAnsi="標楷體" w:hint="eastAsia"/>
        </w:rPr>
        <w:t>另，</w:t>
      </w:r>
      <w:r w:rsidR="00981C05">
        <w:rPr>
          <w:rFonts w:ascii="標楷體" w:eastAsia="標楷體" w:hAnsi="標楷體" w:hint="eastAsia"/>
        </w:rPr>
        <w:t>以前三年(</w:t>
      </w:r>
      <w:r w:rsidR="00981C05" w:rsidRPr="00981C05">
        <w:rPr>
          <w:rFonts w:ascii="標楷體" w:eastAsia="標楷體" w:hAnsi="標楷體" w:hint="eastAsia"/>
          <w:color w:val="FF0000"/>
        </w:rPr>
        <w:t>106~108年</w:t>
      </w:r>
      <w:r w:rsidR="00981C05">
        <w:rPr>
          <w:rFonts w:ascii="標楷體" w:eastAsia="標楷體" w:hAnsi="標楷體" w:hint="eastAsia"/>
        </w:rPr>
        <w:t>)為母體資料進行統計分析，各年度整體</w:t>
      </w:r>
      <w:r w:rsidR="00981C05" w:rsidRPr="00981C05">
        <w:rPr>
          <w:rFonts w:ascii="標楷體" w:eastAsia="標楷體" w:hAnsi="標楷體" w:hint="eastAsia"/>
          <w:color w:val="FF0000"/>
        </w:rPr>
        <w:t>新契約件數</w:t>
      </w:r>
      <w:r w:rsidR="00981C05">
        <w:rPr>
          <w:rFonts w:ascii="標楷體" w:eastAsia="標楷體" w:hAnsi="標楷體" w:hint="eastAsia"/>
        </w:rPr>
        <w:t>分別為</w:t>
      </w:r>
      <w:r w:rsidR="00981C05" w:rsidRPr="00BC79C0">
        <w:rPr>
          <w:rFonts w:ascii="標楷體" w:eastAsia="標楷體" w:hAnsi="標楷體" w:hint="eastAsia"/>
          <w:color w:val="FF0000"/>
        </w:rPr>
        <w:t>3萬7</w:t>
      </w:r>
      <w:r w:rsidR="00981C05" w:rsidRPr="00BC79C0">
        <w:rPr>
          <w:rFonts w:ascii="標楷體" w:eastAsia="標楷體" w:hAnsi="標楷體"/>
          <w:color w:val="FF0000"/>
        </w:rPr>
        <w:t>,</w:t>
      </w:r>
      <w:r w:rsidR="00981C05" w:rsidRPr="00BC79C0">
        <w:rPr>
          <w:rFonts w:ascii="標楷體" w:eastAsia="標楷體" w:hAnsi="標楷體" w:hint="eastAsia"/>
          <w:color w:val="FF0000"/>
        </w:rPr>
        <w:t>686件</w:t>
      </w:r>
      <w:r w:rsidR="00123047" w:rsidRPr="00BC79C0">
        <w:rPr>
          <w:rFonts w:ascii="標楷體" w:eastAsia="標楷體" w:hAnsi="標楷體" w:hint="eastAsia"/>
          <w:color w:val="FF0000"/>
        </w:rPr>
        <w:t>、</w:t>
      </w:r>
      <w:r w:rsidR="00981C05" w:rsidRPr="00BC79C0">
        <w:rPr>
          <w:rFonts w:ascii="標楷體" w:eastAsia="標楷體" w:hAnsi="標楷體" w:hint="eastAsia"/>
          <w:color w:val="FF0000"/>
        </w:rPr>
        <w:t>8萬2</w:t>
      </w:r>
      <w:r w:rsidR="00981C05" w:rsidRPr="00BC79C0">
        <w:rPr>
          <w:rFonts w:ascii="標楷體" w:eastAsia="標楷體" w:hAnsi="標楷體"/>
          <w:color w:val="FF0000"/>
        </w:rPr>
        <w:t>,</w:t>
      </w:r>
      <w:r w:rsidR="00981C05" w:rsidRPr="00BC79C0">
        <w:rPr>
          <w:rFonts w:ascii="標楷體" w:eastAsia="標楷體" w:hAnsi="標楷體" w:hint="eastAsia"/>
          <w:color w:val="FF0000"/>
        </w:rPr>
        <w:t>144件</w:t>
      </w:r>
      <w:r w:rsidR="00123047" w:rsidRPr="00BC79C0">
        <w:rPr>
          <w:rFonts w:ascii="標楷體" w:eastAsia="標楷體" w:hAnsi="標楷體" w:hint="eastAsia"/>
          <w:color w:val="FF0000"/>
        </w:rPr>
        <w:t>與6萬7,</w:t>
      </w:r>
      <w:r w:rsidR="00123047" w:rsidRPr="00BC79C0">
        <w:rPr>
          <w:rFonts w:ascii="標楷體" w:eastAsia="標楷體" w:hAnsi="標楷體"/>
          <w:color w:val="FF0000"/>
        </w:rPr>
        <w:t>078</w:t>
      </w:r>
      <w:r w:rsidR="00123047" w:rsidRPr="00BC79C0">
        <w:rPr>
          <w:rFonts w:ascii="標楷體" w:eastAsia="標楷體" w:hAnsi="標楷體" w:hint="eastAsia"/>
          <w:color w:val="FF0000"/>
        </w:rPr>
        <w:t>件。</w:t>
      </w:r>
    </w:p>
    <w:p w14:paraId="38BCC836" w14:textId="272E71C1" w:rsidR="00981C05" w:rsidRDefault="00123047" w:rsidP="00BC79C0">
      <w:pPr>
        <w:widowControl/>
        <w:spacing w:line="360" w:lineRule="auto"/>
        <w:ind w:leftChars="236" w:left="566"/>
        <w:jc w:val="both"/>
        <w:rPr>
          <w:rFonts w:ascii="標楷體" w:eastAsia="標楷體" w:hAnsi="標楷體"/>
        </w:rPr>
      </w:pPr>
      <w:r>
        <w:rPr>
          <w:rFonts w:ascii="標楷體" w:eastAsia="標楷體" w:hAnsi="標楷體" w:hint="eastAsia"/>
        </w:rPr>
        <w:t>此三年(</w:t>
      </w:r>
      <w:r w:rsidRPr="00981C05">
        <w:rPr>
          <w:rFonts w:ascii="標楷體" w:eastAsia="標楷體" w:hAnsi="標楷體" w:hint="eastAsia"/>
          <w:color w:val="FF0000"/>
        </w:rPr>
        <w:t>106~108年</w:t>
      </w:r>
      <w:r>
        <w:rPr>
          <w:rFonts w:ascii="標楷體" w:eastAsia="標楷體" w:hAnsi="標楷體" w:hint="eastAsia"/>
        </w:rPr>
        <w:t>)的</w:t>
      </w:r>
      <w:r w:rsidR="00981C05">
        <w:rPr>
          <w:rFonts w:ascii="標楷體" w:eastAsia="標楷體" w:hAnsi="標楷體" w:hint="eastAsia"/>
        </w:rPr>
        <w:t>男性</w:t>
      </w:r>
      <w:r w:rsidR="00C90329">
        <w:rPr>
          <w:rFonts w:ascii="標楷體" w:eastAsia="標楷體" w:hAnsi="標楷體" w:hint="eastAsia"/>
        </w:rPr>
        <w:t>新契約</w:t>
      </w:r>
      <w:r w:rsidR="00981C05">
        <w:rPr>
          <w:rFonts w:ascii="標楷體" w:eastAsia="標楷體" w:hAnsi="標楷體" w:hint="eastAsia"/>
        </w:rPr>
        <w:t>件數分別為</w:t>
      </w:r>
      <w:r w:rsidR="00981C05" w:rsidRPr="00501FF3">
        <w:rPr>
          <w:rFonts w:ascii="標楷體" w:eastAsia="標楷體" w:hAnsi="標楷體" w:hint="eastAsia"/>
          <w:color w:val="FF0000"/>
        </w:rPr>
        <w:t>1萬6</w:t>
      </w:r>
      <w:r w:rsidR="00981C05" w:rsidRPr="00501FF3">
        <w:rPr>
          <w:rFonts w:ascii="標楷體" w:eastAsia="標楷體" w:hAnsi="標楷體"/>
          <w:color w:val="FF0000"/>
        </w:rPr>
        <w:t>,</w:t>
      </w:r>
      <w:r w:rsidR="00981C05" w:rsidRPr="00501FF3">
        <w:rPr>
          <w:rFonts w:ascii="標楷體" w:eastAsia="標楷體" w:hAnsi="標楷體" w:hint="eastAsia"/>
          <w:color w:val="FF0000"/>
        </w:rPr>
        <w:t>793件</w:t>
      </w:r>
      <w:r>
        <w:rPr>
          <w:rFonts w:ascii="標楷體" w:eastAsia="標楷體" w:hAnsi="標楷體" w:hint="eastAsia"/>
        </w:rPr>
        <w:t>、</w:t>
      </w:r>
      <w:r w:rsidR="00981C05" w:rsidRPr="00501FF3">
        <w:rPr>
          <w:rFonts w:ascii="標楷體" w:eastAsia="標楷體" w:hAnsi="標楷體" w:hint="eastAsia"/>
          <w:color w:val="FF0000"/>
        </w:rPr>
        <w:t>3萬5</w:t>
      </w:r>
      <w:r w:rsidR="00981C05" w:rsidRPr="00501FF3">
        <w:rPr>
          <w:rFonts w:ascii="標楷體" w:eastAsia="標楷體" w:hAnsi="標楷體"/>
          <w:color w:val="FF0000"/>
        </w:rPr>
        <w:t>,506</w:t>
      </w:r>
      <w:r w:rsidR="00981C05" w:rsidRPr="00501FF3">
        <w:rPr>
          <w:rFonts w:ascii="標楷體" w:eastAsia="標楷體" w:hAnsi="標楷體" w:hint="eastAsia"/>
          <w:color w:val="FF0000"/>
        </w:rPr>
        <w:t>件</w:t>
      </w:r>
      <w:r>
        <w:rPr>
          <w:rFonts w:ascii="標楷體" w:eastAsia="標楷體" w:hAnsi="標楷體" w:hint="eastAsia"/>
        </w:rPr>
        <w:t>與</w:t>
      </w:r>
      <w:r w:rsidRPr="00501FF3">
        <w:rPr>
          <w:rFonts w:ascii="標楷體" w:eastAsia="標楷體" w:hAnsi="標楷體" w:hint="eastAsia"/>
          <w:color w:val="FF0000"/>
        </w:rPr>
        <w:t>2萬7,510件</w:t>
      </w:r>
      <w:r w:rsidR="00981C05">
        <w:rPr>
          <w:rFonts w:ascii="標楷體" w:eastAsia="標楷體" w:hAnsi="標楷體" w:hint="eastAsia"/>
        </w:rPr>
        <w:t>。</w:t>
      </w:r>
      <w:r w:rsidR="00BC79C0">
        <w:rPr>
          <w:rFonts w:ascii="標楷體" w:eastAsia="標楷體" w:hAnsi="標楷體" w:hint="eastAsia"/>
        </w:rPr>
        <w:t>就</w:t>
      </w:r>
      <w:r w:rsidR="00BC79C0" w:rsidRPr="00981C05">
        <w:rPr>
          <w:rFonts w:ascii="標楷體" w:eastAsia="標楷體" w:hAnsi="標楷體" w:hint="eastAsia"/>
          <w:color w:val="FF0000"/>
        </w:rPr>
        <w:t>106</w:t>
      </w:r>
      <w:r w:rsidR="00BC79C0">
        <w:rPr>
          <w:rFonts w:ascii="標楷體" w:eastAsia="標楷體" w:hAnsi="標楷體" w:hint="eastAsia"/>
          <w:color w:val="FF0000"/>
        </w:rPr>
        <w:t>年</w:t>
      </w:r>
      <w:r w:rsidR="00BC79C0" w:rsidRPr="00981C05">
        <w:rPr>
          <w:rFonts w:ascii="標楷體" w:eastAsia="標楷體" w:hAnsi="標楷體" w:hint="eastAsia"/>
          <w:color w:val="FF0000"/>
        </w:rPr>
        <w:t>~108年</w:t>
      </w:r>
      <w:r w:rsidR="00BC79C0" w:rsidRPr="00BC79C0">
        <w:rPr>
          <w:rFonts w:ascii="標楷體" w:eastAsia="標楷體" w:hAnsi="標楷體" w:hint="eastAsia"/>
        </w:rPr>
        <w:t>年收入(新台幣)級距之長期照顧保險男性要保人新契約件數</w:t>
      </w:r>
      <w:r w:rsidR="00BC79C0">
        <w:rPr>
          <w:rFonts w:ascii="標楷體" w:eastAsia="標楷體" w:hAnsi="標楷體" w:hint="eastAsia"/>
        </w:rPr>
        <w:t>分析(圖11)</w:t>
      </w:r>
      <w:r w:rsidR="00981C05">
        <w:rPr>
          <w:rFonts w:ascii="標楷體" w:eastAsia="標楷體" w:hAnsi="標楷體" w:hint="eastAsia"/>
        </w:rPr>
        <w:t>，三個年度的件數主要集中在51-100萬的年收入區間，分別是</w:t>
      </w:r>
      <w:r w:rsidR="00981C05" w:rsidRPr="00BF21DC">
        <w:rPr>
          <w:rFonts w:ascii="標楷體" w:eastAsia="標楷體" w:hAnsi="標楷體" w:hint="eastAsia"/>
          <w:color w:val="FF0000"/>
        </w:rPr>
        <w:t>6</w:t>
      </w:r>
      <w:r w:rsidR="00981C05" w:rsidRPr="00BF21DC">
        <w:rPr>
          <w:rFonts w:ascii="標楷體" w:eastAsia="標楷體" w:hAnsi="標楷體"/>
          <w:color w:val="FF0000"/>
        </w:rPr>
        <w:t>,</w:t>
      </w:r>
      <w:r w:rsidR="00981C05" w:rsidRPr="00BF21DC">
        <w:rPr>
          <w:rFonts w:ascii="標楷體" w:eastAsia="標楷體" w:hAnsi="標楷體" w:hint="eastAsia"/>
          <w:color w:val="FF0000"/>
        </w:rPr>
        <w:t>569件</w:t>
      </w:r>
      <w:r w:rsidR="00501FF3">
        <w:rPr>
          <w:rFonts w:ascii="標楷體" w:eastAsia="標楷體" w:hAnsi="標楷體" w:hint="eastAsia"/>
        </w:rPr>
        <w:t>、</w:t>
      </w:r>
      <w:r w:rsidR="00981C05" w:rsidRPr="00BF21DC">
        <w:rPr>
          <w:rFonts w:ascii="標楷體" w:eastAsia="標楷體" w:hAnsi="標楷體" w:hint="eastAsia"/>
          <w:color w:val="FF0000"/>
        </w:rPr>
        <w:t>1</w:t>
      </w:r>
      <w:r w:rsidR="00981C05" w:rsidRPr="00BF21DC">
        <w:rPr>
          <w:rFonts w:ascii="標楷體" w:eastAsia="標楷體" w:hAnsi="標楷體"/>
          <w:color w:val="FF0000"/>
        </w:rPr>
        <w:t>5,128</w:t>
      </w:r>
      <w:r w:rsidR="00981C05" w:rsidRPr="00BF21DC">
        <w:rPr>
          <w:rFonts w:ascii="標楷體" w:eastAsia="標楷體" w:hAnsi="標楷體" w:hint="eastAsia"/>
          <w:color w:val="FF0000"/>
        </w:rPr>
        <w:t>件</w:t>
      </w:r>
      <w:r w:rsidR="00501FF3">
        <w:rPr>
          <w:rFonts w:ascii="標楷體" w:eastAsia="標楷體" w:hAnsi="標楷體" w:hint="eastAsia"/>
        </w:rPr>
        <w:t>與</w:t>
      </w:r>
      <w:r w:rsidR="00501FF3" w:rsidRPr="00BF21DC">
        <w:rPr>
          <w:rFonts w:ascii="標楷體" w:eastAsia="標楷體" w:hAnsi="標楷體" w:hint="eastAsia"/>
          <w:color w:val="FF0000"/>
        </w:rPr>
        <w:t>11,</w:t>
      </w:r>
      <w:r w:rsidR="00501FF3" w:rsidRPr="00BF21DC">
        <w:rPr>
          <w:rFonts w:ascii="標楷體" w:eastAsia="標楷體" w:hAnsi="標楷體"/>
          <w:color w:val="FF0000"/>
        </w:rPr>
        <w:t>694</w:t>
      </w:r>
      <w:r w:rsidR="00501FF3" w:rsidRPr="00BF21DC">
        <w:rPr>
          <w:rFonts w:ascii="標楷體" w:eastAsia="標楷體" w:hAnsi="標楷體" w:hint="eastAsia"/>
          <w:color w:val="FF0000"/>
        </w:rPr>
        <w:t>件</w:t>
      </w:r>
      <w:r w:rsidR="00981C05">
        <w:rPr>
          <w:rFonts w:ascii="標楷體" w:eastAsia="標楷體" w:hAnsi="標楷體" w:hint="eastAsia"/>
        </w:rPr>
        <w:t>，其中107年度之男性</w:t>
      </w:r>
      <w:r w:rsidR="00C90329">
        <w:rPr>
          <w:rFonts w:ascii="標楷體" w:eastAsia="標楷體" w:hAnsi="標楷體" w:hint="eastAsia"/>
        </w:rPr>
        <w:t>新契約</w:t>
      </w:r>
      <w:r w:rsidR="00981C05">
        <w:rPr>
          <w:rFonts w:ascii="標楷體" w:eastAsia="標楷體" w:hAnsi="標楷體" w:hint="eastAsia"/>
        </w:rPr>
        <w:t>件數為三個年度中最高。</w:t>
      </w:r>
      <w:r w:rsidR="00BC79C0">
        <w:rPr>
          <w:rFonts w:ascii="標楷體" w:eastAsia="標楷體" w:hAnsi="標楷體" w:hint="eastAsia"/>
        </w:rPr>
        <w:t>另，就</w:t>
      </w:r>
      <w:r w:rsidR="00BC79C0" w:rsidRPr="00BC79C0">
        <w:rPr>
          <w:rFonts w:ascii="標楷體" w:eastAsia="標楷體" w:hAnsi="標楷體" w:hint="eastAsia"/>
        </w:rPr>
        <w:t>年收入(新台幣)級距之長期照顧保險男性要保人新契約件數</w:t>
      </w:r>
      <w:r w:rsidR="00FF4331">
        <w:rPr>
          <w:rFonts w:ascii="標楷體" w:eastAsia="標楷體" w:hAnsi="標楷體" w:hint="eastAsia"/>
        </w:rPr>
        <w:t>占</w:t>
      </w:r>
      <w:r w:rsidR="00BC79C0" w:rsidRPr="00BC79C0">
        <w:rPr>
          <w:rFonts w:ascii="標楷體" w:eastAsia="標楷體" w:hAnsi="標楷體" w:hint="eastAsia"/>
        </w:rPr>
        <w:t>同性新契約總要保人數比例</w:t>
      </w:r>
      <w:r w:rsidR="00BC79C0">
        <w:rPr>
          <w:rFonts w:ascii="標楷體" w:eastAsia="標楷體" w:hAnsi="標楷體" w:hint="eastAsia"/>
        </w:rPr>
        <w:t>分析</w:t>
      </w:r>
      <w:r w:rsidR="00981C05">
        <w:rPr>
          <w:rFonts w:ascii="標楷體" w:eastAsia="標楷體" w:hAnsi="標楷體" w:hint="eastAsia"/>
        </w:rPr>
        <w:t>(圖12)，三個年度</w:t>
      </w:r>
      <w:r w:rsidR="00FD6191">
        <w:rPr>
          <w:rFonts w:ascii="標楷體" w:eastAsia="標楷體" w:hAnsi="標楷體" w:hint="eastAsia"/>
        </w:rPr>
        <w:t>均</w:t>
      </w:r>
      <w:r w:rsidR="00981C05">
        <w:rPr>
          <w:rFonts w:ascii="標楷體" w:eastAsia="標楷體" w:hAnsi="標楷體" w:hint="eastAsia"/>
        </w:rPr>
        <w:t>以51-100萬的年收入區間</w:t>
      </w:r>
      <w:r w:rsidR="00FD6191">
        <w:rPr>
          <w:rFonts w:ascii="標楷體" w:eastAsia="標楷體" w:hAnsi="標楷體" w:hint="eastAsia"/>
        </w:rPr>
        <w:t>的新契約件數比率</w:t>
      </w:r>
      <w:r w:rsidR="00981C05">
        <w:rPr>
          <w:rFonts w:ascii="標楷體" w:eastAsia="標楷體" w:hAnsi="標楷體" w:hint="eastAsia"/>
        </w:rPr>
        <w:t>為最高。</w:t>
      </w:r>
    </w:p>
    <w:p w14:paraId="6EFA3527" w14:textId="77777777" w:rsidR="004D7788" w:rsidRDefault="004D7788" w:rsidP="003F7908">
      <w:pPr>
        <w:widowControl/>
        <w:spacing w:line="360" w:lineRule="auto"/>
        <w:ind w:leftChars="236" w:left="566"/>
        <w:rPr>
          <w:rFonts w:ascii="標楷體" w:eastAsia="標楷體" w:hAnsi="標楷體"/>
        </w:rPr>
      </w:pPr>
    </w:p>
    <w:p w14:paraId="3D598022" w14:textId="1010BD51" w:rsidR="00981C05" w:rsidRDefault="00355792" w:rsidP="00981C05">
      <w:pPr>
        <w:widowControl/>
        <w:rPr>
          <w:rFonts w:ascii="標楷體" w:eastAsia="標楷體" w:hAnsi="標楷體"/>
        </w:rPr>
      </w:pPr>
      <w:r>
        <w:rPr>
          <w:noProof/>
        </w:rPr>
        <w:drawing>
          <wp:inline distT="0" distB="0" distL="0" distR="0" wp14:anchorId="6D3B86CB" wp14:editId="66507110">
            <wp:extent cx="6120130" cy="3510915"/>
            <wp:effectExtent l="0" t="0" r="0" b="0"/>
            <wp:docPr id="8" name="圖表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1203E85-EACA-4AB2-A7FC-40732845DC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955AE4" w14:textId="77777777" w:rsidR="00981C05" w:rsidRPr="00B07398" w:rsidRDefault="00981C05" w:rsidP="00981C05">
      <w:pPr>
        <w:widowControl/>
        <w:rPr>
          <w:rFonts w:ascii="標楷體" w:eastAsia="標楷體" w:hAnsi="標楷體"/>
          <w:sz w:val="20"/>
          <w:szCs w:val="20"/>
        </w:rPr>
      </w:pPr>
    </w:p>
    <w:p w14:paraId="55CC9BB1" w14:textId="7C7B8FC0" w:rsidR="00981C05" w:rsidRDefault="004D7788" w:rsidP="00981C05">
      <w:pPr>
        <w:widowControl/>
        <w:rPr>
          <w:rFonts w:ascii="標楷體" w:eastAsia="標楷體" w:hAnsi="標楷體"/>
        </w:rPr>
      </w:pPr>
      <w:r>
        <w:rPr>
          <w:noProof/>
        </w:rPr>
        <w:drawing>
          <wp:inline distT="0" distB="0" distL="0" distR="0" wp14:anchorId="2B46B6EE" wp14:editId="4A67C6CC">
            <wp:extent cx="6120130" cy="3994100"/>
            <wp:effectExtent l="0" t="0" r="0" b="6985"/>
            <wp:docPr id="7" name="圖表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CBD07D76-D4C5-427D-9C6A-46101FBAE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57DBE5A" w14:textId="52CB9E71" w:rsidR="00981C05" w:rsidRDefault="00981C05" w:rsidP="00981C05">
      <w:pPr>
        <w:widowControl/>
        <w:rPr>
          <w:rFonts w:ascii="標楷體" w:eastAsia="標楷體" w:hAnsi="標楷體"/>
        </w:rPr>
      </w:pPr>
    </w:p>
    <w:p w14:paraId="138CA411" w14:textId="49FBB4EE" w:rsidR="00BB3A31" w:rsidRDefault="00BB3A31" w:rsidP="0012308F">
      <w:pPr>
        <w:widowControl/>
        <w:spacing w:line="360" w:lineRule="auto"/>
        <w:ind w:leftChars="236" w:left="566"/>
        <w:jc w:val="both"/>
        <w:rPr>
          <w:rFonts w:ascii="標楷體" w:eastAsia="標楷體" w:hAnsi="標楷體"/>
        </w:rPr>
      </w:pPr>
      <w:r>
        <w:rPr>
          <w:rFonts w:ascii="標楷體" w:eastAsia="標楷體" w:hAnsi="標楷體" w:hint="eastAsia"/>
        </w:rPr>
        <w:t>此三年(</w:t>
      </w:r>
      <w:r w:rsidRPr="00981C05">
        <w:rPr>
          <w:rFonts w:ascii="標楷體" w:eastAsia="標楷體" w:hAnsi="標楷體" w:hint="eastAsia"/>
          <w:color w:val="FF0000"/>
        </w:rPr>
        <w:t>106~108年</w:t>
      </w:r>
      <w:r>
        <w:rPr>
          <w:rFonts w:ascii="標楷體" w:eastAsia="標楷體" w:hAnsi="標楷體" w:hint="eastAsia"/>
        </w:rPr>
        <w:t>)的</w:t>
      </w:r>
      <w:r w:rsidR="0012308F" w:rsidRPr="0012308F">
        <w:rPr>
          <w:rFonts w:ascii="標楷體" w:eastAsia="標楷體" w:hAnsi="標楷體" w:hint="eastAsia"/>
          <w:color w:val="FF0000"/>
        </w:rPr>
        <w:t>女</w:t>
      </w:r>
      <w:r w:rsidRPr="0012308F">
        <w:rPr>
          <w:rFonts w:ascii="標楷體" w:eastAsia="標楷體" w:hAnsi="標楷體" w:hint="eastAsia"/>
          <w:color w:val="FF0000"/>
        </w:rPr>
        <w:t>性</w:t>
      </w:r>
      <w:r>
        <w:rPr>
          <w:rFonts w:ascii="標楷體" w:eastAsia="標楷體" w:hAnsi="標楷體" w:hint="eastAsia"/>
        </w:rPr>
        <w:t>新契約件數分別為</w:t>
      </w:r>
      <w:r w:rsidR="0012308F">
        <w:rPr>
          <w:rFonts w:ascii="標楷體" w:eastAsia="標楷體" w:hAnsi="標楷體"/>
          <w:color w:val="FF0000"/>
        </w:rPr>
        <w:t>2</w:t>
      </w:r>
      <w:r w:rsidRPr="00501FF3">
        <w:rPr>
          <w:rFonts w:ascii="標楷體" w:eastAsia="標楷體" w:hAnsi="標楷體" w:hint="eastAsia"/>
          <w:color w:val="FF0000"/>
        </w:rPr>
        <w:t>萬</w:t>
      </w:r>
      <w:r w:rsidR="0012308F">
        <w:rPr>
          <w:rFonts w:ascii="標楷體" w:eastAsia="標楷體" w:hAnsi="標楷體"/>
          <w:color w:val="FF0000"/>
        </w:rPr>
        <w:t>893</w:t>
      </w:r>
      <w:r w:rsidRPr="00501FF3">
        <w:rPr>
          <w:rFonts w:ascii="標楷體" w:eastAsia="標楷體" w:hAnsi="標楷體" w:hint="eastAsia"/>
          <w:color w:val="FF0000"/>
        </w:rPr>
        <w:t>件</w:t>
      </w:r>
      <w:r>
        <w:rPr>
          <w:rFonts w:ascii="標楷體" w:eastAsia="標楷體" w:hAnsi="標楷體" w:hint="eastAsia"/>
        </w:rPr>
        <w:t>、</w:t>
      </w:r>
      <w:r w:rsidR="0012308F">
        <w:rPr>
          <w:rFonts w:ascii="標楷體" w:eastAsia="標楷體" w:hAnsi="標楷體"/>
          <w:color w:val="FF0000"/>
        </w:rPr>
        <w:t>4</w:t>
      </w:r>
      <w:r w:rsidRPr="00501FF3">
        <w:rPr>
          <w:rFonts w:ascii="標楷體" w:eastAsia="標楷體" w:hAnsi="標楷體" w:hint="eastAsia"/>
          <w:color w:val="FF0000"/>
        </w:rPr>
        <w:t>萬</w:t>
      </w:r>
      <w:r w:rsidR="0012308F">
        <w:rPr>
          <w:rFonts w:ascii="標楷體" w:eastAsia="標楷體" w:hAnsi="標楷體"/>
          <w:color w:val="FF0000"/>
        </w:rPr>
        <w:t>6</w:t>
      </w:r>
      <w:r w:rsidRPr="00501FF3">
        <w:rPr>
          <w:rFonts w:ascii="標楷體" w:eastAsia="標楷體" w:hAnsi="標楷體"/>
          <w:color w:val="FF0000"/>
        </w:rPr>
        <w:t>,</w:t>
      </w:r>
      <w:r w:rsidR="0012308F">
        <w:rPr>
          <w:rFonts w:ascii="標楷體" w:eastAsia="標楷體" w:hAnsi="標楷體"/>
          <w:color w:val="FF0000"/>
        </w:rPr>
        <w:t>638</w:t>
      </w:r>
      <w:r w:rsidRPr="00501FF3">
        <w:rPr>
          <w:rFonts w:ascii="標楷體" w:eastAsia="標楷體" w:hAnsi="標楷體" w:hint="eastAsia"/>
          <w:color w:val="FF0000"/>
        </w:rPr>
        <w:t>件</w:t>
      </w:r>
      <w:r>
        <w:rPr>
          <w:rFonts w:ascii="標楷體" w:eastAsia="標楷體" w:hAnsi="標楷體" w:hint="eastAsia"/>
        </w:rPr>
        <w:t>與</w:t>
      </w:r>
      <w:r w:rsidR="0012308F">
        <w:rPr>
          <w:rFonts w:ascii="標楷體" w:eastAsia="標楷體" w:hAnsi="標楷體"/>
          <w:color w:val="FF0000"/>
        </w:rPr>
        <w:t>3</w:t>
      </w:r>
      <w:r w:rsidRPr="00501FF3">
        <w:rPr>
          <w:rFonts w:ascii="標楷體" w:eastAsia="標楷體" w:hAnsi="標楷體" w:hint="eastAsia"/>
          <w:color w:val="FF0000"/>
        </w:rPr>
        <w:t>萬</w:t>
      </w:r>
      <w:r w:rsidR="0012308F">
        <w:rPr>
          <w:rFonts w:ascii="標楷體" w:eastAsia="標楷體" w:hAnsi="標楷體"/>
          <w:color w:val="FF0000"/>
        </w:rPr>
        <w:t>9</w:t>
      </w:r>
      <w:r w:rsidRPr="00501FF3">
        <w:rPr>
          <w:rFonts w:ascii="標楷體" w:eastAsia="標楷體" w:hAnsi="標楷體" w:hint="eastAsia"/>
          <w:color w:val="FF0000"/>
        </w:rPr>
        <w:t>,5</w:t>
      </w:r>
      <w:r w:rsidR="0012308F">
        <w:rPr>
          <w:rFonts w:ascii="標楷體" w:eastAsia="標楷體" w:hAnsi="標楷體"/>
          <w:color w:val="FF0000"/>
        </w:rPr>
        <w:t>68</w:t>
      </w:r>
      <w:r w:rsidRPr="00501FF3">
        <w:rPr>
          <w:rFonts w:ascii="標楷體" w:eastAsia="標楷體" w:hAnsi="標楷體" w:hint="eastAsia"/>
          <w:color w:val="FF0000"/>
        </w:rPr>
        <w:t>件</w:t>
      </w:r>
      <w:r>
        <w:rPr>
          <w:rFonts w:ascii="標楷體" w:eastAsia="標楷體" w:hAnsi="標楷體" w:hint="eastAsia"/>
        </w:rPr>
        <w:t>。就</w:t>
      </w:r>
      <w:r w:rsidRPr="00981C05">
        <w:rPr>
          <w:rFonts w:ascii="標楷體" w:eastAsia="標楷體" w:hAnsi="標楷體" w:hint="eastAsia"/>
          <w:color w:val="FF0000"/>
        </w:rPr>
        <w:t>106</w:t>
      </w:r>
      <w:r>
        <w:rPr>
          <w:rFonts w:ascii="標楷體" w:eastAsia="標楷體" w:hAnsi="標楷體" w:hint="eastAsia"/>
          <w:color w:val="FF0000"/>
        </w:rPr>
        <w:t>年</w:t>
      </w:r>
      <w:r w:rsidRPr="00981C05">
        <w:rPr>
          <w:rFonts w:ascii="標楷體" w:eastAsia="標楷體" w:hAnsi="標楷體" w:hint="eastAsia"/>
          <w:color w:val="FF0000"/>
        </w:rPr>
        <w:t>~108年</w:t>
      </w:r>
      <w:r w:rsidRPr="00BC79C0">
        <w:rPr>
          <w:rFonts w:ascii="標楷體" w:eastAsia="標楷體" w:hAnsi="標楷體" w:hint="eastAsia"/>
        </w:rPr>
        <w:t>年收入(新台幣)級距之長期照顧保險</w:t>
      </w:r>
      <w:r w:rsidR="0012308F" w:rsidRPr="0012308F">
        <w:rPr>
          <w:rFonts w:ascii="標楷體" w:eastAsia="標楷體" w:hAnsi="標楷體" w:hint="eastAsia"/>
          <w:color w:val="FF0000"/>
        </w:rPr>
        <w:t>女</w:t>
      </w:r>
      <w:r w:rsidRPr="0012308F">
        <w:rPr>
          <w:rFonts w:ascii="標楷體" w:eastAsia="標楷體" w:hAnsi="標楷體" w:hint="eastAsia"/>
          <w:color w:val="FF0000"/>
        </w:rPr>
        <w:t>性</w:t>
      </w:r>
      <w:r w:rsidRPr="00BC79C0">
        <w:rPr>
          <w:rFonts w:ascii="標楷體" w:eastAsia="標楷體" w:hAnsi="標楷體" w:hint="eastAsia"/>
        </w:rPr>
        <w:t>要保人新契約件數</w:t>
      </w:r>
      <w:r>
        <w:rPr>
          <w:rFonts w:ascii="標楷體" w:eastAsia="標楷體" w:hAnsi="標楷體" w:hint="eastAsia"/>
        </w:rPr>
        <w:t>分析(圖1</w:t>
      </w:r>
      <w:r w:rsidR="0012308F">
        <w:rPr>
          <w:rFonts w:ascii="標楷體" w:eastAsia="標楷體" w:hAnsi="標楷體" w:hint="eastAsia"/>
        </w:rPr>
        <w:t>3</w:t>
      </w:r>
      <w:r>
        <w:rPr>
          <w:rFonts w:ascii="標楷體" w:eastAsia="標楷體" w:hAnsi="標楷體" w:hint="eastAsia"/>
        </w:rPr>
        <w:t>)，三個年度的件數主要集中在51-100萬的年收入區間，分別是</w:t>
      </w:r>
      <w:r w:rsidR="0012308F">
        <w:rPr>
          <w:rFonts w:ascii="標楷體" w:eastAsia="標楷體" w:hAnsi="標楷體" w:hint="eastAsia"/>
          <w:color w:val="FF0000"/>
        </w:rPr>
        <w:t>8</w:t>
      </w:r>
      <w:r w:rsidR="0012308F">
        <w:rPr>
          <w:rFonts w:ascii="標楷體" w:eastAsia="標楷體" w:hAnsi="標楷體"/>
          <w:color w:val="FF0000"/>
        </w:rPr>
        <w:t>,</w:t>
      </w:r>
      <w:r w:rsidR="0012308F">
        <w:rPr>
          <w:rFonts w:ascii="標楷體" w:eastAsia="標楷體" w:hAnsi="標楷體" w:hint="eastAsia"/>
          <w:color w:val="FF0000"/>
        </w:rPr>
        <w:t>6</w:t>
      </w:r>
      <w:r w:rsidR="0012308F">
        <w:rPr>
          <w:rFonts w:ascii="標楷體" w:eastAsia="標楷體" w:hAnsi="標楷體"/>
          <w:color w:val="FF0000"/>
        </w:rPr>
        <w:t>2</w:t>
      </w:r>
      <w:r w:rsidR="0012308F">
        <w:rPr>
          <w:rFonts w:ascii="標楷體" w:eastAsia="標楷體" w:hAnsi="標楷體" w:hint="eastAsia"/>
          <w:color w:val="FF0000"/>
        </w:rPr>
        <w:t>2</w:t>
      </w:r>
      <w:r w:rsidRPr="00BF21DC">
        <w:rPr>
          <w:rFonts w:ascii="標楷體" w:eastAsia="標楷體" w:hAnsi="標楷體" w:hint="eastAsia"/>
          <w:color w:val="FF0000"/>
        </w:rPr>
        <w:t>件</w:t>
      </w:r>
      <w:r>
        <w:rPr>
          <w:rFonts w:ascii="標楷體" w:eastAsia="標楷體" w:hAnsi="標楷體" w:hint="eastAsia"/>
        </w:rPr>
        <w:t>、</w:t>
      </w:r>
      <w:r w:rsidR="0012308F">
        <w:rPr>
          <w:rFonts w:ascii="標楷體" w:eastAsia="標楷體" w:hAnsi="標楷體"/>
          <w:color w:val="FF0000"/>
        </w:rPr>
        <w:t>20,039</w:t>
      </w:r>
      <w:r w:rsidRPr="00BF21DC">
        <w:rPr>
          <w:rFonts w:ascii="標楷體" w:eastAsia="標楷體" w:hAnsi="標楷體" w:hint="eastAsia"/>
          <w:color w:val="FF0000"/>
        </w:rPr>
        <w:t>件</w:t>
      </w:r>
      <w:r>
        <w:rPr>
          <w:rFonts w:ascii="標楷體" w:eastAsia="標楷體" w:hAnsi="標楷體" w:hint="eastAsia"/>
        </w:rPr>
        <w:t>與</w:t>
      </w:r>
      <w:r w:rsidRPr="00BF21DC">
        <w:rPr>
          <w:rFonts w:ascii="標楷體" w:eastAsia="標楷體" w:hAnsi="標楷體" w:hint="eastAsia"/>
          <w:color w:val="FF0000"/>
        </w:rPr>
        <w:t>1</w:t>
      </w:r>
      <w:r w:rsidR="0012308F">
        <w:rPr>
          <w:rFonts w:ascii="標楷體" w:eastAsia="標楷體" w:hAnsi="標楷體"/>
          <w:color w:val="FF0000"/>
        </w:rPr>
        <w:t>7,441</w:t>
      </w:r>
      <w:r w:rsidRPr="00BF21DC">
        <w:rPr>
          <w:rFonts w:ascii="標楷體" w:eastAsia="標楷體" w:hAnsi="標楷體" w:hint="eastAsia"/>
          <w:color w:val="FF0000"/>
        </w:rPr>
        <w:t>件</w:t>
      </w:r>
      <w:r>
        <w:rPr>
          <w:rFonts w:ascii="標楷體" w:eastAsia="標楷體" w:hAnsi="標楷體" w:hint="eastAsia"/>
        </w:rPr>
        <w:t>，其中107年度之</w:t>
      </w:r>
      <w:r w:rsidR="0012308F" w:rsidRPr="0012308F">
        <w:rPr>
          <w:rFonts w:ascii="標楷體" w:eastAsia="標楷體" w:hAnsi="標楷體" w:hint="eastAsia"/>
          <w:color w:val="FF0000"/>
        </w:rPr>
        <w:t>女</w:t>
      </w:r>
      <w:r w:rsidRPr="0012308F">
        <w:rPr>
          <w:rFonts w:ascii="標楷體" w:eastAsia="標楷體" w:hAnsi="標楷體" w:hint="eastAsia"/>
          <w:color w:val="FF0000"/>
        </w:rPr>
        <w:t>性</w:t>
      </w:r>
      <w:r>
        <w:rPr>
          <w:rFonts w:ascii="標楷體" w:eastAsia="標楷體" w:hAnsi="標楷體" w:hint="eastAsia"/>
        </w:rPr>
        <w:t>新契約件數為三個年度中最高。另，就</w:t>
      </w:r>
      <w:r w:rsidRPr="00BC79C0">
        <w:rPr>
          <w:rFonts w:ascii="標楷體" w:eastAsia="標楷體" w:hAnsi="標楷體" w:hint="eastAsia"/>
        </w:rPr>
        <w:t>年收入(新台幣)級距之長期照顧保險</w:t>
      </w:r>
      <w:r w:rsidR="0012308F" w:rsidRPr="0012308F">
        <w:rPr>
          <w:rFonts w:ascii="標楷體" w:eastAsia="標楷體" w:hAnsi="標楷體" w:hint="eastAsia"/>
          <w:color w:val="FF0000"/>
        </w:rPr>
        <w:t>女</w:t>
      </w:r>
      <w:r w:rsidRPr="0012308F">
        <w:rPr>
          <w:rFonts w:ascii="標楷體" w:eastAsia="標楷體" w:hAnsi="標楷體" w:hint="eastAsia"/>
          <w:color w:val="FF0000"/>
        </w:rPr>
        <w:t>性</w:t>
      </w:r>
      <w:r w:rsidRPr="00BC79C0">
        <w:rPr>
          <w:rFonts w:ascii="標楷體" w:eastAsia="標楷體" w:hAnsi="標楷體" w:hint="eastAsia"/>
        </w:rPr>
        <w:t>要保人新契約件數佔同性新契約總要保人數比例</w:t>
      </w:r>
      <w:r>
        <w:rPr>
          <w:rFonts w:ascii="標楷體" w:eastAsia="標楷體" w:hAnsi="標楷體" w:hint="eastAsia"/>
        </w:rPr>
        <w:t>分析(圖1</w:t>
      </w:r>
      <w:r w:rsidR="00E84B38">
        <w:rPr>
          <w:rFonts w:ascii="標楷體" w:eastAsia="標楷體" w:hAnsi="標楷體" w:hint="eastAsia"/>
        </w:rPr>
        <w:t>4</w:t>
      </w:r>
      <w:r>
        <w:rPr>
          <w:rFonts w:ascii="標楷體" w:eastAsia="標楷體" w:hAnsi="標楷體" w:hint="eastAsia"/>
        </w:rPr>
        <w:t>)，三個年度均以51-100萬的年收入區間的新契約件數比率為最高。</w:t>
      </w:r>
    </w:p>
    <w:p w14:paraId="6AA56076" w14:textId="0F79638C" w:rsidR="00981C05" w:rsidRDefault="00BB3A31" w:rsidP="00981C05">
      <w:pPr>
        <w:widowControl/>
        <w:rPr>
          <w:rFonts w:ascii="標楷體" w:eastAsia="標楷體" w:hAnsi="標楷體"/>
        </w:rPr>
      </w:pPr>
      <w:r>
        <w:rPr>
          <w:noProof/>
        </w:rPr>
        <w:drawing>
          <wp:inline distT="0" distB="0" distL="0" distR="0" wp14:anchorId="3EECABC8" wp14:editId="4A3515C0">
            <wp:extent cx="6120130" cy="3604260"/>
            <wp:effectExtent l="0" t="0" r="0" b="0"/>
            <wp:docPr id="6" name="圖表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C8C96FC-264E-4750-A987-DF9352FC09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728EFE" w14:textId="5CBD4C4A" w:rsidR="00981C05" w:rsidRDefault="00981C05" w:rsidP="00981C05">
      <w:pPr>
        <w:widowControl/>
        <w:rPr>
          <w:rFonts w:ascii="標楷體" w:eastAsia="標楷體" w:hAnsi="標楷體"/>
        </w:rPr>
      </w:pPr>
    </w:p>
    <w:p w14:paraId="6524AB4A" w14:textId="77777777" w:rsidR="00BB3A31" w:rsidRDefault="00BB3A31" w:rsidP="00981C05">
      <w:pPr>
        <w:widowControl/>
        <w:rPr>
          <w:rFonts w:ascii="標楷體" w:eastAsia="標楷體" w:hAnsi="標楷體"/>
        </w:rPr>
      </w:pPr>
    </w:p>
    <w:p w14:paraId="76E49756" w14:textId="3AB9E0E5" w:rsidR="00981C05" w:rsidRDefault="00BB3A31" w:rsidP="00981C05">
      <w:pPr>
        <w:widowControl/>
        <w:rPr>
          <w:rFonts w:ascii="標楷體" w:eastAsia="標楷體" w:hAnsi="標楷體"/>
        </w:rPr>
      </w:pPr>
      <w:r>
        <w:rPr>
          <w:noProof/>
        </w:rPr>
        <w:drawing>
          <wp:inline distT="0" distB="0" distL="0" distR="0" wp14:anchorId="07F5809F" wp14:editId="1F645B14">
            <wp:extent cx="6120130" cy="3347085"/>
            <wp:effectExtent l="0" t="0" r="0" b="5715"/>
            <wp:docPr id="10" name="圖表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85CD95D-114E-42CF-A702-E39424134B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A8EC21E" w14:textId="77777777" w:rsidR="00981C05" w:rsidRDefault="00981C05">
      <w:pPr>
        <w:widowControl/>
        <w:rPr>
          <w:rFonts w:ascii="標楷體" w:eastAsia="標楷體" w:hAnsi="標楷體"/>
        </w:rPr>
      </w:pPr>
    </w:p>
    <w:p w14:paraId="11B9C6C1" w14:textId="33ED31C0" w:rsidR="00981C05" w:rsidRDefault="00981C05">
      <w:pPr>
        <w:widowControl/>
        <w:rPr>
          <w:rFonts w:ascii="標楷體" w:eastAsia="標楷體" w:hAnsi="標楷體"/>
        </w:rPr>
      </w:pPr>
    </w:p>
    <w:p w14:paraId="2D9A57E9" w14:textId="152B5239" w:rsidR="0012308F" w:rsidRDefault="0012308F">
      <w:pPr>
        <w:widowControl/>
        <w:rPr>
          <w:rFonts w:ascii="標楷體" w:eastAsia="標楷體" w:hAnsi="標楷體"/>
        </w:rPr>
      </w:pPr>
    </w:p>
    <w:p w14:paraId="39FE209C" w14:textId="6535DA95" w:rsidR="0012308F" w:rsidRDefault="0012308F">
      <w:pPr>
        <w:widowControl/>
        <w:rPr>
          <w:rFonts w:ascii="標楷體" w:eastAsia="標楷體" w:hAnsi="標楷體"/>
        </w:rPr>
      </w:pPr>
    </w:p>
    <w:p w14:paraId="5E0F8521" w14:textId="14733E9F" w:rsidR="0012308F" w:rsidRDefault="0012308F">
      <w:pPr>
        <w:widowControl/>
        <w:rPr>
          <w:rFonts w:ascii="標楷體" w:eastAsia="標楷體" w:hAnsi="標楷體"/>
        </w:rPr>
      </w:pPr>
    </w:p>
    <w:p w14:paraId="2436285D" w14:textId="4CB74004" w:rsidR="0012308F" w:rsidRDefault="0012308F">
      <w:pPr>
        <w:widowControl/>
        <w:rPr>
          <w:rFonts w:ascii="標楷體" w:eastAsia="標楷體" w:hAnsi="標楷體"/>
        </w:rPr>
      </w:pPr>
    </w:p>
    <w:p w14:paraId="2D1FB731" w14:textId="77777777" w:rsidR="0012308F" w:rsidRDefault="0012308F">
      <w:pPr>
        <w:widowControl/>
        <w:rPr>
          <w:rFonts w:ascii="標楷體" w:eastAsia="標楷體" w:hAnsi="標楷體"/>
        </w:rPr>
      </w:pPr>
    </w:p>
    <w:p w14:paraId="71515DC2" w14:textId="1F3609C6" w:rsidR="00641FBB" w:rsidRPr="00980FC6" w:rsidRDefault="008A694C" w:rsidP="00980FC6">
      <w:pPr>
        <w:jc w:val="both"/>
        <w:rPr>
          <w:rFonts w:ascii="標楷體" w:eastAsia="標楷體" w:hAnsi="標楷體"/>
          <w:b/>
        </w:rPr>
      </w:pPr>
      <w:r>
        <w:rPr>
          <w:rFonts w:ascii="標楷體" w:eastAsia="標楷體" w:hAnsi="標楷體" w:hint="eastAsia"/>
          <w:b/>
        </w:rPr>
        <w:t>六</w:t>
      </w:r>
      <w:r w:rsidR="002A2EFE" w:rsidRPr="00984325">
        <w:rPr>
          <w:rFonts w:ascii="標楷體" w:eastAsia="標楷體" w:hAnsi="標楷體" w:hint="eastAsia"/>
          <w:b/>
        </w:rPr>
        <w:t>、</w:t>
      </w:r>
      <w:r w:rsidR="00466557" w:rsidRPr="00984325">
        <w:rPr>
          <w:rFonts w:ascii="標楷體" w:eastAsia="標楷體" w:hAnsi="標楷體" w:hint="eastAsia"/>
          <w:b/>
        </w:rPr>
        <w:t>結論：</w:t>
      </w:r>
    </w:p>
    <w:p w14:paraId="2E434B0A" w14:textId="77777777" w:rsidR="00B829B8" w:rsidRDefault="00FB6C8A" w:rsidP="00B829B8">
      <w:pPr>
        <w:ind w:leftChars="236" w:left="806" w:hangingChars="100" w:hanging="240"/>
        <w:jc w:val="both"/>
        <w:rPr>
          <w:rFonts w:ascii="標楷體" w:eastAsia="標楷體" w:hAnsi="標楷體"/>
        </w:rPr>
      </w:pPr>
      <w:r>
        <w:rPr>
          <w:rFonts w:ascii="標楷體" w:eastAsia="標楷體" w:hAnsi="標楷體" w:hint="eastAsia"/>
        </w:rPr>
        <w:t>觀察過去一年多來長期照顧保險有效契約件數之分布趨勢(詳如表一)</w:t>
      </w:r>
    </w:p>
    <w:p w14:paraId="562ADF3E" w14:textId="66A29A91" w:rsidR="00451040" w:rsidRDefault="00451040" w:rsidP="00B829B8">
      <w:pPr>
        <w:ind w:leftChars="236" w:left="806" w:hangingChars="100" w:hanging="240"/>
        <w:jc w:val="both"/>
        <w:rPr>
          <w:rFonts w:ascii="標楷體" w:eastAsia="標楷體" w:hAnsi="標楷體"/>
        </w:rPr>
      </w:pPr>
      <w:r>
        <w:rPr>
          <w:rFonts w:ascii="標楷體" w:eastAsia="標楷體" w:hAnsi="標楷體" w:hint="eastAsia"/>
        </w:rPr>
        <w:t>表一</w:t>
      </w:r>
    </w:p>
    <w:tbl>
      <w:tblPr>
        <w:tblStyle w:val="aa"/>
        <w:tblW w:w="9232" w:type="dxa"/>
        <w:tblInd w:w="675" w:type="dxa"/>
        <w:tblLook w:val="04A0" w:firstRow="1" w:lastRow="0" w:firstColumn="1" w:lastColumn="0" w:noHBand="0" w:noVBand="1"/>
      </w:tblPr>
      <w:tblGrid>
        <w:gridCol w:w="2410"/>
        <w:gridCol w:w="1705"/>
        <w:gridCol w:w="1706"/>
        <w:gridCol w:w="1705"/>
        <w:gridCol w:w="1706"/>
      </w:tblGrid>
      <w:tr w:rsidR="003F6160" w14:paraId="4B940943" w14:textId="77777777" w:rsidTr="0065307A">
        <w:trPr>
          <w:trHeight w:val="1030"/>
        </w:trPr>
        <w:tc>
          <w:tcPr>
            <w:tcW w:w="2410" w:type="dxa"/>
          </w:tcPr>
          <w:p w14:paraId="06CCC205" w14:textId="77777777" w:rsidR="003F6160" w:rsidRDefault="003F6160" w:rsidP="0065307A">
            <w:pPr>
              <w:spacing w:line="360" w:lineRule="auto"/>
              <w:jc w:val="both"/>
              <w:rPr>
                <w:rFonts w:ascii="標楷體" w:eastAsia="標楷體" w:hAnsi="標楷體"/>
              </w:rPr>
            </w:pPr>
          </w:p>
        </w:tc>
        <w:tc>
          <w:tcPr>
            <w:tcW w:w="1705" w:type="dxa"/>
          </w:tcPr>
          <w:p w14:paraId="783BE951" w14:textId="77777777" w:rsidR="003F6160" w:rsidRDefault="003F6160" w:rsidP="0065307A">
            <w:pPr>
              <w:spacing w:line="360" w:lineRule="auto"/>
              <w:jc w:val="both"/>
              <w:rPr>
                <w:rFonts w:ascii="標楷體" w:eastAsia="標楷體" w:hAnsi="標楷體"/>
              </w:rPr>
            </w:pPr>
            <w:r>
              <w:rPr>
                <w:rFonts w:ascii="標楷體" w:eastAsia="標楷體" w:hAnsi="標楷體" w:hint="eastAsia"/>
              </w:rPr>
              <w:t>截至107年12月底</w:t>
            </w:r>
          </w:p>
        </w:tc>
        <w:tc>
          <w:tcPr>
            <w:tcW w:w="1706" w:type="dxa"/>
          </w:tcPr>
          <w:p w14:paraId="2D72CEC6" w14:textId="77777777" w:rsidR="003F6160" w:rsidRDefault="003F6160" w:rsidP="0065307A">
            <w:pPr>
              <w:spacing w:line="360" w:lineRule="auto"/>
              <w:jc w:val="both"/>
              <w:rPr>
                <w:rFonts w:ascii="標楷體" w:eastAsia="標楷體" w:hAnsi="標楷體"/>
              </w:rPr>
            </w:pPr>
            <w:r>
              <w:rPr>
                <w:rFonts w:ascii="標楷體" w:eastAsia="標楷體" w:hAnsi="標楷體" w:hint="eastAsia"/>
              </w:rPr>
              <w:t>截至108年6月底</w:t>
            </w:r>
          </w:p>
        </w:tc>
        <w:tc>
          <w:tcPr>
            <w:tcW w:w="1705" w:type="dxa"/>
          </w:tcPr>
          <w:p w14:paraId="28734FA2" w14:textId="77777777" w:rsidR="003F6160" w:rsidRDefault="003F6160" w:rsidP="0065307A">
            <w:pPr>
              <w:spacing w:line="360" w:lineRule="auto"/>
              <w:jc w:val="both"/>
              <w:rPr>
                <w:rFonts w:ascii="標楷體" w:eastAsia="標楷體" w:hAnsi="標楷體"/>
              </w:rPr>
            </w:pPr>
            <w:r>
              <w:rPr>
                <w:rFonts w:ascii="標楷體" w:eastAsia="標楷體" w:hAnsi="標楷體" w:hint="eastAsia"/>
              </w:rPr>
              <w:t>截至108年12月底</w:t>
            </w:r>
          </w:p>
        </w:tc>
        <w:tc>
          <w:tcPr>
            <w:tcW w:w="1706" w:type="dxa"/>
          </w:tcPr>
          <w:p w14:paraId="6AC2BB30" w14:textId="77777777" w:rsidR="003F6160" w:rsidRDefault="003F6160" w:rsidP="0065307A">
            <w:pPr>
              <w:spacing w:line="360" w:lineRule="auto"/>
              <w:jc w:val="both"/>
              <w:rPr>
                <w:rFonts w:ascii="標楷體" w:eastAsia="標楷體" w:hAnsi="標楷體"/>
              </w:rPr>
            </w:pPr>
            <w:r>
              <w:rPr>
                <w:rFonts w:ascii="標楷體" w:eastAsia="標楷體" w:hAnsi="標楷體" w:hint="eastAsia"/>
              </w:rPr>
              <w:t>截至109年6月底</w:t>
            </w:r>
          </w:p>
        </w:tc>
      </w:tr>
      <w:tr w:rsidR="003F6160" w14:paraId="5E0EB6D9" w14:textId="77777777" w:rsidTr="0065307A">
        <w:trPr>
          <w:trHeight w:val="1030"/>
        </w:trPr>
        <w:tc>
          <w:tcPr>
            <w:tcW w:w="2410" w:type="dxa"/>
          </w:tcPr>
          <w:p w14:paraId="09342D9A" w14:textId="3D6B9BBD" w:rsidR="003F6160" w:rsidRDefault="003F6160" w:rsidP="0065307A">
            <w:pPr>
              <w:spacing w:line="360" w:lineRule="auto"/>
              <w:jc w:val="both"/>
              <w:rPr>
                <w:rFonts w:ascii="標楷體" w:eastAsia="標楷體" w:hAnsi="標楷體"/>
              </w:rPr>
            </w:pPr>
            <w:r>
              <w:rPr>
                <w:rFonts w:ascii="標楷體" w:eastAsia="標楷體" w:hAnsi="標楷體" w:hint="eastAsia"/>
              </w:rPr>
              <w:t>長期照顧保險</w:t>
            </w:r>
          </w:p>
          <w:p w14:paraId="31C633C1" w14:textId="77777777" w:rsidR="003F6160" w:rsidRDefault="003F6160" w:rsidP="0065307A">
            <w:pPr>
              <w:spacing w:line="360" w:lineRule="auto"/>
              <w:jc w:val="both"/>
              <w:rPr>
                <w:rFonts w:ascii="標楷體" w:eastAsia="標楷體" w:hAnsi="標楷體"/>
              </w:rPr>
            </w:pPr>
            <w:r>
              <w:rPr>
                <w:rFonts w:ascii="標楷體" w:eastAsia="標楷體" w:hAnsi="標楷體" w:hint="eastAsia"/>
              </w:rPr>
              <w:t>有效契約件數</w:t>
            </w:r>
          </w:p>
        </w:tc>
        <w:tc>
          <w:tcPr>
            <w:tcW w:w="1705" w:type="dxa"/>
          </w:tcPr>
          <w:p w14:paraId="1BBC3F8B" w14:textId="7B84BF30" w:rsidR="003F6160" w:rsidRPr="00287CA0" w:rsidRDefault="00C05B24" w:rsidP="0065307A">
            <w:pPr>
              <w:spacing w:line="360" w:lineRule="auto"/>
              <w:jc w:val="center"/>
              <w:rPr>
                <w:rFonts w:ascii="標楷體" w:eastAsia="標楷體" w:hAnsi="標楷體"/>
              </w:rPr>
            </w:pPr>
            <w:r>
              <w:rPr>
                <w:rFonts w:ascii="標楷體" w:eastAsia="標楷體" w:hAnsi="標楷體" w:hint="eastAsia"/>
              </w:rPr>
              <w:t>667,</w:t>
            </w:r>
            <w:r>
              <w:rPr>
                <w:rFonts w:ascii="標楷體" w:eastAsia="標楷體" w:hAnsi="標楷體"/>
              </w:rPr>
              <w:t>431</w:t>
            </w:r>
          </w:p>
        </w:tc>
        <w:tc>
          <w:tcPr>
            <w:tcW w:w="1706" w:type="dxa"/>
          </w:tcPr>
          <w:p w14:paraId="1FDE7577" w14:textId="3E4A0D95" w:rsidR="003F6160" w:rsidRPr="00287CA0" w:rsidRDefault="00C05B24" w:rsidP="0065307A">
            <w:pPr>
              <w:spacing w:line="360" w:lineRule="auto"/>
              <w:jc w:val="center"/>
              <w:rPr>
                <w:rFonts w:ascii="標楷體" w:eastAsia="標楷體" w:hAnsi="標楷體"/>
              </w:rPr>
            </w:pPr>
            <w:r>
              <w:rPr>
                <w:rFonts w:ascii="標楷體" w:eastAsia="標楷體" w:hAnsi="標楷體" w:hint="eastAsia"/>
              </w:rPr>
              <w:t>6</w:t>
            </w:r>
            <w:r>
              <w:rPr>
                <w:rFonts w:ascii="標楷體" w:eastAsia="標楷體" w:hAnsi="標楷體"/>
              </w:rPr>
              <w:t>92,081</w:t>
            </w:r>
            <w:bookmarkStart w:id="1" w:name="_GoBack"/>
            <w:bookmarkEnd w:id="1"/>
          </w:p>
        </w:tc>
        <w:tc>
          <w:tcPr>
            <w:tcW w:w="1705" w:type="dxa"/>
          </w:tcPr>
          <w:p w14:paraId="344D1206" w14:textId="1CCA4A8F" w:rsidR="003F6160" w:rsidRDefault="00C05B24" w:rsidP="0065307A">
            <w:pPr>
              <w:spacing w:line="360" w:lineRule="auto"/>
              <w:jc w:val="center"/>
              <w:rPr>
                <w:rFonts w:ascii="標楷體" w:eastAsia="標楷體" w:hAnsi="標楷體"/>
              </w:rPr>
            </w:pPr>
            <w:r>
              <w:rPr>
                <w:rFonts w:ascii="標楷體" w:eastAsia="標楷體" w:hAnsi="標楷體" w:hint="eastAsia"/>
              </w:rPr>
              <w:t>7</w:t>
            </w:r>
            <w:r>
              <w:rPr>
                <w:rFonts w:ascii="標楷體" w:eastAsia="標楷體" w:hAnsi="標楷體"/>
              </w:rPr>
              <w:t>14,754</w:t>
            </w:r>
          </w:p>
        </w:tc>
        <w:tc>
          <w:tcPr>
            <w:tcW w:w="1706" w:type="dxa"/>
          </w:tcPr>
          <w:p w14:paraId="0BB94813" w14:textId="559DF7FB" w:rsidR="003F6160" w:rsidRDefault="0018520A" w:rsidP="0065307A">
            <w:pPr>
              <w:spacing w:line="360" w:lineRule="auto"/>
              <w:jc w:val="center"/>
              <w:rPr>
                <w:rFonts w:ascii="標楷體" w:eastAsia="標楷體" w:hAnsi="標楷體"/>
              </w:rPr>
            </w:pPr>
            <w:r>
              <w:rPr>
                <w:rFonts w:ascii="標楷體" w:eastAsia="標楷體" w:hAnsi="標楷體" w:hint="eastAsia"/>
              </w:rPr>
              <w:t>7</w:t>
            </w:r>
            <w:r>
              <w:rPr>
                <w:rFonts w:ascii="標楷體" w:eastAsia="標楷體" w:hAnsi="標楷體"/>
              </w:rPr>
              <w:t>58,506</w:t>
            </w:r>
          </w:p>
        </w:tc>
      </w:tr>
      <w:tr w:rsidR="003F6160" w14:paraId="347BDB39" w14:textId="77777777" w:rsidTr="0065307A">
        <w:trPr>
          <w:trHeight w:val="599"/>
        </w:trPr>
        <w:tc>
          <w:tcPr>
            <w:tcW w:w="2410" w:type="dxa"/>
          </w:tcPr>
          <w:p w14:paraId="75899AA4" w14:textId="77777777" w:rsidR="003F6160" w:rsidRDefault="003F6160" w:rsidP="0065307A">
            <w:pPr>
              <w:spacing w:line="360" w:lineRule="auto"/>
              <w:jc w:val="both"/>
              <w:rPr>
                <w:rFonts w:ascii="標楷體" w:eastAsia="標楷體" w:hAnsi="標楷體"/>
              </w:rPr>
            </w:pPr>
            <w:r>
              <w:rPr>
                <w:rFonts w:ascii="標楷體" w:eastAsia="標楷體" w:hAnsi="標楷體" w:hint="eastAsia"/>
              </w:rPr>
              <w:t>被保人為男性佔比</w:t>
            </w:r>
          </w:p>
        </w:tc>
        <w:tc>
          <w:tcPr>
            <w:tcW w:w="1705" w:type="dxa"/>
          </w:tcPr>
          <w:p w14:paraId="3AFE706D" w14:textId="1FE22BDE" w:rsidR="003F6160" w:rsidRPr="00287CA0" w:rsidRDefault="00C05B24" w:rsidP="0065307A">
            <w:pPr>
              <w:spacing w:line="360" w:lineRule="auto"/>
              <w:jc w:val="center"/>
              <w:rPr>
                <w:rFonts w:ascii="標楷體" w:eastAsia="標楷體" w:hAnsi="標楷體"/>
              </w:rPr>
            </w:pPr>
            <w:r>
              <w:rPr>
                <w:rFonts w:ascii="標楷體" w:eastAsia="標楷體" w:hAnsi="標楷體" w:hint="eastAsia"/>
              </w:rPr>
              <w:t>4</w:t>
            </w:r>
            <w:r>
              <w:rPr>
                <w:rFonts w:ascii="標楷體" w:eastAsia="標楷體" w:hAnsi="標楷體"/>
              </w:rPr>
              <w:t>5.50%</w:t>
            </w:r>
          </w:p>
        </w:tc>
        <w:tc>
          <w:tcPr>
            <w:tcW w:w="1706" w:type="dxa"/>
          </w:tcPr>
          <w:p w14:paraId="4E2BE056" w14:textId="7F744372" w:rsidR="003F6160" w:rsidRPr="00287CA0" w:rsidRDefault="00C05B24" w:rsidP="0065307A">
            <w:pPr>
              <w:spacing w:line="360" w:lineRule="auto"/>
              <w:jc w:val="center"/>
              <w:rPr>
                <w:rFonts w:ascii="標楷體" w:eastAsia="標楷體" w:hAnsi="標楷體"/>
              </w:rPr>
            </w:pPr>
            <w:r>
              <w:rPr>
                <w:rFonts w:ascii="標楷體" w:eastAsia="標楷體" w:hAnsi="標楷體" w:hint="eastAsia"/>
              </w:rPr>
              <w:t>4</w:t>
            </w:r>
            <w:r>
              <w:rPr>
                <w:rFonts w:ascii="標楷體" w:eastAsia="標楷體" w:hAnsi="標楷體"/>
              </w:rPr>
              <w:t>5.52%</w:t>
            </w:r>
          </w:p>
        </w:tc>
        <w:tc>
          <w:tcPr>
            <w:tcW w:w="1705" w:type="dxa"/>
          </w:tcPr>
          <w:p w14:paraId="044A1BD0" w14:textId="6376CA0D" w:rsidR="003F6160" w:rsidRDefault="00C05B24" w:rsidP="0065307A">
            <w:pPr>
              <w:spacing w:line="360" w:lineRule="auto"/>
              <w:jc w:val="center"/>
              <w:rPr>
                <w:rFonts w:ascii="標楷體" w:eastAsia="標楷體" w:hAnsi="標楷體"/>
              </w:rPr>
            </w:pPr>
            <w:r>
              <w:rPr>
                <w:rFonts w:ascii="標楷體" w:eastAsia="標楷體" w:hAnsi="標楷體" w:hint="eastAsia"/>
              </w:rPr>
              <w:t>4</w:t>
            </w:r>
            <w:r>
              <w:rPr>
                <w:rFonts w:ascii="標楷體" w:eastAsia="標楷體" w:hAnsi="標楷體"/>
              </w:rPr>
              <w:t>5.47%</w:t>
            </w:r>
          </w:p>
        </w:tc>
        <w:tc>
          <w:tcPr>
            <w:tcW w:w="1706" w:type="dxa"/>
          </w:tcPr>
          <w:p w14:paraId="2A19A280" w14:textId="17BC82F5" w:rsidR="003F6160" w:rsidRDefault="0018520A" w:rsidP="0065307A">
            <w:pPr>
              <w:spacing w:line="360" w:lineRule="auto"/>
              <w:jc w:val="center"/>
              <w:rPr>
                <w:rFonts w:ascii="標楷體" w:eastAsia="標楷體" w:hAnsi="標楷體"/>
              </w:rPr>
            </w:pPr>
            <w:r>
              <w:rPr>
                <w:rFonts w:ascii="標楷體" w:eastAsia="標楷體" w:hAnsi="標楷體" w:hint="eastAsia"/>
              </w:rPr>
              <w:t>4</w:t>
            </w:r>
            <w:r>
              <w:rPr>
                <w:rFonts w:ascii="標楷體" w:eastAsia="標楷體" w:hAnsi="標楷體"/>
              </w:rPr>
              <w:t>5.51%</w:t>
            </w:r>
          </w:p>
        </w:tc>
      </w:tr>
      <w:tr w:rsidR="003F6160" w14:paraId="32528425" w14:textId="77777777" w:rsidTr="0065307A">
        <w:trPr>
          <w:trHeight w:val="551"/>
        </w:trPr>
        <w:tc>
          <w:tcPr>
            <w:tcW w:w="2410" w:type="dxa"/>
          </w:tcPr>
          <w:p w14:paraId="0E95E191" w14:textId="77777777" w:rsidR="003F6160" w:rsidRDefault="003F6160" w:rsidP="0065307A">
            <w:pPr>
              <w:spacing w:line="360" w:lineRule="auto"/>
              <w:jc w:val="both"/>
              <w:rPr>
                <w:rFonts w:ascii="標楷體" w:eastAsia="標楷體" w:hAnsi="標楷體"/>
              </w:rPr>
            </w:pPr>
            <w:r>
              <w:rPr>
                <w:rFonts w:ascii="標楷體" w:eastAsia="標楷體" w:hAnsi="標楷體" w:hint="eastAsia"/>
              </w:rPr>
              <w:t>被保人為女性佔比</w:t>
            </w:r>
          </w:p>
        </w:tc>
        <w:tc>
          <w:tcPr>
            <w:tcW w:w="1705" w:type="dxa"/>
          </w:tcPr>
          <w:p w14:paraId="26FB3292" w14:textId="347B599E" w:rsidR="003F6160" w:rsidRPr="00287CA0" w:rsidRDefault="00C05B24" w:rsidP="0065307A">
            <w:pPr>
              <w:spacing w:line="360" w:lineRule="auto"/>
              <w:jc w:val="center"/>
              <w:rPr>
                <w:rFonts w:ascii="標楷體" w:eastAsia="標楷體" w:hAnsi="標楷體"/>
              </w:rPr>
            </w:pPr>
            <w:r>
              <w:rPr>
                <w:rFonts w:ascii="標楷體" w:eastAsia="標楷體" w:hAnsi="標楷體" w:hint="eastAsia"/>
              </w:rPr>
              <w:t>5</w:t>
            </w:r>
            <w:r>
              <w:rPr>
                <w:rFonts w:ascii="標楷體" w:eastAsia="標楷體" w:hAnsi="標楷體"/>
              </w:rPr>
              <w:t>4.50%</w:t>
            </w:r>
          </w:p>
        </w:tc>
        <w:tc>
          <w:tcPr>
            <w:tcW w:w="1706" w:type="dxa"/>
          </w:tcPr>
          <w:p w14:paraId="0DCFDC0A" w14:textId="29F1DD12" w:rsidR="003F6160" w:rsidRPr="00287CA0" w:rsidRDefault="00C05B24" w:rsidP="0065307A">
            <w:pPr>
              <w:spacing w:line="360" w:lineRule="auto"/>
              <w:jc w:val="center"/>
              <w:rPr>
                <w:rFonts w:ascii="標楷體" w:eastAsia="標楷體" w:hAnsi="標楷體"/>
              </w:rPr>
            </w:pPr>
            <w:r>
              <w:rPr>
                <w:rFonts w:ascii="標楷體" w:eastAsia="標楷體" w:hAnsi="標楷體" w:hint="eastAsia"/>
              </w:rPr>
              <w:t>5</w:t>
            </w:r>
            <w:r>
              <w:rPr>
                <w:rFonts w:ascii="標楷體" w:eastAsia="標楷體" w:hAnsi="標楷體"/>
              </w:rPr>
              <w:t>4.48%</w:t>
            </w:r>
          </w:p>
        </w:tc>
        <w:tc>
          <w:tcPr>
            <w:tcW w:w="1705" w:type="dxa"/>
          </w:tcPr>
          <w:p w14:paraId="7A392CAB" w14:textId="2575E64E" w:rsidR="003F6160" w:rsidRDefault="00C05B24" w:rsidP="0065307A">
            <w:pPr>
              <w:spacing w:line="360" w:lineRule="auto"/>
              <w:jc w:val="center"/>
              <w:rPr>
                <w:rFonts w:ascii="標楷體" w:eastAsia="標楷體" w:hAnsi="標楷體"/>
              </w:rPr>
            </w:pPr>
            <w:r>
              <w:rPr>
                <w:rFonts w:ascii="標楷體" w:eastAsia="標楷體" w:hAnsi="標楷體" w:hint="eastAsia"/>
              </w:rPr>
              <w:t>5</w:t>
            </w:r>
            <w:r>
              <w:rPr>
                <w:rFonts w:ascii="標楷體" w:eastAsia="標楷體" w:hAnsi="標楷體"/>
              </w:rPr>
              <w:t>4.53%</w:t>
            </w:r>
          </w:p>
        </w:tc>
        <w:tc>
          <w:tcPr>
            <w:tcW w:w="1706" w:type="dxa"/>
          </w:tcPr>
          <w:p w14:paraId="7E738F6F" w14:textId="2E5E71EE" w:rsidR="003F6160" w:rsidRDefault="0018520A" w:rsidP="0065307A">
            <w:pPr>
              <w:spacing w:line="360" w:lineRule="auto"/>
              <w:jc w:val="center"/>
              <w:rPr>
                <w:rFonts w:ascii="標楷體" w:eastAsia="標楷體" w:hAnsi="標楷體"/>
              </w:rPr>
            </w:pPr>
            <w:r>
              <w:rPr>
                <w:rFonts w:ascii="標楷體" w:eastAsia="標楷體" w:hAnsi="標楷體" w:hint="eastAsia"/>
              </w:rPr>
              <w:t>5</w:t>
            </w:r>
            <w:r>
              <w:rPr>
                <w:rFonts w:ascii="標楷體" w:eastAsia="標楷體" w:hAnsi="標楷體"/>
              </w:rPr>
              <w:t>4.49%</w:t>
            </w:r>
          </w:p>
        </w:tc>
      </w:tr>
    </w:tbl>
    <w:p w14:paraId="61CA1334" w14:textId="77777777" w:rsidR="00FB6C8A" w:rsidRDefault="00FB6C8A" w:rsidP="00980FC6">
      <w:pPr>
        <w:spacing w:line="360" w:lineRule="auto"/>
        <w:ind w:leftChars="236" w:left="806" w:hangingChars="100" w:hanging="240"/>
        <w:jc w:val="both"/>
        <w:rPr>
          <w:rFonts w:ascii="標楷體" w:eastAsia="標楷體" w:hAnsi="標楷體"/>
        </w:rPr>
      </w:pPr>
    </w:p>
    <w:p w14:paraId="00A9F558" w14:textId="07329ADE" w:rsidR="00FB6C8A" w:rsidRPr="00127B82" w:rsidRDefault="0017703A" w:rsidP="0006415C">
      <w:pPr>
        <w:spacing w:line="360" w:lineRule="auto"/>
        <w:ind w:leftChars="236" w:left="566"/>
        <w:jc w:val="both"/>
        <w:rPr>
          <w:rFonts w:ascii="標楷體" w:eastAsia="標楷體" w:hAnsi="標楷體"/>
          <w:color w:val="FF0000"/>
        </w:rPr>
      </w:pPr>
      <w:r>
        <w:rPr>
          <w:rFonts w:ascii="標楷體" w:eastAsia="標楷體" w:hAnsi="標楷體"/>
        </w:rPr>
        <w:t>109</w:t>
      </w:r>
      <w:r>
        <w:rPr>
          <w:rFonts w:ascii="標楷體" w:eastAsia="標楷體" w:hAnsi="標楷體" w:hint="eastAsia"/>
        </w:rPr>
        <w:t>年從1月起由於全球新型冠狀肺炎的肆虐，造成我國壽險業</w:t>
      </w:r>
      <w:r w:rsidRPr="0017703A">
        <w:rPr>
          <w:rFonts w:ascii="標楷體" w:eastAsia="標楷體" w:hAnsi="標楷體" w:hint="eastAsia"/>
          <w:color w:val="FF0000"/>
        </w:rPr>
        <w:t>1月~</w:t>
      </w:r>
      <w:r w:rsidRPr="0017703A">
        <w:rPr>
          <w:rFonts w:ascii="標楷體" w:eastAsia="標楷體" w:hAnsi="標楷體"/>
          <w:color w:val="FF0000"/>
        </w:rPr>
        <w:t>6</w:t>
      </w:r>
      <w:r w:rsidRPr="0017703A">
        <w:rPr>
          <w:rFonts w:ascii="標楷體" w:eastAsia="標楷體" w:hAnsi="標楷體" w:hint="eastAsia"/>
          <w:color w:val="FF0000"/>
        </w:rPr>
        <w:t>月初年度保費收入</w:t>
      </w:r>
      <w:r>
        <w:rPr>
          <w:rFonts w:ascii="標楷體" w:eastAsia="標楷體" w:hAnsi="標楷體" w:hint="eastAsia"/>
        </w:rPr>
        <w:t>較去年</w:t>
      </w:r>
      <w:r w:rsidRPr="0017703A">
        <w:rPr>
          <w:rFonts w:ascii="標楷體" w:eastAsia="標楷體" w:hAnsi="標楷體" w:hint="eastAsia"/>
          <w:color w:val="FF0000"/>
        </w:rPr>
        <w:t>同期遽減</w:t>
      </w:r>
      <w:r w:rsidRPr="0017703A">
        <w:rPr>
          <w:rFonts w:ascii="標楷體" w:eastAsia="標楷體" w:hAnsi="標楷體"/>
          <w:color w:val="FF0000"/>
        </w:rPr>
        <w:t>35.2%</w:t>
      </w:r>
      <w:r>
        <w:rPr>
          <w:rStyle w:val="ad"/>
          <w:rFonts w:ascii="標楷體" w:eastAsia="標楷體" w:hAnsi="標楷體"/>
        </w:rPr>
        <w:footnoteReference w:id="1"/>
      </w:r>
      <w:r w:rsidRPr="008634A2">
        <w:rPr>
          <w:rFonts w:ascii="標楷體" w:eastAsia="標楷體" w:hAnsi="標楷體" w:hint="eastAsia"/>
          <w:color w:val="FF0000"/>
        </w:rPr>
        <w:t>，但長期照顧保險有效契約件數卻反向增長，</w:t>
      </w:r>
      <w:r>
        <w:rPr>
          <w:rFonts w:ascii="標楷體" w:eastAsia="標楷體" w:hAnsi="標楷體" w:hint="eastAsia"/>
        </w:rPr>
        <w:t>增長率從108/6~108/12的</w:t>
      </w:r>
      <w:r w:rsidRPr="00FD45D3">
        <w:rPr>
          <w:rFonts w:ascii="標楷體" w:eastAsia="標楷體" w:hAnsi="標楷體" w:hint="eastAsia"/>
          <w:color w:val="FF0000"/>
        </w:rPr>
        <w:t>+</w:t>
      </w:r>
      <w:r>
        <w:rPr>
          <w:rFonts w:ascii="標楷體" w:eastAsia="標楷體" w:hAnsi="標楷體" w:hint="eastAsia"/>
          <w:color w:val="FF0000"/>
        </w:rPr>
        <w:t>3.27</w:t>
      </w:r>
      <w:r w:rsidRPr="00FD45D3">
        <w:rPr>
          <w:rFonts w:ascii="標楷體" w:eastAsia="標楷體" w:hAnsi="標楷體" w:hint="eastAsia"/>
          <w:color w:val="FF0000"/>
        </w:rPr>
        <w:t>%</w:t>
      </w:r>
      <w:r>
        <w:rPr>
          <w:rStyle w:val="ad"/>
          <w:rFonts w:ascii="標楷體" w:eastAsia="標楷體" w:hAnsi="標楷體"/>
        </w:rPr>
        <w:footnoteReference w:id="2"/>
      </w:r>
      <w:r>
        <w:rPr>
          <w:rFonts w:ascii="標楷體" w:eastAsia="標楷體" w:hAnsi="標楷體" w:hint="eastAsia"/>
        </w:rPr>
        <w:t xml:space="preserve"> 升至108/12~109/6的</w:t>
      </w:r>
      <w:r w:rsidRPr="00FD45D3">
        <w:rPr>
          <w:rFonts w:ascii="標楷體" w:eastAsia="標楷體" w:hAnsi="標楷體" w:hint="eastAsia"/>
          <w:color w:val="FF0000"/>
        </w:rPr>
        <w:t>+</w:t>
      </w:r>
      <w:r>
        <w:rPr>
          <w:rFonts w:ascii="標楷體" w:eastAsia="標楷體" w:hAnsi="標楷體" w:hint="eastAsia"/>
          <w:color w:val="FF0000"/>
        </w:rPr>
        <w:t>6.12</w:t>
      </w:r>
      <w:r w:rsidRPr="00FD45D3">
        <w:rPr>
          <w:rFonts w:ascii="標楷體" w:eastAsia="標楷體" w:hAnsi="標楷體" w:hint="eastAsia"/>
          <w:color w:val="FF0000"/>
        </w:rPr>
        <w:t>%</w:t>
      </w:r>
      <w:r>
        <w:rPr>
          <w:rStyle w:val="ad"/>
          <w:rFonts w:ascii="標楷體" w:eastAsia="標楷體" w:hAnsi="標楷體"/>
        </w:rPr>
        <w:footnoteReference w:id="3"/>
      </w:r>
      <w:r>
        <w:rPr>
          <w:rFonts w:ascii="標楷體" w:eastAsia="標楷體" w:hAnsi="標楷體" w:hint="eastAsia"/>
        </w:rPr>
        <w:t>，</w:t>
      </w:r>
      <w:r w:rsidR="000877B3" w:rsidRPr="00127B82">
        <w:rPr>
          <w:rFonts w:ascii="標楷體" w:eastAsia="標楷體" w:hAnsi="標楷體" w:hint="eastAsia"/>
          <w:color w:val="FF0000"/>
        </w:rPr>
        <w:t>主要原因為1</w:t>
      </w:r>
      <w:r w:rsidR="000877B3" w:rsidRPr="00127B82">
        <w:rPr>
          <w:rFonts w:ascii="標楷體" w:eastAsia="標楷體" w:hAnsi="標楷體"/>
          <w:color w:val="FF0000"/>
        </w:rPr>
        <w:t>09</w:t>
      </w:r>
      <w:r w:rsidR="00B2377C">
        <w:rPr>
          <w:rFonts w:ascii="標楷體" w:eastAsia="標楷體" w:hAnsi="標楷體" w:hint="eastAsia"/>
          <w:color w:val="FF0000"/>
        </w:rPr>
        <w:t>年度上半年南山人壽的長期照顧保險新契約件數</w:t>
      </w:r>
      <w:r w:rsidR="000877B3" w:rsidRPr="00127B82">
        <w:rPr>
          <w:rFonts w:ascii="標楷體" w:eastAsia="標楷體" w:hAnsi="標楷體" w:hint="eastAsia"/>
          <w:color w:val="FF0000"/>
        </w:rPr>
        <w:t>增</w:t>
      </w:r>
      <w:r w:rsidR="00B2377C">
        <w:rPr>
          <w:rFonts w:ascii="標楷體" w:eastAsia="標楷體" w:hAnsi="標楷體" w:hint="eastAsia"/>
          <w:color w:val="FF0000"/>
        </w:rPr>
        <w:t>加11</w:t>
      </w:r>
      <w:r w:rsidR="000877B3" w:rsidRPr="00127B82">
        <w:rPr>
          <w:rFonts w:ascii="標楷體" w:eastAsia="標楷體" w:hAnsi="標楷體" w:hint="eastAsia"/>
          <w:color w:val="FF0000"/>
        </w:rPr>
        <w:t>,</w:t>
      </w:r>
      <w:r w:rsidR="00B2377C">
        <w:rPr>
          <w:rFonts w:ascii="標楷體" w:eastAsia="標楷體" w:hAnsi="標楷體" w:hint="eastAsia"/>
          <w:color w:val="FF0000"/>
        </w:rPr>
        <w:t>183</w:t>
      </w:r>
      <w:r w:rsidR="000877B3" w:rsidRPr="00127B82">
        <w:rPr>
          <w:rFonts w:ascii="標楷體" w:eastAsia="標楷體" w:hAnsi="標楷體" w:hint="eastAsia"/>
          <w:color w:val="FF0000"/>
        </w:rPr>
        <w:t>件。</w:t>
      </w:r>
    </w:p>
    <w:p w14:paraId="15B8A951" w14:textId="7EABD524" w:rsidR="00A50A07" w:rsidRPr="00977285" w:rsidRDefault="00D65DE7" w:rsidP="00977285">
      <w:pPr>
        <w:spacing w:line="360" w:lineRule="auto"/>
        <w:ind w:leftChars="236" w:left="566"/>
        <w:jc w:val="both"/>
        <w:rPr>
          <w:rFonts w:ascii="標楷體" w:eastAsia="標楷體" w:hAnsi="標楷體"/>
        </w:rPr>
      </w:pPr>
      <w:r>
        <w:rPr>
          <w:rFonts w:ascii="標楷體" w:eastAsia="標楷體" w:hAnsi="標楷體" w:hint="eastAsia"/>
        </w:rPr>
        <w:t>另，</w:t>
      </w:r>
      <w:r w:rsidR="007728D1">
        <w:rPr>
          <w:rFonts w:ascii="標楷體" w:eastAsia="標楷體" w:hAnsi="標楷體" w:hint="eastAsia"/>
        </w:rPr>
        <w:t>觀察過去一年多來長期照顧保險有效契約男、女性被保人</w:t>
      </w:r>
      <w:r w:rsidR="00FF4331">
        <w:rPr>
          <w:rFonts w:ascii="標楷體" w:eastAsia="標楷體" w:hAnsi="標楷體" w:hint="eastAsia"/>
        </w:rPr>
        <w:t>占</w:t>
      </w:r>
      <w:r w:rsidR="00177505">
        <w:rPr>
          <w:rFonts w:ascii="標楷體" w:eastAsia="標楷體" w:hAnsi="標楷體" w:hint="eastAsia"/>
        </w:rPr>
        <w:t>比一直維持在約45%及55%。</w:t>
      </w:r>
      <w:r w:rsidR="00A50A07">
        <w:rPr>
          <w:rFonts w:ascii="標楷體" w:eastAsia="標楷體" w:hAnsi="標楷體" w:hint="eastAsia"/>
        </w:rPr>
        <w:t>從被保人年齡分布(圖3、圖4)顯示</w:t>
      </w:r>
      <w:r w:rsidR="00A50A07" w:rsidRPr="00D65DE7">
        <w:rPr>
          <w:rFonts w:ascii="標楷體" w:eastAsia="標楷體" w:hAnsi="標楷體" w:hint="eastAsia"/>
          <w:color w:val="FF0000"/>
        </w:rPr>
        <w:t>40~49歲的男性投保人數比20~</w:t>
      </w:r>
      <w:r w:rsidR="00251608" w:rsidRPr="00D65DE7">
        <w:rPr>
          <w:rFonts w:ascii="標楷體" w:eastAsia="標楷體" w:hAnsi="標楷體" w:hint="eastAsia"/>
          <w:color w:val="FF0000"/>
        </w:rPr>
        <w:t>2</w:t>
      </w:r>
      <w:r w:rsidR="00A50A07" w:rsidRPr="00D65DE7">
        <w:rPr>
          <w:rFonts w:ascii="標楷體" w:eastAsia="標楷體" w:hAnsi="標楷體" w:hint="eastAsia"/>
          <w:color w:val="FF0000"/>
        </w:rPr>
        <w:t>9歲</w:t>
      </w:r>
      <w:r w:rsidR="00251608" w:rsidRPr="00D65DE7">
        <w:rPr>
          <w:rFonts w:ascii="標楷體" w:eastAsia="標楷體" w:hAnsi="標楷體" w:hint="eastAsia"/>
          <w:color w:val="FF0000"/>
        </w:rPr>
        <w:t>、30~39歲</w:t>
      </w:r>
      <w:r w:rsidR="00A50A07" w:rsidRPr="00D65DE7">
        <w:rPr>
          <w:rFonts w:ascii="標楷體" w:eastAsia="標楷體" w:hAnsi="標楷體" w:hint="eastAsia"/>
          <w:color w:val="FF0000"/>
        </w:rPr>
        <w:t>的男性投保人數開始明</w:t>
      </w:r>
      <w:r w:rsidR="00302F18">
        <w:rPr>
          <w:rFonts w:ascii="標楷體" w:eastAsia="標楷體" w:hAnsi="標楷體" w:hint="eastAsia"/>
          <w:color w:val="FF0000"/>
        </w:rPr>
        <w:t>顯</w:t>
      </w:r>
      <w:r w:rsidR="00251608" w:rsidRPr="00D65DE7">
        <w:rPr>
          <w:rFonts w:ascii="標楷體" w:eastAsia="標楷體" w:hAnsi="標楷體" w:hint="eastAsia"/>
          <w:color w:val="FF0000"/>
        </w:rPr>
        <w:t>衰退</w:t>
      </w:r>
      <w:r w:rsidR="00A50A07" w:rsidRPr="00D65DE7">
        <w:rPr>
          <w:rFonts w:ascii="標楷體" w:eastAsia="標楷體" w:hAnsi="標楷體" w:hint="eastAsia"/>
          <w:color w:val="FF0000"/>
        </w:rPr>
        <w:t>。</w:t>
      </w:r>
      <w:r w:rsidR="00251608" w:rsidRPr="00D65DE7">
        <w:rPr>
          <w:rFonts w:ascii="標楷體" w:eastAsia="標楷體" w:hAnsi="標楷體" w:hint="eastAsia"/>
          <w:color w:val="FF0000"/>
        </w:rPr>
        <w:t>由於40~49歲的男性仍是大多家庭裡的經濟支柱，因此未來推廣及宣導此類保險商品時，除了朝補強目前政府的長照服務項目外，可進一步思考如何提升40~49歲的男性消費者重視</w:t>
      </w:r>
      <w:r w:rsidR="00977285" w:rsidRPr="00D65DE7">
        <w:rPr>
          <w:rFonts w:ascii="標楷體" w:eastAsia="標楷體" w:hAnsi="標楷體" w:hint="eastAsia"/>
          <w:color w:val="FF0000"/>
        </w:rPr>
        <w:t>長期照顧保險對家庭穩定的重要性</w:t>
      </w:r>
      <w:r w:rsidR="00251608" w:rsidRPr="00D65DE7">
        <w:rPr>
          <w:rFonts w:ascii="標楷體" w:eastAsia="標楷體" w:hAnsi="標楷體" w:hint="eastAsia"/>
          <w:color w:val="FF0000"/>
        </w:rPr>
        <w:t>，</w:t>
      </w:r>
      <w:r w:rsidR="00251608" w:rsidRPr="00F04B64">
        <w:rPr>
          <w:rFonts w:ascii="標楷體" w:eastAsia="標楷體" w:hAnsi="標楷體" w:hint="eastAsia"/>
        </w:rPr>
        <w:t>進而提升其投保意願。</w:t>
      </w:r>
    </w:p>
    <w:p w14:paraId="09D4CFEF" w14:textId="5F32FD8A" w:rsidR="00977285" w:rsidRDefault="00977285" w:rsidP="009E69AC">
      <w:pPr>
        <w:spacing w:line="360" w:lineRule="auto"/>
        <w:ind w:leftChars="236" w:left="566"/>
        <w:jc w:val="both"/>
        <w:rPr>
          <w:rFonts w:ascii="標楷體" w:eastAsia="標楷體" w:hAnsi="標楷體"/>
        </w:rPr>
      </w:pPr>
      <w:r>
        <w:rPr>
          <w:rFonts w:ascii="標楷體" w:eastAsia="標楷體" w:hAnsi="標楷體" w:hint="eastAsia"/>
        </w:rPr>
        <w:t>最後，就非6直轄市的部分地區因為可享有的社會資源及福利較其他縣市少，因此若</w:t>
      </w:r>
      <w:r w:rsidR="009E69AC">
        <w:rPr>
          <w:rFonts w:ascii="標楷體" w:eastAsia="標楷體" w:hAnsi="標楷體" w:hint="eastAsia"/>
        </w:rPr>
        <w:t>保險公司可配合其他社會福利經費來源，</w:t>
      </w:r>
      <w:r>
        <w:rPr>
          <w:rFonts w:ascii="標楷體" w:eastAsia="標楷體" w:hAnsi="標楷體" w:hint="eastAsia"/>
        </w:rPr>
        <w:t>先以男性長期照顧保險有效契約件數</w:t>
      </w:r>
      <w:r w:rsidR="00FF4331">
        <w:rPr>
          <w:rFonts w:ascii="標楷體" w:eastAsia="標楷體" w:hAnsi="標楷體" w:hint="eastAsia"/>
        </w:rPr>
        <w:t>占</w:t>
      </w:r>
      <w:r>
        <w:rPr>
          <w:rFonts w:ascii="標楷體" w:eastAsia="標楷體" w:hAnsi="標楷體" w:hint="eastAsia"/>
        </w:rPr>
        <w:t>縣市男性人口比率小於2%</w:t>
      </w:r>
      <w:r w:rsidR="003C2E29">
        <w:rPr>
          <w:rFonts w:ascii="標楷體" w:eastAsia="標楷體" w:hAnsi="標楷體" w:hint="eastAsia"/>
        </w:rPr>
        <w:t>等地區</w:t>
      </w:r>
      <w:r w:rsidR="003C2E29">
        <w:rPr>
          <w:rStyle w:val="ad"/>
          <w:rFonts w:ascii="標楷體" w:eastAsia="標楷體" w:hAnsi="標楷體"/>
        </w:rPr>
        <w:footnoteReference w:id="4"/>
      </w:r>
      <w:r w:rsidR="003C2E29">
        <w:rPr>
          <w:rFonts w:ascii="標楷體" w:eastAsia="標楷體" w:hAnsi="標楷體" w:hint="eastAsia"/>
        </w:rPr>
        <w:t>的男性族群為主要推動客群，以補足在社會資源不均的條件下造成的個人保障之缺口</w:t>
      </w:r>
      <w:r w:rsidR="009E69AC">
        <w:rPr>
          <w:rFonts w:ascii="標楷體" w:eastAsia="標楷體" w:hAnsi="標楷體" w:hint="eastAsia"/>
        </w:rPr>
        <w:t>及</w:t>
      </w:r>
      <w:r w:rsidR="00D15CFF">
        <w:rPr>
          <w:rFonts w:ascii="標楷體" w:eastAsia="標楷體" w:hAnsi="標楷體" w:hint="eastAsia"/>
        </w:rPr>
        <w:t>發揮商業保險的社會安定作用</w:t>
      </w:r>
      <w:r w:rsidR="003C2E29">
        <w:rPr>
          <w:rFonts w:ascii="標楷體" w:eastAsia="標楷體" w:hAnsi="標楷體" w:hint="eastAsia"/>
        </w:rPr>
        <w:t>。</w:t>
      </w:r>
    </w:p>
    <w:sectPr w:rsidR="00977285" w:rsidSect="0063715A">
      <w:footerReference w:type="default" r:id="rId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C67C8" w14:textId="77777777" w:rsidR="00071C84" w:rsidRDefault="00071C84" w:rsidP="00613776">
      <w:r>
        <w:separator/>
      </w:r>
    </w:p>
  </w:endnote>
  <w:endnote w:type="continuationSeparator" w:id="0">
    <w:p w14:paraId="42B04735" w14:textId="77777777" w:rsidR="00071C84" w:rsidRDefault="00071C84" w:rsidP="0061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37EA1" w14:textId="77777777" w:rsidR="00CE6A69" w:rsidRPr="00732D08" w:rsidRDefault="00732D08" w:rsidP="005D1FE6">
    <w:pPr>
      <w:pStyle w:val="a7"/>
      <w:jc w:val="center"/>
      <w:rPr>
        <w:rFonts w:ascii="標楷體" w:eastAsia="標楷體" w:hAnsi="標楷體"/>
      </w:rPr>
    </w:pPr>
    <w:r w:rsidRPr="00732D08">
      <w:rPr>
        <w:rFonts w:ascii="標楷體" w:eastAsia="標楷體" w:hAnsi="標楷體" w:hint="eastAsia"/>
        <w:kern w:val="0"/>
      </w:rPr>
      <w:t xml:space="preserve">第 </w:t>
    </w:r>
    <w:r w:rsidR="00A306D7" w:rsidRPr="00732D08">
      <w:rPr>
        <w:rFonts w:ascii="標楷體" w:eastAsia="標楷體" w:hAnsi="標楷體"/>
        <w:kern w:val="0"/>
      </w:rPr>
      <w:fldChar w:fldCharType="begin"/>
    </w:r>
    <w:r w:rsidRPr="00732D08">
      <w:rPr>
        <w:rFonts w:ascii="標楷體" w:eastAsia="標楷體" w:hAnsi="標楷體"/>
        <w:kern w:val="0"/>
      </w:rPr>
      <w:instrText xml:space="preserve"> PAGE </w:instrText>
    </w:r>
    <w:r w:rsidR="00A306D7" w:rsidRPr="00732D08">
      <w:rPr>
        <w:rFonts w:ascii="標楷體" w:eastAsia="標楷體" w:hAnsi="標楷體"/>
        <w:kern w:val="0"/>
      </w:rPr>
      <w:fldChar w:fldCharType="separate"/>
    </w:r>
    <w:r w:rsidR="00071C84">
      <w:rPr>
        <w:rFonts w:ascii="標楷體" w:eastAsia="標楷體" w:hAnsi="標楷體"/>
        <w:noProof/>
        <w:kern w:val="0"/>
      </w:rPr>
      <w:t>1</w:t>
    </w:r>
    <w:r w:rsidR="00A306D7" w:rsidRPr="00732D08">
      <w:rPr>
        <w:rFonts w:ascii="標楷體" w:eastAsia="標楷體" w:hAnsi="標楷體"/>
        <w:kern w:val="0"/>
      </w:rPr>
      <w:fldChar w:fldCharType="end"/>
    </w:r>
    <w:r w:rsidRPr="00732D08">
      <w:rPr>
        <w:rFonts w:ascii="標楷體" w:eastAsia="標楷體" w:hAnsi="標楷體" w:hint="eastAsia"/>
        <w:kern w:val="0"/>
      </w:rPr>
      <w:t xml:space="preserve"> 頁，共 </w:t>
    </w:r>
    <w:r w:rsidR="00A306D7" w:rsidRPr="00732D08">
      <w:rPr>
        <w:rFonts w:ascii="標楷體" w:eastAsia="標楷體" w:hAnsi="標楷體"/>
        <w:kern w:val="0"/>
      </w:rPr>
      <w:fldChar w:fldCharType="begin"/>
    </w:r>
    <w:r w:rsidRPr="00732D08">
      <w:rPr>
        <w:rFonts w:ascii="標楷體" w:eastAsia="標楷體" w:hAnsi="標楷體"/>
        <w:kern w:val="0"/>
      </w:rPr>
      <w:instrText xml:space="preserve"> NUMPAGES </w:instrText>
    </w:r>
    <w:r w:rsidR="00A306D7" w:rsidRPr="00732D08">
      <w:rPr>
        <w:rFonts w:ascii="標楷體" w:eastAsia="標楷體" w:hAnsi="標楷體"/>
        <w:kern w:val="0"/>
      </w:rPr>
      <w:fldChar w:fldCharType="separate"/>
    </w:r>
    <w:r w:rsidR="00071C84">
      <w:rPr>
        <w:rFonts w:ascii="標楷體" w:eastAsia="標楷體" w:hAnsi="標楷體"/>
        <w:noProof/>
        <w:kern w:val="0"/>
      </w:rPr>
      <w:t>1</w:t>
    </w:r>
    <w:r w:rsidR="00A306D7" w:rsidRPr="00732D08">
      <w:rPr>
        <w:rFonts w:ascii="標楷體" w:eastAsia="標楷體" w:hAnsi="標楷體"/>
        <w:kern w:val="0"/>
      </w:rPr>
      <w:fldChar w:fldCharType="end"/>
    </w:r>
    <w:r w:rsidRPr="00732D08">
      <w:rPr>
        <w:rFonts w:ascii="標楷體" w:eastAsia="標楷體" w:hAnsi="標楷體" w:hint="eastAsia"/>
        <w:kern w:val="0"/>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7EC77" w14:textId="77777777" w:rsidR="00071C84" w:rsidRDefault="00071C84" w:rsidP="00613776">
      <w:r>
        <w:separator/>
      </w:r>
    </w:p>
  </w:footnote>
  <w:footnote w:type="continuationSeparator" w:id="0">
    <w:p w14:paraId="0542348B" w14:textId="77777777" w:rsidR="00071C84" w:rsidRDefault="00071C84" w:rsidP="00613776">
      <w:r>
        <w:continuationSeparator/>
      </w:r>
    </w:p>
  </w:footnote>
  <w:footnote w:id="1">
    <w:p w14:paraId="0ECBA3AF" w14:textId="4CE4C50A" w:rsidR="0017703A" w:rsidRPr="0017703A" w:rsidRDefault="0017703A">
      <w:pPr>
        <w:pStyle w:val="ab"/>
        <w:rPr>
          <w:rFonts w:ascii="標楷體" w:eastAsia="標楷體" w:hAnsi="標楷體"/>
        </w:rPr>
      </w:pPr>
      <w:r>
        <w:rPr>
          <w:rStyle w:val="ad"/>
        </w:rPr>
        <w:footnoteRef/>
      </w:r>
      <w:r>
        <w:t xml:space="preserve"> </w:t>
      </w:r>
      <w:r w:rsidRPr="0017703A">
        <w:rPr>
          <w:rFonts w:ascii="標楷體" w:eastAsia="標楷體" w:hAnsi="標楷體" w:hint="eastAsia"/>
        </w:rPr>
        <w:t>http://www.lia-roc.org.tw/indexasp/asp_data/index03/壽險公會新聞稿.htm</w:t>
      </w:r>
    </w:p>
  </w:footnote>
  <w:footnote w:id="2">
    <w:p w14:paraId="0CD63EEA" w14:textId="0B9C9874" w:rsidR="0017703A" w:rsidRDefault="0017703A" w:rsidP="0017703A">
      <w:pPr>
        <w:pStyle w:val="ab"/>
      </w:pPr>
      <w:r>
        <w:rPr>
          <w:rStyle w:val="ad"/>
        </w:rPr>
        <w:footnoteRef/>
      </w:r>
      <w:r>
        <w:t xml:space="preserve"> </w:t>
      </w:r>
      <w:r>
        <w:rPr>
          <w:rFonts w:ascii="標楷體" w:eastAsia="標楷體" w:hAnsi="標楷體" w:hint="eastAsia"/>
        </w:rPr>
        <w:t>(714,754-692</w:t>
      </w:r>
      <w:r w:rsidRPr="00FF5744">
        <w:rPr>
          <w:rFonts w:ascii="標楷體" w:eastAsia="標楷體" w:hAnsi="標楷體"/>
        </w:rPr>
        <w:t>,</w:t>
      </w:r>
      <w:r>
        <w:rPr>
          <w:rFonts w:ascii="標楷體" w:eastAsia="標楷體" w:hAnsi="標楷體" w:hint="eastAsia"/>
        </w:rPr>
        <w:t>081)/</w:t>
      </w:r>
      <w:r w:rsidRPr="0017703A">
        <w:rPr>
          <w:rFonts w:ascii="標楷體" w:eastAsia="標楷體" w:hAnsi="標楷體" w:hint="eastAsia"/>
        </w:rPr>
        <w:t xml:space="preserve"> </w:t>
      </w:r>
      <w:r>
        <w:rPr>
          <w:rFonts w:ascii="標楷體" w:eastAsia="標楷體" w:hAnsi="標楷體" w:hint="eastAsia"/>
        </w:rPr>
        <w:t>692</w:t>
      </w:r>
      <w:r w:rsidRPr="00FF5744">
        <w:rPr>
          <w:rFonts w:ascii="標楷體" w:eastAsia="標楷體" w:hAnsi="標楷體"/>
        </w:rPr>
        <w:t>,</w:t>
      </w:r>
      <w:r>
        <w:rPr>
          <w:rFonts w:ascii="標楷體" w:eastAsia="標楷體" w:hAnsi="標楷體" w:hint="eastAsia"/>
        </w:rPr>
        <w:t>081 =3.27%</w:t>
      </w:r>
    </w:p>
  </w:footnote>
  <w:footnote w:id="3">
    <w:p w14:paraId="12384265" w14:textId="327B4D2F" w:rsidR="0017703A" w:rsidRDefault="0017703A" w:rsidP="0017703A">
      <w:pPr>
        <w:pStyle w:val="ab"/>
      </w:pPr>
      <w:r>
        <w:rPr>
          <w:rStyle w:val="ad"/>
        </w:rPr>
        <w:footnoteRef/>
      </w:r>
      <w:r>
        <w:t xml:space="preserve"> </w:t>
      </w:r>
      <w:r>
        <w:rPr>
          <w:rFonts w:ascii="標楷體" w:eastAsia="標楷體" w:hAnsi="標楷體" w:hint="eastAsia"/>
        </w:rPr>
        <w:t>(758</w:t>
      </w:r>
      <w:r>
        <w:rPr>
          <w:rFonts w:ascii="標楷體" w:eastAsia="標楷體" w:hAnsi="標楷體"/>
        </w:rPr>
        <w:t>,506</w:t>
      </w:r>
      <w:r>
        <w:rPr>
          <w:rFonts w:ascii="標楷體" w:eastAsia="標楷體" w:hAnsi="標楷體" w:hint="eastAsia"/>
        </w:rPr>
        <w:t>-714,754)/</w:t>
      </w:r>
      <w:r w:rsidRPr="0017703A">
        <w:rPr>
          <w:rFonts w:ascii="標楷體" w:eastAsia="標楷體" w:hAnsi="標楷體" w:hint="eastAsia"/>
        </w:rPr>
        <w:t xml:space="preserve"> </w:t>
      </w:r>
      <w:r>
        <w:rPr>
          <w:rFonts w:ascii="標楷體" w:eastAsia="標楷體" w:hAnsi="標楷體" w:hint="eastAsia"/>
        </w:rPr>
        <w:t>714,754 =</w:t>
      </w:r>
      <w:r>
        <w:rPr>
          <w:rFonts w:ascii="標楷體" w:eastAsia="標楷體" w:hAnsi="標楷體"/>
        </w:rPr>
        <w:t>6.12</w:t>
      </w:r>
      <w:r>
        <w:rPr>
          <w:rFonts w:ascii="標楷體" w:eastAsia="標楷體" w:hAnsi="標楷體" w:hint="eastAsia"/>
        </w:rPr>
        <w:t>%</w:t>
      </w:r>
    </w:p>
  </w:footnote>
  <w:footnote w:id="4">
    <w:p w14:paraId="0C9D38CC" w14:textId="61928224" w:rsidR="003C2E29" w:rsidRPr="003C2E29" w:rsidRDefault="003C2E29">
      <w:pPr>
        <w:pStyle w:val="ab"/>
        <w:rPr>
          <w:rFonts w:ascii="標楷體" w:eastAsia="標楷體" w:hAnsi="標楷體"/>
        </w:rPr>
      </w:pPr>
      <w:r>
        <w:rPr>
          <w:rStyle w:val="ad"/>
        </w:rPr>
        <w:footnoteRef/>
      </w:r>
      <w:r>
        <w:t xml:space="preserve"> </w:t>
      </w:r>
      <w:r w:rsidRPr="003C2E29">
        <w:rPr>
          <w:rFonts w:ascii="標楷體" w:eastAsia="標楷體" w:hAnsi="標楷體" w:hint="eastAsia"/>
        </w:rPr>
        <w:t>參考圖8: 新竹縣、苗栗縣、南投縣、嘉義縣、屏東縣、臺東縣、花蓮縣、澎湖縣、嘉義市、金門縣、連江縣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04BF1"/>
    <w:multiLevelType w:val="hybridMultilevel"/>
    <w:tmpl w:val="1E620F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1646A0"/>
    <w:multiLevelType w:val="hybridMultilevel"/>
    <w:tmpl w:val="F6A81D46"/>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E05D42"/>
    <w:multiLevelType w:val="hybridMultilevel"/>
    <w:tmpl w:val="25F45E2C"/>
    <w:lvl w:ilvl="0" w:tplc="0F8CB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47572C"/>
    <w:multiLevelType w:val="hybridMultilevel"/>
    <w:tmpl w:val="0FE893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87"/>
    <w:rsid w:val="00000AD8"/>
    <w:rsid w:val="0000443B"/>
    <w:rsid w:val="00005C82"/>
    <w:rsid w:val="000074F6"/>
    <w:rsid w:val="000106AB"/>
    <w:rsid w:val="00020F4A"/>
    <w:rsid w:val="00023A31"/>
    <w:rsid w:val="00024FEA"/>
    <w:rsid w:val="000300E9"/>
    <w:rsid w:val="0003585C"/>
    <w:rsid w:val="00042E4B"/>
    <w:rsid w:val="0004488D"/>
    <w:rsid w:val="0004786F"/>
    <w:rsid w:val="0005355D"/>
    <w:rsid w:val="00062D55"/>
    <w:rsid w:val="00062FF8"/>
    <w:rsid w:val="00063619"/>
    <w:rsid w:val="0006415C"/>
    <w:rsid w:val="00065878"/>
    <w:rsid w:val="00065D06"/>
    <w:rsid w:val="00071C84"/>
    <w:rsid w:val="0007521B"/>
    <w:rsid w:val="000877B3"/>
    <w:rsid w:val="000879C1"/>
    <w:rsid w:val="000A2A5D"/>
    <w:rsid w:val="000A6FD6"/>
    <w:rsid w:val="000A7B6F"/>
    <w:rsid w:val="000C3010"/>
    <w:rsid w:val="000C5102"/>
    <w:rsid w:val="000C58E0"/>
    <w:rsid w:val="000C73F6"/>
    <w:rsid w:val="000D0E26"/>
    <w:rsid w:val="000D24B4"/>
    <w:rsid w:val="000D3FE3"/>
    <w:rsid w:val="000E0B38"/>
    <w:rsid w:val="000E1EB1"/>
    <w:rsid w:val="000E30DF"/>
    <w:rsid w:val="000E3BB3"/>
    <w:rsid w:val="000F3D61"/>
    <w:rsid w:val="000F638E"/>
    <w:rsid w:val="0010043C"/>
    <w:rsid w:val="00104B0A"/>
    <w:rsid w:val="00106F13"/>
    <w:rsid w:val="0011082A"/>
    <w:rsid w:val="00110F95"/>
    <w:rsid w:val="00114CF1"/>
    <w:rsid w:val="001172AF"/>
    <w:rsid w:val="0012203D"/>
    <w:rsid w:val="00123047"/>
    <w:rsid w:val="0012308F"/>
    <w:rsid w:val="00124FD4"/>
    <w:rsid w:val="001253EF"/>
    <w:rsid w:val="00126086"/>
    <w:rsid w:val="00127B82"/>
    <w:rsid w:val="001323C6"/>
    <w:rsid w:val="001324FA"/>
    <w:rsid w:val="00134823"/>
    <w:rsid w:val="00145245"/>
    <w:rsid w:val="001465D4"/>
    <w:rsid w:val="00147199"/>
    <w:rsid w:val="00152DDE"/>
    <w:rsid w:val="0015637A"/>
    <w:rsid w:val="00163DDD"/>
    <w:rsid w:val="00165C2A"/>
    <w:rsid w:val="00172970"/>
    <w:rsid w:val="001732FF"/>
    <w:rsid w:val="00173384"/>
    <w:rsid w:val="0017703A"/>
    <w:rsid w:val="00177505"/>
    <w:rsid w:val="001826A9"/>
    <w:rsid w:val="00183665"/>
    <w:rsid w:val="001839AA"/>
    <w:rsid w:val="0018520A"/>
    <w:rsid w:val="00185443"/>
    <w:rsid w:val="00185E42"/>
    <w:rsid w:val="00190BDA"/>
    <w:rsid w:val="001A1863"/>
    <w:rsid w:val="001D7F00"/>
    <w:rsid w:val="001F1110"/>
    <w:rsid w:val="001F701A"/>
    <w:rsid w:val="002125AF"/>
    <w:rsid w:val="00220F90"/>
    <w:rsid w:val="002217B8"/>
    <w:rsid w:val="00230273"/>
    <w:rsid w:val="00232AAA"/>
    <w:rsid w:val="002334DB"/>
    <w:rsid w:val="00234290"/>
    <w:rsid w:val="002342A5"/>
    <w:rsid w:val="00242192"/>
    <w:rsid w:val="00242C9D"/>
    <w:rsid w:val="002430B2"/>
    <w:rsid w:val="00243996"/>
    <w:rsid w:val="00245E35"/>
    <w:rsid w:val="0024657C"/>
    <w:rsid w:val="00251608"/>
    <w:rsid w:val="00251F3F"/>
    <w:rsid w:val="002610A0"/>
    <w:rsid w:val="0027254F"/>
    <w:rsid w:val="00276611"/>
    <w:rsid w:val="0028596A"/>
    <w:rsid w:val="00290695"/>
    <w:rsid w:val="002934B5"/>
    <w:rsid w:val="002935E5"/>
    <w:rsid w:val="002940EA"/>
    <w:rsid w:val="002A2EFE"/>
    <w:rsid w:val="002B7656"/>
    <w:rsid w:val="002C21B4"/>
    <w:rsid w:val="002D5C25"/>
    <w:rsid w:val="002E4965"/>
    <w:rsid w:val="003005B2"/>
    <w:rsid w:val="00302BF9"/>
    <w:rsid w:val="00302F18"/>
    <w:rsid w:val="00310880"/>
    <w:rsid w:val="0032178F"/>
    <w:rsid w:val="00322E8E"/>
    <w:rsid w:val="003255F8"/>
    <w:rsid w:val="00331F9D"/>
    <w:rsid w:val="0033673A"/>
    <w:rsid w:val="003448E5"/>
    <w:rsid w:val="00351A6A"/>
    <w:rsid w:val="00355792"/>
    <w:rsid w:val="00355C32"/>
    <w:rsid w:val="003625A3"/>
    <w:rsid w:val="00370D85"/>
    <w:rsid w:val="00373C8B"/>
    <w:rsid w:val="00375742"/>
    <w:rsid w:val="00375C31"/>
    <w:rsid w:val="0038280E"/>
    <w:rsid w:val="00386F39"/>
    <w:rsid w:val="00393671"/>
    <w:rsid w:val="003961F6"/>
    <w:rsid w:val="00397771"/>
    <w:rsid w:val="003A5EC2"/>
    <w:rsid w:val="003A7CAE"/>
    <w:rsid w:val="003C07C4"/>
    <w:rsid w:val="003C2E29"/>
    <w:rsid w:val="003D0AB2"/>
    <w:rsid w:val="003E25D0"/>
    <w:rsid w:val="003E64AA"/>
    <w:rsid w:val="003F6160"/>
    <w:rsid w:val="003F7908"/>
    <w:rsid w:val="00400F04"/>
    <w:rsid w:val="00403628"/>
    <w:rsid w:val="00403D3D"/>
    <w:rsid w:val="00410805"/>
    <w:rsid w:val="004134C3"/>
    <w:rsid w:val="00415117"/>
    <w:rsid w:val="00425F9A"/>
    <w:rsid w:val="00427561"/>
    <w:rsid w:val="0043409D"/>
    <w:rsid w:val="004402AB"/>
    <w:rsid w:val="004477B5"/>
    <w:rsid w:val="00451040"/>
    <w:rsid w:val="00452A05"/>
    <w:rsid w:val="004546B4"/>
    <w:rsid w:val="00466557"/>
    <w:rsid w:val="00467D6F"/>
    <w:rsid w:val="00473945"/>
    <w:rsid w:val="00476647"/>
    <w:rsid w:val="00481828"/>
    <w:rsid w:val="00483351"/>
    <w:rsid w:val="00484741"/>
    <w:rsid w:val="004847E7"/>
    <w:rsid w:val="00491180"/>
    <w:rsid w:val="00492F56"/>
    <w:rsid w:val="00496874"/>
    <w:rsid w:val="004B0DA7"/>
    <w:rsid w:val="004B0EA8"/>
    <w:rsid w:val="004B2452"/>
    <w:rsid w:val="004B5118"/>
    <w:rsid w:val="004B7251"/>
    <w:rsid w:val="004C3A84"/>
    <w:rsid w:val="004D0734"/>
    <w:rsid w:val="004D7788"/>
    <w:rsid w:val="004F0F8D"/>
    <w:rsid w:val="004F2FDB"/>
    <w:rsid w:val="004F3435"/>
    <w:rsid w:val="004F5B35"/>
    <w:rsid w:val="004F77B5"/>
    <w:rsid w:val="00501FF3"/>
    <w:rsid w:val="00512A83"/>
    <w:rsid w:val="0051437B"/>
    <w:rsid w:val="005144F5"/>
    <w:rsid w:val="005317F6"/>
    <w:rsid w:val="00536EEE"/>
    <w:rsid w:val="00546032"/>
    <w:rsid w:val="005466B5"/>
    <w:rsid w:val="00552AC1"/>
    <w:rsid w:val="0056199D"/>
    <w:rsid w:val="00571506"/>
    <w:rsid w:val="00572776"/>
    <w:rsid w:val="005728E0"/>
    <w:rsid w:val="00573E30"/>
    <w:rsid w:val="00574D34"/>
    <w:rsid w:val="00575936"/>
    <w:rsid w:val="00590E15"/>
    <w:rsid w:val="005938C5"/>
    <w:rsid w:val="00594988"/>
    <w:rsid w:val="00594B5C"/>
    <w:rsid w:val="005A27E5"/>
    <w:rsid w:val="005A3215"/>
    <w:rsid w:val="005A41CA"/>
    <w:rsid w:val="005A515B"/>
    <w:rsid w:val="005B0C55"/>
    <w:rsid w:val="005B2C6F"/>
    <w:rsid w:val="005B6DA2"/>
    <w:rsid w:val="005D1FE6"/>
    <w:rsid w:val="005D259B"/>
    <w:rsid w:val="005D4331"/>
    <w:rsid w:val="005E3116"/>
    <w:rsid w:val="005E5EAD"/>
    <w:rsid w:val="005E7FDC"/>
    <w:rsid w:val="00610330"/>
    <w:rsid w:val="00613030"/>
    <w:rsid w:val="00613776"/>
    <w:rsid w:val="00621B81"/>
    <w:rsid w:val="006268E8"/>
    <w:rsid w:val="006300B2"/>
    <w:rsid w:val="006315EE"/>
    <w:rsid w:val="006363BD"/>
    <w:rsid w:val="006368D2"/>
    <w:rsid w:val="0063715A"/>
    <w:rsid w:val="00641FBB"/>
    <w:rsid w:val="00647A15"/>
    <w:rsid w:val="00660918"/>
    <w:rsid w:val="00665588"/>
    <w:rsid w:val="0067260C"/>
    <w:rsid w:val="00672CED"/>
    <w:rsid w:val="006757EC"/>
    <w:rsid w:val="00692AAC"/>
    <w:rsid w:val="00696BFE"/>
    <w:rsid w:val="006B5946"/>
    <w:rsid w:val="006C2E59"/>
    <w:rsid w:val="006C4705"/>
    <w:rsid w:val="006D0009"/>
    <w:rsid w:val="006D2013"/>
    <w:rsid w:val="006D3C2D"/>
    <w:rsid w:val="006E3BFE"/>
    <w:rsid w:val="006F6D77"/>
    <w:rsid w:val="00704992"/>
    <w:rsid w:val="00704DF6"/>
    <w:rsid w:val="00707D66"/>
    <w:rsid w:val="00712146"/>
    <w:rsid w:val="00713500"/>
    <w:rsid w:val="00714F9D"/>
    <w:rsid w:val="007173A5"/>
    <w:rsid w:val="0072019E"/>
    <w:rsid w:val="00721E83"/>
    <w:rsid w:val="00722B06"/>
    <w:rsid w:val="00732D08"/>
    <w:rsid w:val="00737A91"/>
    <w:rsid w:val="00741AB5"/>
    <w:rsid w:val="00744C15"/>
    <w:rsid w:val="00754488"/>
    <w:rsid w:val="00755119"/>
    <w:rsid w:val="00756BB5"/>
    <w:rsid w:val="007601B1"/>
    <w:rsid w:val="00763890"/>
    <w:rsid w:val="00766F27"/>
    <w:rsid w:val="007728D1"/>
    <w:rsid w:val="007751AF"/>
    <w:rsid w:val="0078129E"/>
    <w:rsid w:val="00784267"/>
    <w:rsid w:val="00792028"/>
    <w:rsid w:val="007934B2"/>
    <w:rsid w:val="00795D6F"/>
    <w:rsid w:val="007A3F46"/>
    <w:rsid w:val="007A49A1"/>
    <w:rsid w:val="007A70D0"/>
    <w:rsid w:val="007B44CD"/>
    <w:rsid w:val="007B5265"/>
    <w:rsid w:val="007C42D0"/>
    <w:rsid w:val="007C5971"/>
    <w:rsid w:val="007D2B1A"/>
    <w:rsid w:val="007D630A"/>
    <w:rsid w:val="007E51C8"/>
    <w:rsid w:val="007F648F"/>
    <w:rsid w:val="00800A93"/>
    <w:rsid w:val="008157C1"/>
    <w:rsid w:val="0082758F"/>
    <w:rsid w:val="00852941"/>
    <w:rsid w:val="0085442A"/>
    <w:rsid w:val="00855F88"/>
    <w:rsid w:val="00855FBA"/>
    <w:rsid w:val="00857324"/>
    <w:rsid w:val="0086054C"/>
    <w:rsid w:val="008634A2"/>
    <w:rsid w:val="00864267"/>
    <w:rsid w:val="00891833"/>
    <w:rsid w:val="008919AF"/>
    <w:rsid w:val="00897879"/>
    <w:rsid w:val="008A3321"/>
    <w:rsid w:val="008A3F31"/>
    <w:rsid w:val="008A694C"/>
    <w:rsid w:val="008B0275"/>
    <w:rsid w:val="008C63F8"/>
    <w:rsid w:val="008E0C68"/>
    <w:rsid w:val="008E2A57"/>
    <w:rsid w:val="008E3DDB"/>
    <w:rsid w:val="008E7EE5"/>
    <w:rsid w:val="00900C10"/>
    <w:rsid w:val="00901A57"/>
    <w:rsid w:val="009068FC"/>
    <w:rsid w:val="009073D5"/>
    <w:rsid w:val="00913E4D"/>
    <w:rsid w:val="00914AD9"/>
    <w:rsid w:val="009173DC"/>
    <w:rsid w:val="00920C0C"/>
    <w:rsid w:val="00940A09"/>
    <w:rsid w:val="00946046"/>
    <w:rsid w:val="0094755F"/>
    <w:rsid w:val="00947D5A"/>
    <w:rsid w:val="00954C07"/>
    <w:rsid w:val="009656F1"/>
    <w:rsid w:val="00975179"/>
    <w:rsid w:val="00977285"/>
    <w:rsid w:val="00980FC6"/>
    <w:rsid w:val="00981C05"/>
    <w:rsid w:val="00984325"/>
    <w:rsid w:val="009854E7"/>
    <w:rsid w:val="0098566F"/>
    <w:rsid w:val="00993CC2"/>
    <w:rsid w:val="00996942"/>
    <w:rsid w:val="009A3B8D"/>
    <w:rsid w:val="009A3EB0"/>
    <w:rsid w:val="009A57E5"/>
    <w:rsid w:val="009A7A38"/>
    <w:rsid w:val="009B03FF"/>
    <w:rsid w:val="009B3BC9"/>
    <w:rsid w:val="009B6AD8"/>
    <w:rsid w:val="009D326E"/>
    <w:rsid w:val="009D3FDA"/>
    <w:rsid w:val="009D58F0"/>
    <w:rsid w:val="009E1F26"/>
    <w:rsid w:val="009E4041"/>
    <w:rsid w:val="009E69AC"/>
    <w:rsid w:val="009F0B6F"/>
    <w:rsid w:val="009F46CD"/>
    <w:rsid w:val="009F53C0"/>
    <w:rsid w:val="009F6BBD"/>
    <w:rsid w:val="00A01458"/>
    <w:rsid w:val="00A01722"/>
    <w:rsid w:val="00A0517F"/>
    <w:rsid w:val="00A07003"/>
    <w:rsid w:val="00A07CE0"/>
    <w:rsid w:val="00A101D0"/>
    <w:rsid w:val="00A12493"/>
    <w:rsid w:val="00A12A46"/>
    <w:rsid w:val="00A161CC"/>
    <w:rsid w:val="00A2639D"/>
    <w:rsid w:val="00A268B5"/>
    <w:rsid w:val="00A3013E"/>
    <w:rsid w:val="00A30580"/>
    <w:rsid w:val="00A306D7"/>
    <w:rsid w:val="00A347D5"/>
    <w:rsid w:val="00A368A4"/>
    <w:rsid w:val="00A44650"/>
    <w:rsid w:val="00A50A07"/>
    <w:rsid w:val="00A56826"/>
    <w:rsid w:val="00A57574"/>
    <w:rsid w:val="00A62246"/>
    <w:rsid w:val="00A63BA2"/>
    <w:rsid w:val="00A7000E"/>
    <w:rsid w:val="00A70845"/>
    <w:rsid w:val="00A7308E"/>
    <w:rsid w:val="00A82B96"/>
    <w:rsid w:val="00A83361"/>
    <w:rsid w:val="00A86C90"/>
    <w:rsid w:val="00A954EB"/>
    <w:rsid w:val="00A9762B"/>
    <w:rsid w:val="00A97FC3"/>
    <w:rsid w:val="00AB5553"/>
    <w:rsid w:val="00AB575D"/>
    <w:rsid w:val="00AC0726"/>
    <w:rsid w:val="00AC0E5F"/>
    <w:rsid w:val="00AC1902"/>
    <w:rsid w:val="00AC74C2"/>
    <w:rsid w:val="00AD0B64"/>
    <w:rsid w:val="00AD1EE6"/>
    <w:rsid w:val="00AD29A3"/>
    <w:rsid w:val="00AD5858"/>
    <w:rsid w:val="00AD6117"/>
    <w:rsid w:val="00AE1F13"/>
    <w:rsid w:val="00AE74A5"/>
    <w:rsid w:val="00AF11B4"/>
    <w:rsid w:val="00AF3287"/>
    <w:rsid w:val="00AF3F9C"/>
    <w:rsid w:val="00AF5451"/>
    <w:rsid w:val="00B006EA"/>
    <w:rsid w:val="00B0294E"/>
    <w:rsid w:val="00B07398"/>
    <w:rsid w:val="00B14640"/>
    <w:rsid w:val="00B20490"/>
    <w:rsid w:val="00B235CE"/>
    <w:rsid w:val="00B2377C"/>
    <w:rsid w:val="00B30668"/>
    <w:rsid w:val="00B33040"/>
    <w:rsid w:val="00B45637"/>
    <w:rsid w:val="00B47A5A"/>
    <w:rsid w:val="00B507A7"/>
    <w:rsid w:val="00B5085E"/>
    <w:rsid w:val="00B50F70"/>
    <w:rsid w:val="00B56DDA"/>
    <w:rsid w:val="00B648F6"/>
    <w:rsid w:val="00B72BD0"/>
    <w:rsid w:val="00B7406B"/>
    <w:rsid w:val="00B74A7A"/>
    <w:rsid w:val="00B757F7"/>
    <w:rsid w:val="00B800A7"/>
    <w:rsid w:val="00B81481"/>
    <w:rsid w:val="00B829B8"/>
    <w:rsid w:val="00B84638"/>
    <w:rsid w:val="00B866B9"/>
    <w:rsid w:val="00B952AB"/>
    <w:rsid w:val="00B976AD"/>
    <w:rsid w:val="00BB2A68"/>
    <w:rsid w:val="00BB3A31"/>
    <w:rsid w:val="00BC01AF"/>
    <w:rsid w:val="00BC79C0"/>
    <w:rsid w:val="00BD1318"/>
    <w:rsid w:val="00BD44FB"/>
    <w:rsid w:val="00BD4CEF"/>
    <w:rsid w:val="00BE2B32"/>
    <w:rsid w:val="00BE2D44"/>
    <w:rsid w:val="00BE7EEF"/>
    <w:rsid w:val="00BF21DC"/>
    <w:rsid w:val="00BF3879"/>
    <w:rsid w:val="00BF42A6"/>
    <w:rsid w:val="00BF7E04"/>
    <w:rsid w:val="00C05B24"/>
    <w:rsid w:val="00C05F07"/>
    <w:rsid w:val="00C116CD"/>
    <w:rsid w:val="00C15E90"/>
    <w:rsid w:val="00C24027"/>
    <w:rsid w:val="00C247D8"/>
    <w:rsid w:val="00C41545"/>
    <w:rsid w:val="00C55DBF"/>
    <w:rsid w:val="00C57636"/>
    <w:rsid w:val="00C6116D"/>
    <w:rsid w:val="00C61228"/>
    <w:rsid w:val="00C66186"/>
    <w:rsid w:val="00C70EF5"/>
    <w:rsid w:val="00C74536"/>
    <w:rsid w:val="00C7724B"/>
    <w:rsid w:val="00C81055"/>
    <w:rsid w:val="00C84B3D"/>
    <w:rsid w:val="00C90329"/>
    <w:rsid w:val="00CB3025"/>
    <w:rsid w:val="00CB3675"/>
    <w:rsid w:val="00CB606E"/>
    <w:rsid w:val="00CB695E"/>
    <w:rsid w:val="00CB758B"/>
    <w:rsid w:val="00CC033C"/>
    <w:rsid w:val="00CC3F72"/>
    <w:rsid w:val="00CE1FED"/>
    <w:rsid w:val="00CE45C9"/>
    <w:rsid w:val="00CE6A69"/>
    <w:rsid w:val="00CF144B"/>
    <w:rsid w:val="00CF5942"/>
    <w:rsid w:val="00D011E8"/>
    <w:rsid w:val="00D03FDC"/>
    <w:rsid w:val="00D11364"/>
    <w:rsid w:val="00D11D80"/>
    <w:rsid w:val="00D15CFF"/>
    <w:rsid w:val="00D17005"/>
    <w:rsid w:val="00D20B6A"/>
    <w:rsid w:val="00D20BFD"/>
    <w:rsid w:val="00D2617C"/>
    <w:rsid w:val="00D30255"/>
    <w:rsid w:val="00D42FEE"/>
    <w:rsid w:val="00D4446F"/>
    <w:rsid w:val="00D54AB6"/>
    <w:rsid w:val="00D5746D"/>
    <w:rsid w:val="00D6075C"/>
    <w:rsid w:val="00D65DE7"/>
    <w:rsid w:val="00D663EF"/>
    <w:rsid w:val="00D66839"/>
    <w:rsid w:val="00D6688E"/>
    <w:rsid w:val="00D67CD3"/>
    <w:rsid w:val="00D70D35"/>
    <w:rsid w:val="00D74005"/>
    <w:rsid w:val="00D74BA4"/>
    <w:rsid w:val="00D76A80"/>
    <w:rsid w:val="00D908C0"/>
    <w:rsid w:val="00D944E0"/>
    <w:rsid w:val="00D951D1"/>
    <w:rsid w:val="00DA2749"/>
    <w:rsid w:val="00DA6261"/>
    <w:rsid w:val="00DB07CD"/>
    <w:rsid w:val="00DB1244"/>
    <w:rsid w:val="00DB150A"/>
    <w:rsid w:val="00DB2320"/>
    <w:rsid w:val="00DB47AC"/>
    <w:rsid w:val="00DB6F3F"/>
    <w:rsid w:val="00DB7BCC"/>
    <w:rsid w:val="00DC2AE4"/>
    <w:rsid w:val="00DC326F"/>
    <w:rsid w:val="00DC3B7B"/>
    <w:rsid w:val="00DC6F2F"/>
    <w:rsid w:val="00DD45CF"/>
    <w:rsid w:val="00DD55EF"/>
    <w:rsid w:val="00DD7AA0"/>
    <w:rsid w:val="00DF07A1"/>
    <w:rsid w:val="00DF0E64"/>
    <w:rsid w:val="00DF3F8E"/>
    <w:rsid w:val="00DF7219"/>
    <w:rsid w:val="00DF7485"/>
    <w:rsid w:val="00E0046B"/>
    <w:rsid w:val="00E05BC5"/>
    <w:rsid w:val="00E14EEE"/>
    <w:rsid w:val="00E21029"/>
    <w:rsid w:val="00E227DC"/>
    <w:rsid w:val="00E24B19"/>
    <w:rsid w:val="00E24D95"/>
    <w:rsid w:val="00E24FD5"/>
    <w:rsid w:val="00E25C06"/>
    <w:rsid w:val="00E268F4"/>
    <w:rsid w:val="00E26BAB"/>
    <w:rsid w:val="00E309D0"/>
    <w:rsid w:val="00E3641D"/>
    <w:rsid w:val="00E406C9"/>
    <w:rsid w:val="00E4282A"/>
    <w:rsid w:val="00E52F08"/>
    <w:rsid w:val="00E57CF0"/>
    <w:rsid w:val="00E6128D"/>
    <w:rsid w:val="00E66903"/>
    <w:rsid w:val="00E743F6"/>
    <w:rsid w:val="00E824FF"/>
    <w:rsid w:val="00E827FA"/>
    <w:rsid w:val="00E84B38"/>
    <w:rsid w:val="00E85C09"/>
    <w:rsid w:val="00E93140"/>
    <w:rsid w:val="00EB047A"/>
    <w:rsid w:val="00EB286C"/>
    <w:rsid w:val="00EC71CB"/>
    <w:rsid w:val="00EC78B6"/>
    <w:rsid w:val="00EE3324"/>
    <w:rsid w:val="00EE5453"/>
    <w:rsid w:val="00EF1427"/>
    <w:rsid w:val="00EF3A92"/>
    <w:rsid w:val="00EF3ECC"/>
    <w:rsid w:val="00EF54BC"/>
    <w:rsid w:val="00EF5E34"/>
    <w:rsid w:val="00EF7AAD"/>
    <w:rsid w:val="00F01B9F"/>
    <w:rsid w:val="00F02E0E"/>
    <w:rsid w:val="00F04B64"/>
    <w:rsid w:val="00F05A1C"/>
    <w:rsid w:val="00F11018"/>
    <w:rsid w:val="00F132BC"/>
    <w:rsid w:val="00F17F63"/>
    <w:rsid w:val="00F21177"/>
    <w:rsid w:val="00F3000E"/>
    <w:rsid w:val="00F3048A"/>
    <w:rsid w:val="00F41F12"/>
    <w:rsid w:val="00F52A8C"/>
    <w:rsid w:val="00F55906"/>
    <w:rsid w:val="00F57DB4"/>
    <w:rsid w:val="00F6396C"/>
    <w:rsid w:val="00F6511B"/>
    <w:rsid w:val="00F7257C"/>
    <w:rsid w:val="00F76CAA"/>
    <w:rsid w:val="00F877F8"/>
    <w:rsid w:val="00F955AF"/>
    <w:rsid w:val="00F96884"/>
    <w:rsid w:val="00FA5885"/>
    <w:rsid w:val="00FA7F37"/>
    <w:rsid w:val="00FB0CDE"/>
    <w:rsid w:val="00FB6A0A"/>
    <w:rsid w:val="00FB6C8A"/>
    <w:rsid w:val="00FC0B15"/>
    <w:rsid w:val="00FC3E9F"/>
    <w:rsid w:val="00FD6191"/>
    <w:rsid w:val="00FD6B8C"/>
    <w:rsid w:val="00FD702D"/>
    <w:rsid w:val="00FF43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2611"/>
  <w15:docId w15:val="{CD796774-3782-4E12-9C32-A5FEFC23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6D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19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47199"/>
    <w:rPr>
      <w:rFonts w:asciiTheme="majorHAnsi" w:eastAsiaTheme="majorEastAsia" w:hAnsiTheme="majorHAnsi" w:cstheme="majorBidi"/>
      <w:sz w:val="18"/>
      <w:szCs w:val="18"/>
    </w:rPr>
  </w:style>
  <w:style w:type="paragraph" w:styleId="a5">
    <w:name w:val="header"/>
    <w:basedOn w:val="a"/>
    <w:link w:val="a6"/>
    <w:uiPriority w:val="99"/>
    <w:unhideWhenUsed/>
    <w:rsid w:val="00613776"/>
    <w:pPr>
      <w:tabs>
        <w:tab w:val="center" w:pos="4153"/>
        <w:tab w:val="right" w:pos="8306"/>
      </w:tabs>
      <w:snapToGrid w:val="0"/>
    </w:pPr>
    <w:rPr>
      <w:sz w:val="20"/>
      <w:szCs w:val="20"/>
    </w:rPr>
  </w:style>
  <w:style w:type="character" w:customStyle="1" w:styleId="a6">
    <w:name w:val="頁首 字元"/>
    <w:basedOn w:val="a0"/>
    <w:link w:val="a5"/>
    <w:uiPriority w:val="99"/>
    <w:rsid w:val="00613776"/>
    <w:rPr>
      <w:sz w:val="20"/>
      <w:szCs w:val="20"/>
    </w:rPr>
  </w:style>
  <w:style w:type="paragraph" w:styleId="a7">
    <w:name w:val="footer"/>
    <w:basedOn w:val="a"/>
    <w:link w:val="a8"/>
    <w:uiPriority w:val="99"/>
    <w:unhideWhenUsed/>
    <w:rsid w:val="00613776"/>
    <w:pPr>
      <w:tabs>
        <w:tab w:val="center" w:pos="4153"/>
        <w:tab w:val="right" w:pos="8306"/>
      </w:tabs>
      <w:snapToGrid w:val="0"/>
    </w:pPr>
    <w:rPr>
      <w:sz w:val="20"/>
      <w:szCs w:val="20"/>
    </w:rPr>
  </w:style>
  <w:style w:type="character" w:customStyle="1" w:styleId="a8">
    <w:name w:val="頁尾 字元"/>
    <w:basedOn w:val="a0"/>
    <w:link w:val="a7"/>
    <w:uiPriority w:val="99"/>
    <w:rsid w:val="00613776"/>
    <w:rPr>
      <w:sz w:val="20"/>
      <w:szCs w:val="20"/>
    </w:rPr>
  </w:style>
  <w:style w:type="paragraph" w:styleId="a9">
    <w:name w:val="List Paragraph"/>
    <w:basedOn w:val="a"/>
    <w:uiPriority w:val="34"/>
    <w:qFormat/>
    <w:rsid w:val="00641FBB"/>
    <w:pPr>
      <w:ind w:leftChars="200" w:left="480"/>
    </w:pPr>
  </w:style>
  <w:style w:type="table" w:styleId="aa">
    <w:name w:val="Table Grid"/>
    <w:basedOn w:val="a1"/>
    <w:uiPriority w:val="59"/>
    <w:rsid w:val="003F6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17703A"/>
    <w:pPr>
      <w:snapToGrid w:val="0"/>
    </w:pPr>
    <w:rPr>
      <w:sz w:val="20"/>
      <w:szCs w:val="20"/>
    </w:rPr>
  </w:style>
  <w:style w:type="character" w:customStyle="1" w:styleId="ac">
    <w:name w:val="註腳文字 字元"/>
    <w:basedOn w:val="a0"/>
    <w:link w:val="ab"/>
    <w:uiPriority w:val="99"/>
    <w:semiHidden/>
    <w:rsid w:val="0017703A"/>
    <w:rPr>
      <w:sz w:val="20"/>
      <w:szCs w:val="20"/>
    </w:rPr>
  </w:style>
  <w:style w:type="character" w:styleId="ad">
    <w:name w:val="footnote reference"/>
    <w:basedOn w:val="a0"/>
    <w:uiPriority w:val="99"/>
    <w:semiHidden/>
    <w:unhideWhenUsed/>
    <w:rsid w:val="001770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468;&#20214;&#20108;_&#38263;&#26399;&#29031;&#39015;&#20445;&#38570;&#27010;&#27841;&#34920;_&#38263;&#29031;&#38570;&#38989;&#22806;&#32113;&#35336;(109&#24180;&#24230;&#19978;&#21322;&#24180;).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468;&#20214;&#19977;_&#38263;&#26399;&#29031;&#39015;&#20445;&#38570;&#27010;&#27841;&#34920;_&#35201;&#20445;&#20154;&#25152;&#24471;&#20043;&#20132;&#21449;&#20998;&#26512;(109&#24180;&#24230;&#19978;&#21322;&#24180;).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263;&#26399;&#29031;&#39015;&#20445;&#38570;&#27010;&#27841;&#34920;_&#35201;&#20445;&#20154;&#25152;&#24471;&#20043;&#20132;&#21449;&#20998;&#26512;(105&#33267;108&#24180;&#20998;&#26512;)_&#35036;&#20132;&#32102;&#20445;&#23616;.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263;&#26399;&#29031;&#39015;&#20445;&#38570;&#27010;&#27841;&#34920;_&#35201;&#20445;&#20154;&#25152;&#24471;&#20043;&#20132;&#21449;&#20998;&#26512;(105&#33267;108&#24180;&#20998;&#26512;)_&#35036;&#20132;&#32102;&#20445;&#23616;.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263;&#26399;&#29031;&#39015;&#20445;&#38570;&#27010;&#27841;&#34920;_&#35201;&#20445;&#20154;&#25152;&#24471;&#20043;&#20132;&#21449;&#20998;&#26512;(105&#33267;108&#24180;&#20998;&#26512;)_&#35036;&#20132;&#32102;&#20445;&#23616;.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263;&#26399;&#29031;&#39015;&#20445;&#38570;&#27010;&#27841;&#34920;_&#35201;&#20445;&#20154;&#25152;&#24471;&#20043;&#20132;&#21449;&#20998;&#26512;(105&#33267;108&#24180;&#20998;&#26512;)_&#35036;&#20132;&#32102;&#20445;&#2361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468;&#20214;&#20108;_&#38263;&#26399;&#29031;&#39015;&#20445;&#38570;&#27010;&#27841;&#34920;_&#38263;&#29031;&#38570;&#38989;&#22806;&#32113;&#35336;(109&#24180;&#24230;&#19978;&#21322;&#2418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468;&#20214;&#20108;_&#38263;&#26399;&#29031;&#39015;&#20445;&#38570;&#27010;&#27841;&#34920;_&#38263;&#29031;&#38570;&#38989;&#22806;&#32113;&#35336;(109&#24180;&#24230;&#19978;&#21322;&#2418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468;&#20214;&#20108;_&#38263;&#26399;&#29031;&#39015;&#20445;&#38570;&#27010;&#27841;&#34920;_&#38263;&#29031;&#38570;&#38989;&#22806;&#32113;&#35336;(109&#24180;&#24230;&#19978;&#21322;&#2418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468;&#20214;&#20108;_&#38263;&#26399;&#29031;&#39015;&#20445;&#38570;&#27010;&#27841;&#34920;_&#38263;&#29031;&#38570;&#38989;&#22806;&#32113;&#35336;(109&#24180;&#24230;&#19978;&#21322;&#2418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468;&#20214;&#20108;_&#38263;&#26399;&#29031;&#39015;&#20445;&#38570;&#27010;&#27841;&#34920;_&#38263;&#29031;&#38570;&#38989;&#22806;&#32113;&#35336;(109&#24180;&#24230;&#19978;&#21322;&#2418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468;&#20214;&#20108;_&#38263;&#26399;&#29031;&#39015;&#20445;&#38570;&#27010;&#27841;&#34920;_&#38263;&#29031;&#38570;&#38989;&#22806;&#32113;&#35336;(109&#24180;&#24230;&#19978;&#21322;&#2418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468;&#20214;&#20108;_&#38263;&#26399;&#29031;&#39015;&#20445;&#38570;&#27010;&#27841;&#34920;_&#38263;&#29031;&#38570;&#38989;&#22806;&#32113;&#35336;(109&#24180;&#24230;&#19978;&#21322;&#24180;).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ifejulie\Documents\&#39080;&#31649;&#31934;&#31639;&#20363;&#34892;&#32113;&#35336;_&#26376;%20&#23395;%20&#21322;&#24180;%20&#20841;&#20491;&#26376;\&#21322;&#24180;&#35519;&#26597;\&#27599;&#21322;&#24180;-&#24180;&#37329;&#20445;&#38570;&#33287;&#38263;&#26399;&#29031;&#39015;&#20445;&#38570;&#32113;&#35336;(&#27599;&#19968;&#12289;&#19971;&#26376;)\109&#24180;&#24230;(&#31934;&#31639;&#25509;&#36774;)\109&#19978;&#21322;&#24180;(&#31934;&#31639;&#25509;&#36774;)\1090724_&#20989;&#25991;&#22577;&#23616;&#21450;&#30456;&#38364;&#38468;&#20214;\&#38468;&#20214;&#19977;_&#38263;&#26399;&#29031;&#39015;&#20445;&#38570;&#27010;&#27841;&#34920;_&#35201;&#20445;&#20154;&#25152;&#24471;&#20043;&#20132;&#21449;&#20998;&#26512;(109&#24180;&#24230;&#19978;&#21322;&#2418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zh-TW" altLang="zh-TW" sz="1200" b="1" i="0" baseline="0">
                <a:effectLst/>
                <a:latin typeface="標楷體" panose="03000509000000000000" pitchFamily="65" charset="-120"/>
                <a:ea typeface="標楷體" panose="03000509000000000000" pitchFamily="65" charset="-120"/>
              </a:rPr>
              <a:t>圖</a:t>
            </a:r>
            <a:r>
              <a:rPr lang="en-US" altLang="zh-TW" sz="1200" b="1" i="0" baseline="0">
                <a:effectLst/>
                <a:latin typeface="標楷體" panose="03000509000000000000" pitchFamily="65" charset="-120"/>
                <a:ea typeface="標楷體" panose="03000509000000000000" pitchFamily="65" charset="-120"/>
              </a:rPr>
              <a:t>1-</a:t>
            </a:r>
            <a:r>
              <a:rPr lang="zh-TW" altLang="zh-TW" sz="1200" b="1" i="0" baseline="0">
                <a:effectLst/>
                <a:latin typeface="標楷體" panose="03000509000000000000" pitchFamily="65" charset="-120"/>
                <a:ea typeface="標楷體" panose="03000509000000000000" pitchFamily="65" charset="-120"/>
              </a:rPr>
              <a:t>長期照顧保險男、女性被保險人</a:t>
            </a:r>
            <a:r>
              <a:rPr lang="zh-TW" altLang="en-US" sz="1200" b="1" i="0" baseline="0">
                <a:effectLst/>
                <a:latin typeface="標楷體" panose="03000509000000000000" pitchFamily="65" charset="-120"/>
                <a:ea typeface="標楷體" panose="03000509000000000000" pitchFamily="65" charset="-120"/>
              </a:rPr>
              <a:t>佔</a:t>
            </a:r>
            <a:r>
              <a:rPr lang="zh-TW" altLang="zh-TW" sz="1200" b="1" i="0" baseline="0">
                <a:effectLst/>
                <a:latin typeface="標楷體" panose="03000509000000000000" pitchFamily="65" charset="-120"/>
                <a:ea typeface="標楷體" panose="03000509000000000000" pitchFamily="65" charset="-120"/>
              </a:rPr>
              <a:t>率</a:t>
            </a:r>
            <a:r>
              <a:rPr lang="en-US" altLang="zh-TW" sz="1200" b="1" i="0" baseline="0">
                <a:effectLst/>
                <a:latin typeface="標楷體" panose="03000509000000000000" pitchFamily="65" charset="-120"/>
                <a:ea typeface="標楷體" panose="03000509000000000000" pitchFamily="65" charset="-120"/>
              </a:rPr>
              <a:t>(</a:t>
            </a:r>
            <a:r>
              <a:rPr lang="zh-TW" altLang="en-US" sz="1200" b="1" i="0" baseline="0">
                <a:effectLst/>
                <a:latin typeface="標楷體" panose="03000509000000000000" pitchFamily="65" charset="-120"/>
                <a:ea typeface="標楷體" panose="03000509000000000000" pitchFamily="65" charset="-120"/>
              </a:rPr>
              <a:t>截至</a:t>
            </a:r>
            <a:r>
              <a:rPr lang="en-US" altLang="zh-TW" sz="1200" b="1" i="0" baseline="0">
                <a:effectLst/>
                <a:latin typeface="標楷體" panose="03000509000000000000" pitchFamily="65" charset="-120"/>
                <a:ea typeface="標楷體" panose="03000509000000000000" pitchFamily="65" charset="-120"/>
              </a:rPr>
              <a:t>109</a:t>
            </a:r>
            <a:r>
              <a:rPr lang="zh-TW" altLang="en-US" sz="1200" b="1" i="0" baseline="0">
                <a:effectLst/>
                <a:latin typeface="標楷體" panose="03000509000000000000" pitchFamily="65" charset="-120"/>
                <a:ea typeface="標楷體" panose="03000509000000000000" pitchFamily="65" charset="-120"/>
              </a:rPr>
              <a:t>年</a:t>
            </a:r>
            <a:r>
              <a:rPr lang="en-US" altLang="zh-TW" sz="1200" b="1" i="0" baseline="0">
                <a:effectLst/>
                <a:latin typeface="標楷體" panose="03000509000000000000" pitchFamily="65" charset="-120"/>
                <a:ea typeface="標楷體" panose="03000509000000000000" pitchFamily="65" charset="-120"/>
              </a:rPr>
              <a:t>6</a:t>
            </a:r>
            <a:r>
              <a:rPr lang="zh-TW" altLang="en-US" sz="1200" b="1" i="0" baseline="0">
                <a:effectLst/>
                <a:latin typeface="標楷體" panose="03000509000000000000" pitchFamily="65" charset="-120"/>
                <a:ea typeface="標楷體" panose="03000509000000000000" pitchFamily="65" charset="-120"/>
              </a:rPr>
              <a:t>月底</a:t>
            </a:r>
            <a:r>
              <a:rPr lang="en-US" altLang="zh-TW" sz="1200" b="1" i="0" baseline="0">
                <a:effectLst/>
                <a:latin typeface="標楷體" panose="03000509000000000000" pitchFamily="65" charset="-120"/>
                <a:ea typeface="標楷體" panose="03000509000000000000" pitchFamily="65" charset="-120"/>
              </a:rPr>
              <a:t>)</a:t>
            </a:r>
            <a:endParaRPr lang="zh-TW" altLang="zh-TW" sz="1200">
              <a:effectLst/>
              <a:latin typeface="標楷體" panose="03000509000000000000" pitchFamily="65" charset="-120"/>
              <a:ea typeface="標楷體" panose="03000509000000000000" pitchFamily="65" charset="-120"/>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TW" altLang="en-US"/>
          </a:p>
        </c:rich>
      </c:tx>
      <c:layout/>
      <c:overlay val="0"/>
      <c:spPr>
        <a:noFill/>
        <a:ln w="25400">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rgbClr val="4F81BD"/>
              </a:solidFill>
              <a:ln w="25400">
                <a:solidFill>
                  <a:srgbClr val="FFFFFF"/>
                </a:solidFill>
                <a:prstDash val="solid"/>
              </a:ln>
            </c:spPr>
            <c:extLst xmlns:c16r2="http://schemas.microsoft.com/office/drawing/2015/06/chart">
              <c:ext xmlns:c16="http://schemas.microsoft.com/office/drawing/2014/chart" uri="{C3380CC4-5D6E-409C-BE32-E72D297353CC}">
                <c16:uniqueId val="{00000001-3FA2-474B-A7CB-304FE3D55A1C}"/>
              </c:ext>
            </c:extLst>
          </c:dPt>
          <c:dPt>
            <c:idx val="1"/>
            <c:bubble3D val="0"/>
            <c:spPr>
              <a:solidFill>
                <a:srgbClr val="C0504D"/>
              </a:solidFill>
              <a:ln w="25400">
                <a:solidFill>
                  <a:srgbClr val="FFFFFF"/>
                </a:solidFill>
                <a:prstDash val="solid"/>
              </a:ln>
            </c:spPr>
            <c:extLst xmlns:c16r2="http://schemas.microsoft.com/office/drawing/2015/06/chart">
              <c:ext xmlns:c16="http://schemas.microsoft.com/office/drawing/2014/chart" uri="{C3380CC4-5D6E-409C-BE32-E72D297353CC}">
                <c16:uniqueId val="{00000003-3FA2-474B-A7CB-304FE3D55A1C}"/>
              </c:ext>
            </c:extLst>
          </c:dPt>
          <c:dLbls>
            <c:dLbl>
              <c:idx val="0"/>
              <c:layout>
                <c:manualLayout>
                  <c:x val="-0.20271615707560697"/>
                  <c:y val="1.7408436034397096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FA2-474B-A7CB-304FE3D55A1C}"/>
                </c:ext>
                <c:ext xmlns:c15="http://schemas.microsoft.com/office/drawing/2012/chart" uri="{CE6537A1-D6FC-4f65-9D91-7224C49458BB}">
                  <c15:layout/>
                </c:ext>
              </c:extLst>
            </c:dLbl>
            <c:dLbl>
              <c:idx val="1"/>
              <c:layout>
                <c:manualLayout>
                  <c:x val="0.19460996940436509"/>
                  <c:y val="-0.13470571029396569"/>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FA2-474B-A7CB-304FE3D55A1C}"/>
                </c:ext>
                <c:ext xmlns:c15="http://schemas.microsoft.com/office/drawing/2012/chart" uri="{CE6537A1-D6FC-4f65-9D91-7224C49458BB}">
                  <c15:layout/>
                </c:ext>
              </c:extLst>
            </c:dLbl>
            <c:spPr>
              <a:noFill/>
              <a:ln w="25400">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zh-TW"/>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Lit>
              <c:ptCount val="2"/>
              <c:pt idx="0">
                <c:v>男性</c:v>
              </c:pt>
              <c:pt idx="1">
                <c:v>女性</c:v>
              </c:pt>
            </c:strLit>
          </c:cat>
          <c:val>
            <c:numRef>
              <c:f>('長照(依性別+年齡+要被保人)'!$AD$5,'長照(依性別+年齡+要被保人)'!$AD$23)</c:f>
              <c:numCache>
                <c:formatCode>0.00%</c:formatCode>
                <c:ptCount val="2"/>
                <c:pt idx="0">
                  <c:v>0.45508802830827971</c:v>
                </c:pt>
                <c:pt idx="1">
                  <c:v>0.54491197169172034</c:v>
                </c:pt>
              </c:numCache>
            </c:numRef>
          </c:val>
          <c:extLst xmlns:c16r2="http://schemas.microsoft.com/office/drawing/2015/06/chart">
            <c:ext xmlns:c16="http://schemas.microsoft.com/office/drawing/2014/chart" uri="{C3380CC4-5D6E-409C-BE32-E72D297353CC}">
              <c16:uniqueId val="{00000004-3FA2-474B-A7CB-304FE3D55A1C}"/>
            </c:ext>
          </c:extLst>
        </c:ser>
        <c:ser>
          <c:idx val="1"/>
          <c:order val="1"/>
          <c:dPt>
            <c:idx val="0"/>
            <c:bubble3D val="0"/>
            <c:spPr>
              <a:solidFill>
                <a:srgbClr val="4F81BD"/>
              </a:solidFill>
              <a:ln w="25400">
                <a:solidFill>
                  <a:srgbClr val="FFFFFF"/>
                </a:solidFill>
                <a:prstDash val="solid"/>
              </a:ln>
            </c:spPr>
            <c:extLst xmlns:c16r2="http://schemas.microsoft.com/office/drawing/2015/06/chart">
              <c:ext xmlns:c16="http://schemas.microsoft.com/office/drawing/2014/chart" uri="{C3380CC4-5D6E-409C-BE32-E72D297353CC}">
                <c16:uniqueId val="{00000006-3FA2-474B-A7CB-304FE3D55A1C}"/>
              </c:ext>
            </c:extLst>
          </c:dPt>
          <c:dPt>
            <c:idx val="1"/>
            <c:bubble3D val="0"/>
            <c:spPr>
              <a:solidFill>
                <a:srgbClr val="C0504D"/>
              </a:solidFill>
              <a:ln w="25400">
                <a:solidFill>
                  <a:srgbClr val="FFFFFF"/>
                </a:solidFill>
                <a:prstDash val="solid"/>
              </a:ln>
            </c:spPr>
            <c:extLst xmlns:c16r2="http://schemas.microsoft.com/office/drawing/2015/06/chart">
              <c:ext xmlns:c16="http://schemas.microsoft.com/office/drawing/2014/chart" uri="{C3380CC4-5D6E-409C-BE32-E72D297353CC}">
                <c16:uniqueId val="{00000008-3FA2-474B-A7CB-304FE3D55A1C}"/>
              </c:ext>
            </c:extLst>
          </c:dPt>
          <c:cat>
            <c:strLit>
              <c:ptCount val="2"/>
              <c:pt idx="0">
                <c:v>男性</c:v>
              </c:pt>
              <c:pt idx="1">
                <c:v>女性</c:v>
              </c:pt>
            </c:strLit>
          </c:cat>
          <c:val>
            <c:numRef>
              <c:f>('長照(依性別+年齡+要被保人)'!$AE$5,'長照(依性別+年齡+要被保人)'!$AE$23)</c:f>
              <c:numCache>
                <c:formatCode>General</c:formatCode>
                <c:ptCount val="2"/>
              </c:numCache>
            </c:numRef>
          </c:val>
          <c:extLst xmlns:c16r2="http://schemas.microsoft.com/office/drawing/2015/06/chart">
            <c:ext xmlns:c16="http://schemas.microsoft.com/office/drawing/2014/chart" uri="{C3380CC4-5D6E-409C-BE32-E72D297353CC}">
              <c16:uniqueId val="{00000009-3FA2-474B-A7CB-304FE3D55A1C}"/>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85547853681390551"/>
          <c:y val="0.41015250297900713"/>
          <c:w val="9.8603272541683176E-2"/>
          <c:h val="0.23637990937746486"/>
        </c:manualLayout>
      </c:layout>
      <c:overlay val="0"/>
      <c:spPr>
        <a:noFill/>
        <a:ln w="25400">
          <a:noFill/>
        </a:ln>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noFill/>
      <a:round/>
    </a:ln>
    <a:effectLst/>
  </c:spPr>
  <c:txPr>
    <a:bodyPr/>
    <a:lstStyle/>
    <a:p>
      <a:pPr>
        <a:defRPr/>
      </a:pPr>
      <a:endParaRPr lang="zh-TW"/>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a:pPr>
            <a:r>
              <a:rPr lang="zh-TW" altLang="en-US" sz="1200">
                <a:latin typeface="標楷體" pitchFamily="65" charset="-120"/>
                <a:ea typeface="標楷體" pitchFamily="65" charset="-120"/>
              </a:rPr>
              <a:t>圖</a:t>
            </a:r>
            <a:r>
              <a:rPr lang="en-US" altLang="zh-TW" sz="1200">
                <a:latin typeface="標楷體" pitchFamily="65" charset="-120"/>
                <a:ea typeface="標楷體" pitchFamily="65" charset="-120"/>
              </a:rPr>
              <a:t>10-</a:t>
            </a:r>
            <a:r>
              <a:rPr lang="zh-TW" altLang="en-US" sz="1200">
                <a:latin typeface="標楷體" pitchFamily="65" charset="-120"/>
                <a:ea typeface="標楷體" pitchFamily="65" charset="-120"/>
              </a:rPr>
              <a:t>年收入</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新台幣</a:t>
            </a:r>
            <a:r>
              <a:rPr lang="en-US" altLang="zh-TW" sz="1200">
                <a:latin typeface="標楷體" pitchFamily="65" charset="-120"/>
                <a:ea typeface="標楷體" pitchFamily="65" charset="-120"/>
              </a:rPr>
              <a:t>)</a:t>
            </a:r>
            <a:r>
              <a:rPr lang="zh-TW" altLang="en-US" sz="1200">
                <a:latin typeface="標楷體" pitchFamily="65" charset="-120"/>
                <a:ea typeface="標楷體" pitchFamily="65" charset="-120"/>
              </a:rPr>
              <a:t>級距之長期照顧保險新契約件數</a:t>
            </a:r>
            <a:endParaRPr lang="en-US" altLang="zh-TW" sz="1200">
              <a:latin typeface="標楷體" pitchFamily="65" charset="-120"/>
              <a:ea typeface="標楷體" pitchFamily="65" charset="-120"/>
            </a:endParaRPr>
          </a:p>
          <a:p>
            <a:pPr algn="ctr" rtl="0">
              <a:defRPr/>
            </a:pPr>
            <a:r>
              <a:rPr lang="zh-TW" altLang="en-US" sz="1200">
                <a:latin typeface="標楷體" pitchFamily="65" charset="-120"/>
                <a:ea typeface="標楷體" pitchFamily="65" charset="-120"/>
              </a:rPr>
              <a:t>占新契約總要保人數比例 </a:t>
            </a:r>
            <a:r>
              <a:rPr lang="en-US" altLang="zh-TW" sz="1200">
                <a:latin typeface="標楷體" pitchFamily="65" charset="-120"/>
                <a:ea typeface="標楷體" pitchFamily="65" charset="-120"/>
              </a:rPr>
              <a:t>(109</a:t>
            </a:r>
            <a:r>
              <a:rPr lang="zh-TW" altLang="en-US" sz="1200">
                <a:latin typeface="標楷體" pitchFamily="65" charset="-120"/>
                <a:ea typeface="標楷體" pitchFamily="65" charset="-120"/>
              </a:rPr>
              <a:t>年度上半年</a:t>
            </a:r>
            <a:r>
              <a:rPr lang="en-US" altLang="zh-TW" sz="1200">
                <a:latin typeface="標楷體" pitchFamily="65" charset="-120"/>
                <a:ea typeface="標楷體" pitchFamily="65" charset="-120"/>
              </a:rPr>
              <a:t>)</a:t>
            </a:r>
          </a:p>
        </c:rich>
      </c:tx>
      <c:layout>
        <c:manualLayout>
          <c:xMode val="edge"/>
          <c:yMode val="edge"/>
          <c:x val="0.23190879932289021"/>
          <c:y val="2.2346662022916387E-2"/>
        </c:manualLayout>
      </c:layout>
      <c:overlay val="0"/>
    </c:title>
    <c:autoTitleDeleted val="0"/>
    <c:plotArea>
      <c:layout/>
      <c:barChart>
        <c:barDir val="bar"/>
        <c:grouping val="clustered"/>
        <c:varyColors val="0"/>
        <c:ser>
          <c:idx val="2"/>
          <c:order val="0"/>
          <c:tx>
            <c:v>男女合計</c:v>
          </c:tx>
          <c:invertIfNegative val="0"/>
          <c:val>
            <c:numRef>
              <c:f>總表!$G$6:$G$12</c:f>
              <c:numCache>
                <c:formatCode>0.00%</c:formatCode>
                <c:ptCount val="7"/>
                <c:pt idx="0">
                  <c:v>0.22395903002044676</c:v>
                </c:pt>
                <c:pt idx="1">
                  <c:v>0.51963463339129767</c:v>
                </c:pt>
                <c:pt idx="2">
                  <c:v>0.12411381399170664</c:v>
                </c:pt>
                <c:pt idx="3">
                  <c:v>6.4512430490531431E-2</c:v>
                </c:pt>
                <c:pt idx="4">
                  <c:v>1.5688597580783857E-2</c:v>
                </c:pt>
                <c:pt idx="5">
                  <c:v>2.4249488830712197E-2</c:v>
                </c:pt>
                <c:pt idx="6">
                  <c:v>2.7842005694521412E-2</c:v>
                </c:pt>
              </c:numCache>
            </c:numRef>
          </c:val>
          <c:extLst xmlns:c16r2="http://schemas.microsoft.com/office/drawing/2015/06/chart">
            <c:ext xmlns:c16="http://schemas.microsoft.com/office/drawing/2014/chart" uri="{C3380CC4-5D6E-409C-BE32-E72D297353CC}">
              <c16:uniqueId val="{00000000-1EA2-43E8-BA5E-358D0BAA61B9}"/>
            </c:ext>
          </c:extLst>
        </c:ser>
        <c:ser>
          <c:idx val="1"/>
          <c:order val="1"/>
          <c:tx>
            <c:v>女性</c:v>
          </c:tx>
          <c:invertIfNegative val="0"/>
          <c:cat>
            <c:strRef>
              <c:f>總表!$A$6:$A$12</c:f>
              <c:strCache>
                <c:ptCount val="7"/>
                <c:pt idx="0">
                  <c:v>0~50萬</c:v>
                </c:pt>
                <c:pt idx="1">
                  <c:v>51~100萬</c:v>
                </c:pt>
                <c:pt idx="2">
                  <c:v>101~150萬</c:v>
                </c:pt>
                <c:pt idx="3">
                  <c:v>151~200萬</c:v>
                </c:pt>
                <c:pt idx="4">
                  <c:v>201~250萬</c:v>
                </c:pt>
                <c:pt idx="5">
                  <c:v>251~300萬</c:v>
                </c:pt>
                <c:pt idx="6">
                  <c:v>301萬以上</c:v>
                </c:pt>
              </c:strCache>
            </c:strRef>
          </c:cat>
          <c:val>
            <c:numRef>
              <c:f>總表!$F$6:$F$12</c:f>
              <c:numCache>
                <c:formatCode>0.00%</c:formatCode>
                <c:ptCount val="7"/>
                <c:pt idx="0">
                  <c:v>0.26811983609860951</c:v>
                </c:pt>
                <c:pt idx="1">
                  <c:v>0.5216296097266071</c:v>
                </c:pt>
                <c:pt idx="2">
                  <c:v>0.10643514475717068</c:v>
                </c:pt>
                <c:pt idx="3">
                  <c:v>5.3167192852824612E-2</c:v>
                </c:pt>
                <c:pt idx="4">
                  <c:v>1.2326190636125479E-2</c:v>
                </c:pt>
                <c:pt idx="5">
                  <c:v>1.820380197487741E-2</c:v>
                </c:pt>
                <c:pt idx="6">
                  <c:v>2.011822395378518E-2</c:v>
                </c:pt>
              </c:numCache>
            </c:numRef>
          </c:val>
          <c:extLst xmlns:c16r2="http://schemas.microsoft.com/office/drawing/2015/06/chart">
            <c:ext xmlns:c16="http://schemas.microsoft.com/office/drawing/2014/chart" uri="{C3380CC4-5D6E-409C-BE32-E72D297353CC}">
              <c16:uniqueId val="{00000001-1EA2-43E8-BA5E-358D0BAA61B9}"/>
            </c:ext>
          </c:extLst>
        </c:ser>
        <c:ser>
          <c:idx val="0"/>
          <c:order val="2"/>
          <c:tx>
            <c:v>男性</c:v>
          </c:tx>
          <c:invertIfNegative val="0"/>
          <c:cat>
            <c:strRef>
              <c:f>總表!$A$6:$A$12</c:f>
              <c:strCache>
                <c:ptCount val="7"/>
                <c:pt idx="0">
                  <c:v>0~50萬</c:v>
                </c:pt>
                <c:pt idx="1">
                  <c:v>51~100萬</c:v>
                </c:pt>
                <c:pt idx="2">
                  <c:v>101~150萬</c:v>
                </c:pt>
                <c:pt idx="3">
                  <c:v>151~200萬</c:v>
                </c:pt>
                <c:pt idx="4">
                  <c:v>201~250萬</c:v>
                </c:pt>
                <c:pt idx="5">
                  <c:v>251~300萬</c:v>
                </c:pt>
                <c:pt idx="6">
                  <c:v>301萬以上</c:v>
                </c:pt>
              </c:strCache>
            </c:strRef>
          </c:cat>
          <c:val>
            <c:numRef>
              <c:f>總表!$E$6:$E$12</c:f>
              <c:numCache>
                <c:formatCode>0.00%</c:formatCode>
                <c:ptCount val="7"/>
                <c:pt idx="0">
                  <c:v>0.16566919359843951</c:v>
                </c:pt>
                <c:pt idx="1">
                  <c:v>0.51700137429622739</c:v>
                </c:pt>
                <c:pt idx="2">
                  <c:v>0.14744868555215676</c:v>
                </c:pt>
                <c:pt idx="3">
                  <c:v>7.9487520503613074E-2</c:v>
                </c:pt>
                <c:pt idx="4">
                  <c:v>2.0126789910005764E-2</c:v>
                </c:pt>
                <c:pt idx="5">
                  <c:v>3.2229463137828609E-2</c:v>
                </c:pt>
                <c:pt idx="6">
                  <c:v>3.8036973001728952E-2</c:v>
                </c:pt>
              </c:numCache>
            </c:numRef>
          </c:val>
          <c:extLst xmlns:c16r2="http://schemas.microsoft.com/office/drawing/2015/06/chart">
            <c:ext xmlns:c16="http://schemas.microsoft.com/office/drawing/2014/chart" uri="{C3380CC4-5D6E-409C-BE32-E72D297353CC}">
              <c16:uniqueId val="{00000002-1EA2-43E8-BA5E-358D0BAA61B9}"/>
            </c:ext>
          </c:extLst>
        </c:ser>
        <c:dLbls>
          <c:showLegendKey val="0"/>
          <c:showVal val="0"/>
          <c:showCatName val="0"/>
          <c:showSerName val="0"/>
          <c:showPercent val="0"/>
          <c:showBubbleSize val="0"/>
        </c:dLbls>
        <c:gapWidth val="150"/>
        <c:axId val="436359424"/>
        <c:axId val="578112056"/>
      </c:barChart>
      <c:catAx>
        <c:axId val="436359424"/>
        <c:scaling>
          <c:orientation val="minMax"/>
        </c:scaling>
        <c:delete val="0"/>
        <c:axPos val="l"/>
        <c:numFmt formatCode="General" sourceLinked="1"/>
        <c:majorTickMark val="out"/>
        <c:minorTickMark val="none"/>
        <c:tickLblPos val="nextTo"/>
        <c:crossAx val="578112056"/>
        <c:crosses val="autoZero"/>
        <c:auto val="1"/>
        <c:lblAlgn val="ctr"/>
        <c:lblOffset val="100"/>
        <c:noMultiLvlLbl val="0"/>
      </c:catAx>
      <c:valAx>
        <c:axId val="578112056"/>
        <c:scaling>
          <c:orientation val="minMax"/>
        </c:scaling>
        <c:delete val="0"/>
        <c:axPos val="b"/>
        <c:majorGridlines/>
        <c:numFmt formatCode="0.00%" sourceLinked="1"/>
        <c:majorTickMark val="out"/>
        <c:minorTickMark val="none"/>
        <c:tickLblPos val="nextTo"/>
        <c:crossAx val="43635942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200"/>
              <a:t>圖</a:t>
            </a:r>
            <a:r>
              <a:rPr lang="en-US" altLang="zh-TW" sz="1200"/>
              <a:t>11-</a:t>
            </a:r>
            <a:r>
              <a:rPr lang="zh-TW" altLang="en-US" sz="1200"/>
              <a:t>年收入</a:t>
            </a:r>
            <a:r>
              <a:rPr lang="en-US" altLang="zh-TW" sz="1200"/>
              <a:t>(</a:t>
            </a:r>
            <a:r>
              <a:rPr lang="zh-TW" altLang="en-US" sz="1200"/>
              <a:t>新台幣</a:t>
            </a:r>
            <a:r>
              <a:rPr lang="en-US" altLang="zh-TW" sz="1200"/>
              <a:t>)</a:t>
            </a:r>
            <a:r>
              <a:rPr lang="zh-TW" altLang="en-US" sz="1200"/>
              <a:t>級距之長期照顧保險男性要保人新契約件數</a:t>
            </a:r>
            <a:endParaRPr lang="en-US" altLang="zh-TW" sz="1200"/>
          </a:p>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en-US" altLang="zh-TW" sz="1200"/>
              <a:t>(106</a:t>
            </a:r>
            <a:r>
              <a:rPr lang="zh-TW" altLang="en-US" sz="1200"/>
              <a:t>年</a:t>
            </a:r>
            <a:r>
              <a:rPr lang="en-US" altLang="zh-TW" sz="1200"/>
              <a:t>~108</a:t>
            </a:r>
            <a:r>
              <a:rPr lang="zh-TW" altLang="en-US" sz="1200"/>
              <a:t>年</a:t>
            </a:r>
            <a:r>
              <a:rPr lang="en-US" altLang="zh-TW" sz="1200"/>
              <a:t>)</a:t>
            </a:r>
          </a:p>
        </c:rich>
      </c:tx>
      <c:layout>
        <c:manualLayout>
          <c:xMode val="edge"/>
          <c:yMode val="edge"/>
          <c:x val="0.13586956521739132"/>
          <c:y val="0"/>
        </c:manualLayout>
      </c:layout>
      <c:overlay val="0"/>
      <c:spPr>
        <a:noFill/>
        <a:ln w="25400">
          <a:noFill/>
        </a:ln>
      </c:spPr>
    </c:title>
    <c:autoTitleDeleted val="0"/>
    <c:plotArea>
      <c:layout/>
      <c:barChart>
        <c:barDir val="col"/>
        <c:grouping val="clustered"/>
        <c:varyColors val="0"/>
        <c:ser>
          <c:idx val="0"/>
          <c:order val="0"/>
          <c:tx>
            <c:v>106年</c:v>
          </c:tx>
          <c:spPr>
            <a:solidFill>
              <a:schemeClr val="tx2">
                <a:lumMod val="40000"/>
                <a:lumOff val="60000"/>
              </a:schemeClr>
            </a:solidFill>
            <a:ln w="25400">
              <a:noFill/>
            </a:ln>
          </c:spPr>
          <c:invertIfNegative val="0"/>
          <c:cat>
            <c:strRef>
              <c:f>總表!$A$6:$A$12</c:f>
              <c:strCache>
                <c:ptCount val="7"/>
                <c:pt idx="0">
                  <c:v>0~50萬</c:v>
                </c:pt>
                <c:pt idx="1">
                  <c:v>51~100萬</c:v>
                </c:pt>
                <c:pt idx="2">
                  <c:v>101~150萬</c:v>
                </c:pt>
                <c:pt idx="3">
                  <c:v>151~200萬</c:v>
                </c:pt>
                <c:pt idx="4">
                  <c:v>201~250萬</c:v>
                </c:pt>
                <c:pt idx="5">
                  <c:v>251~300萬</c:v>
                </c:pt>
                <c:pt idx="6">
                  <c:v>301萬以上</c:v>
                </c:pt>
              </c:strCache>
            </c:strRef>
          </c:cat>
          <c:val>
            <c:numRef>
              <c:f>總表!$E$6:$E$12</c:f>
              <c:numCache>
                <c:formatCode>#,##0_ </c:formatCode>
                <c:ptCount val="7"/>
                <c:pt idx="0">
                  <c:v>2863</c:v>
                </c:pt>
                <c:pt idx="1">
                  <c:v>6569</c:v>
                </c:pt>
                <c:pt idx="2">
                  <c:v>2671</c:v>
                </c:pt>
                <c:pt idx="3">
                  <c:v>1581</c:v>
                </c:pt>
                <c:pt idx="4">
                  <c:v>637</c:v>
                </c:pt>
                <c:pt idx="5">
                  <c:v>761</c:v>
                </c:pt>
                <c:pt idx="6">
                  <c:v>1711</c:v>
                </c:pt>
              </c:numCache>
            </c:numRef>
          </c:val>
          <c:extLst xmlns:c16r2="http://schemas.microsoft.com/office/drawing/2015/06/chart">
            <c:ext xmlns:c16="http://schemas.microsoft.com/office/drawing/2014/chart" uri="{C3380CC4-5D6E-409C-BE32-E72D297353CC}">
              <c16:uniqueId val="{00000000-7D89-4BDA-A45A-917A5CA7FAC9}"/>
            </c:ext>
          </c:extLst>
        </c:ser>
        <c:ser>
          <c:idx val="1"/>
          <c:order val="1"/>
          <c:tx>
            <c:v>107年</c:v>
          </c:tx>
          <c:spPr>
            <a:solidFill>
              <a:schemeClr val="accent1">
                <a:lumMod val="75000"/>
              </a:schemeClr>
            </a:solidFill>
            <a:ln w="25400">
              <a:noFill/>
            </a:ln>
          </c:spPr>
          <c:invertIfNegative val="0"/>
          <c:val>
            <c:numRef>
              <c:f>總表!$H$6:$H$12</c:f>
              <c:numCache>
                <c:formatCode>#,##0_ </c:formatCode>
                <c:ptCount val="7"/>
                <c:pt idx="0">
                  <c:v>6554</c:v>
                </c:pt>
                <c:pt idx="1">
                  <c:v>15128</c:v>
                </c:pt>
                <c:pt idx="2">
                  <c:v>5639</c:v>
                </c:pt>
                <c:pt idx="3">
                  <c:v>3119</c:v>
                </c:pt>
                <c:pt idx="4">
                  <c:v>1315</c:v>
                </c:pt>
                <c:pt idx="5">
                  <c:v>1305</c:v>
                </c:pt>
                <c:pt idx="6">
                  <c:v>2446</c:v>
                </c:pt>
              </c:numCache>
            </c:numRef>
          </c:val>
          <c:extLst xmlns:c16r2="http://schemas.microsoft.com/office/drawing/2015/06/chart">
            <c:ext xmlns:c16="http://schemas.microsoft.com/office/drawing/2014/chart" uri="{C3380CC4-5D6E-409C-BE32-E72D297353CC}">
              <c16:uniqueId val="{00000001-7D89-4BDA-A45A-917A5CA7FAC9}"/>
            </c:ext>
          </c:extLst>
        </c:ser>
        <c:ser>
          <c:idx val="2"/>
          <c:order val="2"/>
          <c:tx>
            <c:v>108年</c:v>
          </c:tx>
          <c:spPr>
            <a:solidFill>
              <a:schemeClr val="accent4">
                <a:lumMod val="75000"/>
              </a:schemeClr>
            </a:solidFill>
            <a:ln w="25400">
              <a:noFill/>
            </a:ln>
          </c:spPr>
          <c:invertIfNegative val="0"/>
          <c:val>
            <c:numRef>
              <c:f>總表!$K$6:$K$12</c:f>
              <c:numCache>
                <c:formatCode>#,##0_ </c:formatCode>
                <c:ptCount val="7"/>
                <c:pt idx="0">
                  <c:v>3149</c:v>
                </c:pt>
                <c:pt idx="1">
                  <c:v>11694</c:v>
                </c:pt>
                <c:pt idx="2">
                  <c:v>5134</c:v>
                </c:pt>
                <c:pt idx="3">
                  <c:v>2780</c:v>
                </c:pt>
                <c:pt idx="4">
                  <c:v>1335</c:v>
                </c:pt>
                <c:pt idx="5">
                  <c:v>1046</c:v>
                </c:pt>
                <c:pt idx="6">
                  <c:v>2372</c:v>
                </c:pt>
              </c:numCache>
            </c:numRef>
          </c:val>
          <c:extLst xmlns:c16r2="http://schemas.microsoft.com/office/drawing/2015/06/chart">
            <c:ext xmlns:c16="http://schemas.microsoft.com/office/drawing/2014/chart" uri="{C3380CC4-5D6E-409C-BE32-E72D297353CC}">
              <c16:uniqueId val="{00000002-7D89-4BDA-A45A-917A5CA7FAC9}"/>
            </c:ext>
          </c:extLst>
        </c:ser>
        <c:dLbls>
          <c:showLegendKey val="0"/>
          <c:showVal val="0"/>
          <c:showCatName val="0"/>
          <c:showSerName val="0"/>
          <c:showPercent val="0"/>
          <c:showBubbleSize val="0"/>
        </c:dLbls>
        <c:gapWidth val="219"/>
        <c:overlap val="-27"/>
        <c:axId val="637465968"/>
        <c:axId val="637468320"/>
      </c:barChart>
      <c:catAx>
        <c:axId val="63746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37468320"/>
        <c:crosses val="autoZero"/>
        <c:auto val="1"/>
        <c:lblAlgn val="ctr"/>
        <c:lblOffset val="100"/>
        <c:noMultiLvlLbl val="0"/>
      </c:catAx>
      <c:valAx>
        <c:axId val="637468320"/>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37465968"/>
        <c:crosses val="autoZero"/>
        <c:crossBetween val="between"/>
      </c:valAx>
      <c:dTable>
        <c:showHorzBorder val="1"/>
        <c:showVertBorder val="1"/>
        <c:showOutline val="1"/>
        <c:showKeys val="1"/>
      </c:dTable>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200"/>
              <a:t>圖</a:t>
            </a:r>
            <a:r>
              <a:rPr lang="en-US" altLang="zh-TW" sz="1200"/>
              <a:t>12-</a:t>
            </a:r>
            <a:r>
              <a:rPr lang="zh-TW" altLang="en-US" sz="1200"/>
              <a:t>年收入</a:t>
            </a:r>
            <a:r>
              <a:rPr lang="en-US" altLang="zh-TW" sz="1200"/>
              <a:t>(</a:t>
            </a:r>
            <a:r>
              <a:rPr lang="zh-TW" altLang="en-US" sz="1200"/>
              <a:t>新台幣</a:t>
            </a:r>
            <a:r>
              <a:rPr lang="en-US" altLang="zh-TW" sz="1200"/>
              <a:t>)</a:t>
            </a:r>
            <a:r>
              <a:rPr lang="zh-TW" altLang="en-US" sz="1200"/>
              <a:t>級距之長期照顧保險男性要保人新契約件數占同性新契約總要保人數比例</a:t>
            </a:r>
            <a:r>
              <a:rPr lang="en-US" altLang="zh-TW" sz="1200"/>
              <a:t>(106</a:t>
            </a:r>
            <a:r>
              <a:rPr lang="zh-TW" altLang="en-US" sz="1200"/>
              <a:t>年</a:t>
            </a:r>
            <a:r>
              <a:rPr lang="en-US" altLang="zh-TW" sz="1200"/>
              <a:t>~108</a:t>
            </a:r>
            <a:r>
              <a:rPr lang="zh-TW" altLang="en-US" sz="1200"/>
              <a:t>年</a:t>
            </a:r>
            <a:r>
              <a:rPr lang="en-US" altLang="zh-TW" sz="1200"/>
              <a:t>)</a:t>
            </a:r>
            <a:endParaRPr lang="zh-TW" altLang="en-US" sz="1200"/>
          </a:p>
        </c:rich>
      </c:tx>
      <c:layout>
        <c:manualLayout>
          <c:xMode val="edge"/>
          <c:yMode val="edge"/>
          <c:x val="0.11067347997414141"/>
          <c:y val="0"/>
        </c:manualLayout>
      </c:layout>
      <c:overlay val="0"/>
      <c:spPr>
        <a:noFill/>
        <a:ln w="25400">
          <a:noFill/>
        </a:ln>
      </c:spPr>
    </c:title>
    <c:autoTitleDeleted val="0"/>
    <c:plotArea>
      <c:layout/>
      <c:barChart>
        <c:barDir val="bar"/>
        <c:grouping val="clustered"/>
        <c:varyColors val="0"/>
        <c:ser>
          <c:idx val="2"/>
          <c:order val="0"/>
          <c:tx>
            <c:v>108年</c:v>
          </c:tx>
          <c:spPr>
            <a:solidFill>
              <a:schemeClr val="accent4">
                <a:lumMod val="75000"/>
              </a:schemeClr>
            </a:solidFill>
            <a:ln>
              <a:noFill/>
            </a:ln>
          </c:spPr>
          <c:invertIfNegative val="0"/>
          <c:cat>
            <c:strRef>
              <c:f>總表!$A$17:$A$23</c:f>
              <c:strCache>
                <c:ptCount val="7"/>
                <c:pt idx="0">
                  <c:v>0~50萬</c:v>
                </c:pt>
                <c:pt idx="1">
                  <c:v>51~100萬</c:v>
                </c:pt>
                <c:pt idx="2">
                  <c:v>101~150萬</c:v>
                </c:pt>
                <c:pt idx="3">
                  <c:v>151~200萬</c:v>
                </c:pt>
                <c:pt idx="4">
                  <c:v>201~250萬</c:v>
                </c:pt>
                <c:pt idx="5">
                  <c:v>251~300萬</c:v>
                </c:pt>
                <c:pt idx="6">
                  <c:v>301萬以上</c:v>
                </c:pt>
              </c:strCache>
            </c:strRef>
          </c:cat>
          <c:val>
            <c:numRef>
              <c:f>總表!$K$17:$K$23</c:f>
              <c:numCache>
                <c:formatCode>0.00%</c:formatCode>
                <c:ptCount val="7"/>
                <c:pt idx="0">
                  <c:v>0.11446746637586332</c:v>
                </c:pt>
                <c:pt idx="1">
                  <c:v>0.42508178844056704</c:v>
                </c:pt>
                <c:pt idx="2">
                  <c:v>0.18662304616503089</c:v>
                </c:pt>
                <c:pt idx="3">
                  <c:v>0.10105416212286442</c:v>
                </c:pt>
                <c:pt idx="4">
                  <c:v>4.8527808069792802E-2</c:v>
                </c:pt>
                <c:pt idx="5">
                  <c:v>3.8022537259178479E-2</c:v>
                </c:pt>
                <c:pt idx="6">
                  <c:v>8.6223191566703022E-2</c:v>
                </c:pt>
              </c:numCache>
            </c:numRef>
          </c:val>
          <c:extLst xmlns:c16r2="http://schemas.microsoft.com/office/drawing/2015/06/chart">
            <c:ext xmlns:c16="http://schemas.microsoft.com/office/drawing/2014/chart" uri="{C3380CC4-5D6E-409C-BE32-E72D297353CC}">
              <c16:uniqueId val="{00000000-D214-446F-93B8-043B116DFFCD}"/>
            </c:ext>
          </c:extLst>
        </c:ser>
        <c:ser>
          <c:idx val="1"/>
          <c:order val="1"/>
          <c:tx>
            <c:v>107年</c:v>
          </c:tx>
          <c:spPr>
            <a:solidFill>
              <a:schemeClr val="accent1">
                <a:lumMod val="75000"/>
              </a:schemeClr>
            </a:solidFill>
            <a:ln>
              <a:noFill/>
              <a:prstDash val="sysDot"/>
            </a:ln>
          </c:spPr>
          <c:invertIfNegative val="0"/>
          <c:cat>
            <c:strRef>
              <c:f>總表!$A$17:$A$23</c:f>
              <c:strCache>
                <c:ptCount val="7"/>
                <c:pt idx="0">
                  <c:v>0~50萬</c:v>
                </c:pt>
                <c:pt idx="1">
                  <c:v>51~100萬</c:v>
                </c:pt>
                <c:pt idx="2">
                  <c:v>101~150萬</c:v>
                </c:pt>
                <c:pt idx="3">
                  <c:v>151~200萬</c:v>
                </c:pt>
                <c:pt idx="4">
                  <c:v>201~250萬</c:v>
                </c:pt>
                <c:pt idx="5">
                  <c:v>251~300萬</c:v>
                </c:pt>
                <c:pt idx="6">
                  <c:v>301萬以上</c:v>
                </c:pt>
              </c:strCache>
            </c:strRef>
          </c:cat>
          <c:val>
            <c:numRef>
              <c:f>總表!$H$17:$H$23</c:f>
              <c:numCache>
                <c:formatCode>0.00%</c:formatCode>
                <c:ptCount val="7"/>
                <c:pt idx="0">
                  <c:v>0.18458852025009859</c:v>
                </c:pt>
                <c:pt idx="1">
                  <c:v>0.42606883343660229</c:v>
                </c:pt>
                <c:pt idx="2">
                  <c:v>0.1588182279051428</c:v>
                </c:pt>
                <c:pt idx="3">
                  <c:v>8.784430800428096E-2</c:v>
                </c:pt>
                <c:pt idx="4">
                  <c:v>3.7035993916521154E-2</c:v>
                </c:pt>
                <c:pt idx="5">
                  <c:v>3.6754351377232014E-2</c:v>
                </c:pt>
                <c:pt idx="6">
                  <c:v>6.8889765110122236E-2</c:v>
                </c:pt>
              </c:numCache>
            </c:numRef>
          </c:val>
          <c:extLst xmlns:c16r2="http://schemas.microsoft.com/office/drawing/2015/06/chart">
            <c:ext xmlns:c16="http://schemas.microsoft.com/office/drawing/2014/chart" uri="{C3380CC4-5D6E-409C-BE32-E72D297353CC}">
              <c16:uniqueId val="{00000001-D214-446F-93B8-043B116DFFCD}"/>
            </c:ext>
          </c:extLst>
        </c:ser>
        <c:ser>
          <c:idx val="0"/>
          <c:order val="2"/>
          <c:tx>
            <c:v>106年</c:v>
          </c:tx>
          <c:spPr>
            <a:solidFill>
              <a:schemeClr val="tx2">
                <a:lumMod val="40000"/>
                <a:lumOff val="60000"/>
              </a:schemeClr>
            </a:solidFill>
            <a:ln>
              <a:noFill/>
              <a:prstDash val="sysDot"/>
            </a:ln>
          </c:spPr>
          <c:invertIfNegative val="0"/>
          <c:cat>
            <c:strRef>
              <c:f>總表!$A$17:$A$23</c:f>
              <c:strCache>
                <c:ptCount val="7"/>
                <c:pt idx="0">
                  <c:v>0~50萬</c:v>
                </c:pt>
                <c:pt idx="1">
                  <c:v>51~100萬</c:v>
                </c:pt>
                <c:pt idx="2">
                  <c:v>101~150萬</c:v>
                </c:pt>
                <c:pt idx="3">
                  <c:v>151~200萬</c:v>
                </c:pt>
                <c:pt idx="4">
                  <c:v>201~250萬</c:v>
                </c:pt>
                <c:pt idx="5">
                  <c:v>251~300萬</c:v>
                </c:pt>
                <c:pt idx="6">
                  <c:v>301萬以上</c:v>
                </c:pt>
              </c:strCache>
            </c:strRef>
          </c:cat>
          <c:val>
            <c:numRef>
              <c:f>總表!$E$17:$E$23</c:f>
              <c:numCache>
                <c:formatCode>0.00%</c:formatCode>
                <c:ptCount val="7"/>
                <c:pt idx="0">
                  <c:v>0.17048770320967069</c:v>
                </c:pt>
                <c:pt idx="1">
                  <c:v>0.39117489430119695</c:v>
                </c:pt>
                <c:pt idx="2">
                  <c:v>0.1590543678913833</c:v>
                </c:pt>
                <c:pt idx="3">
                  <c:v>9.4146370511522665E-2</c:v>
                </c:pt>
                <c:pt idx="4">
                  <c:v>3.7932471863276362E-2</c:v>
                </c:pt>
                <c:pt idx="5">
                  <c:v>4.5316500923003634E-2</c:v>
                </c:pt>
                <c:pt idx="6">
                  <c:v>0.1018876912999464</c:v>
                </c:pt>
              </c:numCache>
            </c:numRef>
          </c:val>
          <c:extLst xmlns:c16r2="http://schemas.microsoft.com/office/drawing/2015/06/chart">
            <c:ext xmlns:c16="http://schemas.microsoft.com/office/drawing/2014/chart" uri="{C3380CC4-5D6E-409C-BE32-E72D297353CC}">
              <c16:uniqueId val="{00000002-D214-446F-93B8-043B116DFFCD}"/>
            </c:ext>
          </c:extLst>
        </c:ser>
        <c:dLbls>
          <c:showLegendKey val="0"/>
          <c:showVal val="0"/>
          <c:showCatName val="0"/>
          <c:showSerName val="0"/>
          <c:showPercent val="0"/>
          <c:showBubbleSize val="0"/>
        </c:dLbls>
        <c:gapWidth val="219"/>
        <c:axId val="637469888"/>
        <c:axId val="637466360"/>
      </c:barChart>
      <c:catAx>
        <c:axId val="637469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37466360"/>
        <c:crosses val="autoZero"/>
        <c:auto val="1"/>
        <c:lblAlgn val="ctr"/>
        <c:lblOffset val="100"/>
        <c:noMultiLvlLbl val="0"/>
      </c:catAx>
      <c:valAx>
        <c:axId val="6374663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37469888"/>
        <c:crosses val="autoZero"/>
        <c:crossBetween val="between"/>
      </c:valAx>
      <c:dTable>
        <c:showHorzBorder val="1"/>
        <c:showVertBorder val="1"/>
        <c:showOutline val="1"/>
        <c:showKeys val="1"/>
      </c:dTable>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200"/>
              <a:t>圖</a:t>
            </a:r>
            <a:r>
              <a:rPr lang="en-US" altLang="zh-TW" sz="1200"/>
              <a:t>13-</a:t>
            </a:r>
            <a:r>
              <a:rPr lang="zh-TW" altLang="en-US" sz="1200"/>
              <a:t>年收入</a:t>
            </a:r>
            <a:r>
              <a:rPr lang="en-US" altLang="zh-TW" sz="1200"/>
              <a:t>(</a:t>
            </a:r>
            <a:r>
              <a:rPr lang="zh-TW" altLang="en-US" sz="1200"/>
              <a:t>新台幣</a:t>
            </a:r>
            <a:r>
              <a:rPr lang="en-US" altLang="zh-TW" sz="1200"/>
              <a:t>)</a:t>
            </a:r>
            <a:r>
              <a:rPr lang="zh-TW" altLang="en-US" sz="1200"/>
              <a:t>級距之長期照顧保險女性要保人新契約件數</a:t>
            </a:r>
            <a:endParaRPr lang="en-US" altLang="zh-TW" sz="1200"/>
          </a:p>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en-US" altLang="zh-TW" sz="1200"/>
              <a:t>(106</a:t>
            </a:r>
            <a:r>
              <a:rPr lang="zh-TW" altLang="en-US" sz="1200"/>
              <a:t>年</a:t>
            </a:r>
            <a:r>
              <a:rPr lang="en-US" altLang="zh-TW" sz="1200"/>
              <a:t>~108</a:t>
            </a:r>
            <a:r>
              <a:rPr lang="zh-TW" altLang="en-US" sz="1200"/>
              <a:t>年</a:t>
            </a:r>
            <a:r>
              <a:rPr lang="en-US" altLang="zh-TW" sz="1200"/>
              <a:t>)</a:t>
            </a:r>
          </a:p>
        </c:rich>
      </c:tx>
      <c:layout>
        <c:manualLayout>
          <c:xMode val="edge"/>
          <c:yMode val="edge"/>
          <c:x val="0.13586954276577029"/>
          <c:y val="0"/>
        </c:manualLayout>
      </c:layout>
      <c:overlay val="0"/>
      <c:spPr>
        <a:noFill/>
        <a:ln w="25400">
          <a:noFill/>
        </a:ln>
      </c:spPr>
    </c:title>
    <c:autoTitleDeleted val="0"/>
    <c:plotArea>
      <c:layout/>
      <c:barChart>
        <c:barDir val="col"/>
        <c:grouping val="clustered"/>
        <c:varyColors val="0"/>
        <c:ser>
          <c:idx val="0"/>
          <c:order val="0"/>
          <c:tx>
            <c:v>106年</c:v>
          </c:tx>
          <c:spPr>
            <a:solidFill>
              <a:srgbClr val="FFC000"/>
            </a:solidFill>
            <a:ln w="25400">
              <a:noFill/>
            </a:ln>
          </c:spPr>
          <c:invertIfNegative val="0"/>
          <c:cat>
            <c:strRef>
              <c:f>總表!$A$6:$A$12</c:f>
              <c:strCache>
                <c:ptCount val="7"/>
                <c:pt idx="0">
                  <c:v>0~50萬</c:v>
                </c:pt>
                <c:pt idx="1">
                  <c:v>51~100萬</c:v>
                </c:pt>
                <c:pt idx="2">
                  <c:v>101~150萬</c:v>
                </c:pt>
                <c:pt idx="3">
                  <c:v>151~200萬</c:v>
                </c:pt>
                <c:pt idx="4">
                  <c:v>201~250萬</c:v>
                </c:pt>
                <c:pt idx="5">
                  <c:v>251~300萬</c:v>
                </c:pt>
                <c:pt idx="6">
                  <c:v>301萬以上</c:v>
                </c:pt>
              </c:strCache>
            </c:strRef>
          </c:cat>
          <c:val>
            <c:numRef>
              <c:f>總表!$F$6:$F$12</c:f>
              <c:numCache>
                <c:formatCode>#,##0_ </c:formatCode>
                <c:ptCount val="7"/>
                <c:pt idx="0">
                  <c:v>3266</c:v>
                </c:pt>
                <c:pt idx="1">
                  <c:v>8622</c:v>
                </c:pt>
                <c:pt idx="2">
                  <c:v>3309</c:v>
                </c:pt>
                <c:pt idx="3">
                  <c:v>2014</c:v>
                </c:pt>
                <c:pt idx="4">
                  <c:v>807</c:v>
                </c:pt>
                <c:pt idx="5">
                  <c:v>921</c:v>
                </c:pt>
                <c:pt idx="6">
                  <c:v>1954</c:v>
                </c:pt>
              </c:numCache>
            </c:numRef>
          </c:val>
          <c:extLst xmlns:c16r2="http://schemas.microsoft.com/office/drawing/2015/06/chart">
            <c:ext xmlns:c16="http://schemas.microsoft.com/office/drawing/2014/chart" uri="{C3380CC4-5D6E-409C-BE32-E72D297353CC}">
              <c16:uniqueId val="{00000000-F5AB-493F-B6C1-63E11D2C8D86}"/>
            </c:ext>
          </c:extLst>
        </c:ser>
        <c:ser>
          <c:idx val="1"/>
          <c:order val="1"/>
          <c:tx>
            <c:v>107年</c:v>
          </c:tx>
          <c:spPr>
            <a:solidFill>
              <a:srgbClr val="FFCCFF"/>
            </a:solidFill>
            <a:ln w="25400">
              <a:noFill/>
            </a:ln>
          </c:spPr>
          <c:invertIfNegative val="0"/>
          <c:val>
            <c:numRef>
              <c:f>總表!$I$6:$I$12</c:f>
              <c:numCache>
                <c:formatCode>#,##0_ </c:formatCode>
                <c:ptCount val="7"/>
                <c:pt idx="0">
                  <c:v>9156</c:v>
                </c:pt>
                <c:pt idx="1">
                  <c:v>20039</c:v>
                </c:pt>
                <c:pt idx="2">
                  <c:v>7043</c:v>
                </c:pt>
                <c:pt idx="3">
                  <c:v>4038</c:v>
                </c:pt>
                <c:pt idx="4">
                  <c:v>1678</c:v>
                </c:pt>
                <c:pt idx="5">
                  <c:v>1572</c:v>
                </c:pt>
                <c:pt idx="6">
                  <c:v>3112</c:v>
                </c:pt>
              </c:numCache>
            </c:numRef>
          </c:val>
          <c:extLst xmlns:c16r2="http://schemas.microsoft.com/office/drawing/2015/06/chart">
            <c:ext xmlns:c16="http://schemas.microsoft.com/office/drawing/2014/chart" uri="{C3380CC4-5D6E-409C-BE32-E72D297353CC}">
              <c16:uniqueId val="{00000001-F5AB-493F-B6C1-63E11D2C8D86}"/>
            </c:ext>
          </c:extLst>
        </c:ser>
        <c:ser>
          <c:idx val="2"/>
          <c:order val="2"/>
          <c:tx>
            <c:v>108年</c:v>
          </c:tx>
          <c:spPr>
            <a:solidFill>
              <a:srgbClr val="FF0000"/>
            </a:solidFill>
            <a:ln w="25400">
              <a:noFill/>
            </a:ln>
          </c:spPr>
          <c:invertIfNegative val="0"/>
          <c:val>
            <c:numRef>
              <c:f>總表!$L$6:$L$12</c:f>
              <c:numCache>
                <c:formatCode>#,##0_ </c:formatCode>
                <c:ptCount val="7"/>
                <c:pt idx="0">
                  <c:v>7058</c:v>
                </c:pt>
                <c:pt idx="1">
                  <c:v>17441</c:v>
                </c:pt>
                <c:pt idx="2">
                  <c:v>6632</c:v>
                </c:pt>
                <c:pt idx="3">
                  <c:v>3195</c:v>
                </c:pt>
                <c:pt idx="4">
                  <c:v>1408</c:v>
                </c:pt>
                <c:pt idx="5">
                  <c:v>1248</c:v>
                </c:pt>
                <c:pt idx="6">
                  <c:v>2586</c:v>
                </c:pt>
              </c:numCache>
            </c:numRef>
          </c:val>
          <c:extLst xmlns:c16r2="http://schemas.microsoft.com/office/drawing/2015/06/chart">
            <c:ext xmlns:c16="http://schemas.microsoft.com/office/drawing/2014/chart" uri="{C3380CC4-5D6E-409C-BE32-E72D297353CC}">
              <c16:uniqueId val="{00000002-F5AB-493F-B6C1-63E11D2C8D86}"/>
            </c:ext>
          </c:extLst>
        </c:ser>
        <c:dLbls>
          <c:showLegendKey val="0"/>
          <c:showVal val="0"/>
          <c:showCatName val="0"/>
          <c:showSerName val="0"/>
          <c:showPercent val="0"/>
          <c:showBubbleSize val="0"/>
        </c:dLbls>
        <c:gapWidth val="219"/>
        <c:overlap val="-27"/>
        <c:axId val="637467536"/>
        <c:axId val="637462048"/>
      </c:barChart>
      <c:catAx>
        <c:axId val="63746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37462048"/>
        <c:crosses val="autoZero"/>
        <c:auto val="1"/>
        <c:lblAlgn val="ctr"/>
        <c:lblOffset val="100"/>
        <c:noMultiLvlLbl val="0"/>
      </c:catAx>
      <c:valAx>
        <c:axId val="637462048"/>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37467536"/>
        <c:crosses val="autoZero"/>
        <c:crossBetween val="between"/>
      </c:valAx>
      <c:dTable>
        <c:showHorzBorder val="1"/>
        <c:showVertBorder val="1"/>
        <c:showOutline val="1"/>
        <c:showKeys val="1"/>
      </c:dTable>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en-US" sz="1200"/>
              <a:t>圖</a:t>
            </a:r>
            <a:r>
              <a:rPr lang="en-US" altLang="zh-TW" sz="1200"/>
              <a:t>14-</a:t>
            </a:r>
            <a:r>
              <a:rPr lang="zh-TW" altLang="en-US" sz="1200"/>
              <a:t>年收入</a:t>
            </a:r>
            <a:r>
              <a:rPr lang="en-US" altLang="zh-TW" sz="1200"/>
              <a:t>(</a:t>
            </a:r>
            <a:r>
              <a:rPr lang="zh-TW" altLang="en-US" sz="1200"/>
              <a:t>新台幣</a:t>
            </a:r>
            <a:r>
              <a:rPr lang="en-US" altLang="zh-TW" sz="1200"/>
              <a:t>)</a:t>
            </a:r>
            <a:r>
              <a:rPr lang="zh-TW" altLang="en-US" sz="1200"/>
              <a:t>級距之長期照顧保險女性要保人新契約件數占同性新契約總要保人數比例</a:t>
            </a:r>
            <a:r>
              <a:rPr lang="en-US" altLang="zh-TW" sz="1200"/>
              <a:t>(106</a:t>
            </a:r>
            <a:r>
              <a:rPr lang="zh-TW" altLang="en-US" sz="1200"/>
              <a:t>年</a:t>
            </a:r>
            <a:r>
              <a:rPr lang="en-US" altLang="zh-TW" sz="1200"/>
              <a:t>~108</a:t>
            </a:r>
            <a:r>
              <a:rPr lang="zh-TW" altLang="en-US" sz="1200"/>
              <a:t>年</a:t>
            </a:r>
            <a:r>
              <a:rPr lang="en-US" altLang="zh-TW" sz="1200"/>
              <a:t>)</a:t>
            </a:r>
            <a:endParaRPr lang="zh-TW" altLang="en-US" sz="1200"/>
          </a:p>
        </c:rich>
      </c:tx>
      <c:layout>
        <c:manualLayout>
          <c:xMode val="edge"/>
          <c:yMode val="edge"/>
          <c:x val="0.11067350004794732"/>
          <c:y val="0"/>
        </c:manualLayout>
      </c:layout>
      <c:overlay val="0"/>
      <c:spPr>
        <a:noFill/>
        <a:ln w="25400">
          <a:noFill/>
        </a:ln>
      </c:spPr>
    </c:title>
    <c:autoTitleDeleted val="0"/>
    <c:plotArea>
      <c:layout/>
      <c:barChart>
        <c:barDir val="bar"/>
        <c:grouping val="clustered"/>
        <c:varyColors val="0"/>
        <c:ser>
          <c:idx val="2"/>
          <c:order val="0"/>
          <c:tx>
            <c:v>108年</c:v>
          </c:tx>
          <c:spPr>
            <a:solidFill>
              <a:srgbClr val="FF0000"/>
            </a:solidFill>
            <a:ln>
              <a:noFill/>
            </a:ln>
          </c:spPr>
          <c:invertIfNegative val="0"/>
          <c:cat>
            <c:strRef>
              <c:f>總表!$A$17:$A$23</c:f>
              <c:strCache>
                <c:ptCount val="7"/>
                <c:pt idx="0">
                  <c:v>0~50萬</c:v>
                </c:pt>
                <c:pt idx="1">
                  <c:v>51~100萬</c:v>
                </c:pt>
                <c:pt idx="2">
                  <c:v>101~150萬</c:v>
                </c:pt>
                <c:pt idx="3">
                  <c:v>151~200萬</c:v>
                </c:pt>
                <c:pt idx="4">
                  <c:v>201~250萬</c:v>
                </c:pt>
                <c:pt idx="5">
                  <c:v>251~300萬</c:v>
                </c:pt>
                <c:pt idx="6">
                  <c:v>301萬以上</c:v>
                </c:pt>
              </c:strCache>
            </c:strRef>
          </c:cat>
          <c:val>
            <c:numRef>
              <c:f>總表!$L$17:$L$23</c:f>
              <c:numCache>
                <c:formatCode>0.00%</c:formatCode>
                <c:ptCount val="7"/>
                <c:pt idx="0">
                  <c:v>0.17837646583097452</c:v>
                </c:pt>
                <c:pt idx="1">
                  <c:v>0.44078548321876265</c:v>
                </c:pt>
                <c:pt idx="2">
                  <c:v>0.16761019005256772</c:v>
                </c:pt>
                <c:pt idx="3">
                  <c:v>8.0747068338050954E-2</c:v>
                </c:pt>
                <c:pt idx="4">
                  <c:v>3.5584310553983013E-2</c:v>
                </c:pt>
                <c:pt idx="5">
                  <c:v>3.1540638900121314E-2</c:v>
                </c:pt>
                <c:pt idx="6">
                  <c:v>6.5355843105539824E-2</c:v>
                </c:pt>
              </c:numCache>
            </c:numRef>
          </c:val>
          <c:extLst xmlns:c16r2="http://schemas.microsoft.com/office/drawing/2015/06/chart">
            <c:ext xmlns:c16="http://schemas.microsoft.com/office/drawing/2014/chart" uri="{C3380CC4-5D6E-409C-BE32-E72D297353CC}">
              <c16:uniqueId val="{00000000-5690-4CF3-A0C2-5AB25A5BC446}"/>
            </c:ext>
          </c:extLst>
        </c:ser>
        <c:ser>
          <c:idx val="1"/>
          <c:order val="1"/>
          <c:tx>
            <c:v>107年</c:v>
          </c:tx>
          <c:spPr>
            <a:solidFill>
              <a:srgbClr val="FFCCFF"/>
            </a:solidFill>
            <a:ln>
              <a:noFill/>
              <a:prstDash val="sysDot"/>
            </a:ln>
          </c:spPr>
          <c:invertIfNegative val="0"/>
          <c:cat>
            <c:strRef>
              <c:f>總表!$A$17:$A$23</c:f>
              <c:strCache>
                <c:ptCount val="7"/>
                <c:pt idx="0">
                  <c:v>0~50萬</c:v>
                </c:pt>
                <c:pt idx="1">
                  <c:v>51~100萬</c:v>
                </c:pt>
                <c:pt idx="2">
                  <c:v>101~150萬</c:v>
                </c:pt>
                <c:pt idx="3">
                  <c:v>151~200萬</c:v>
                </c:pt>
                <c:pt idx="4">
                  <c:v>201~250萬</c:v>
                </c:pt>
                <c:pt idx="5">
                  <c:v>251~300萬</c:v>
                </c:pt>
                <c:pt idx="6">
                  <c:v>301萬以上</c:v>
                </c:pt>
              </c:strCache>
            </c:strRef>
          </c:cat>
          <c:val>
            <c:numRef>
              <c:f>總表!$I$17:$I$23</c:f>
              <c:numCache>
                <c:formatCode>0.00%</c:formatCode>
                <c:ptCount val="7"/>
                <c:pt idx="0">
                  <c:v>0.19632059693811912</c:v>
                </c:pt>
                <c:pt idx="1">
                  <c:v>0.42967108366568035</c:v>
                </c:pt>
                <c:pt idx="2">
                  <c:v>0.15101419443372358</c:v>
                </c:pt>
                <c:pt idx="3">
                  <c:v>8.658175736523864E-2</c:v>
                </c:pt>
                <c:pt idx="4">
                  <c:v>3.5979244392984264E-2</c:v>
                </c:pt>
                <c:pt idx="5">
                  <c:v>3.3706419657789782E-2</c:v>
                </c:pt>
                <c:pt idx="6">
                  <c:v>6.6726703546464261E-2</c:v>
                </c:pt>
              </c:numCache>
            </c:numRef>
          </c:val>
          <c:extLst xmlns:c16r2="http://schemas.microsoft.com/office/drawing/2015/06/chart">
            <c:ext xmlns:c16="http://schemas.microsoft.com/office/drawing/2014/chart" uri="{C3380CC4-5D6E-409C-BE32-E72D297353CC}">
              <c16:uniqueId val="{00000001-5690-4CF3-A0C2-5AB25A5BC446}"/>
            </c:ext>
          </c:extLst>
        </c:ser>
        <c:ser>
          <c:idx val="0"/>
          <c:order val="2"/>
          <c:tx>
            <c:v>106年</c:v>
          </c:tx>
          <c:spPr>
            <a:solidFill>
              <a:srgbClr val="FFC000"/>
            </a:solidFill>
            <a:ln>
              <a:noFill/>
              <a:prstDash val="sysDot"/>
            </a:ln>
          </c:spPr>
          <c:invertIfNegative val="0"/>
          <c:cat>
            <c:strRef>
              <c:f>總表!$A$17:$A$23</c:f>
              <c:strCache>
                <c:ptCount val="7"/>
                <c:pt idx="0">
                  <c:v>0~50萬</c:v>
                </c:pt>
                <c:pt idx="1">
                  <c:v>51~100萬</c:v>
                </c:pt>
                <c:pt idx="2">
                  <c:v>101~150萬</c:v>
                </c:pt>
                <c:pt idx="3">
                  <c:v>151~200萬</c:v>
                </c:pt>
                <c:pt idx="4">
                  <c:v>201~250萬</c:v>
                </c:pt>
                <c:pt idx="5">
                  <c:v>251~300萬</c:v>
                </c:pt>
                <c:pt idx="6">
                  <c:v>301萬以上</c:v>
                </c:pt>
              </c:strCache>
            </c:strRef>
          </c:cat>
          <c:val>
            <c:numRef>
              <c:f>總表!$F$17:$F$23</c:f>
              <c:numCache>
                <c:formatCode>0.00%</c:formatCode>
                <c:ptCount val="7"/>
                <c:pt idx="0">
                  <c:v>0.15632029866462452</c:v>
                </c:pt>
                <c:pt idx="1">
                  <c:v>0.41267410137366584</c:v>
                </c:pt>
                <c:pt idx="2">
                  <c:v>0.15837840425022734</c:v>
                </c:pt>
                <c:pt idx="3">
                  <c:v>9.6395922079165267E-2</c:v>
                </c:pt>
                <c:pt idx="4">
                  <c:v>3.8625376920499686E-2</c:v>
                </c:pt>
                <c:pt idx="5">
                  <c:v>4.4081749868376971E-2</c:v>
                </c:pt>
                <c:pt idx="6">
                  <c:v>9.3524146843440389E-2</c:v>
                </c:pt>
              </c:numCache>
            </c:numRef>
          </c:val>
          <c:extLst xmlns:c16r2="http://schemas.microsoft.com/office/drawing/2015/06/chart">
            <c:ext xmlns:c16="http://schemas.microsoft.com/office/drawing/2014/chart" uri="{C3380CC4-5D6E-409C-BE32-E72D297353CC}">
              <c16:uniqueId val="{00000002-5690-4CF3-A0C2-5AB25A5BC446}"/>
            </c:ext>
          </c:extLst>
        </c:ser>
        <c:dLbls>
          <c:showLegendKey val="0"/>
          <c:showVal val="0"/>
          <c:showCatName val="0"/>
          <c:showSerName val="0"/>
          <c:showPercent val="0"/>
          <c:showBubbleSize val="0"/>
        </c:dLbls>
        <c:gapWidth val="219"/>
        <c:axId val="637470672"/>
        <c:axId val="637464792"/>
      </c:barChart>
      <c:catAx>
        <c:axId val="637470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37464792"/>
        <c:crosses val="autoZero"/>
        <c:auto val="1"/>
        <c:lblAlgn val="ctr"/>
        <c:lblOffset val="100"/>
        <c:noMultiLvlLbl val="0"/>
      </c:catAx>
      <c:valAx>
        <c:axId val="63746479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637470672"/>
        <c:crosses val="autoZero"/>
        <c:crossBetween val="between"/>
      </c:valAx>
      <c:dTable>
        <c:showHorzBorder val="1"/>
        <c:showVertBorder val="1"/>
        <c:showOutline val="1"/>
        <c:showKeys val="1"/>
      </c:dTable>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zh-TW" altLang="zh-TW" sz="1200" b="1" i="0" baseline="0">
                <a:effectLst/>
                <a:latin typeface="標楷體" panose="03000509000000000000" pitchFamily="65" charset="-120"/>
                <a:ea typeface="標楷體" panose="03000509000000000000" pitchFamily="65" charset="-120"/>
              </a:rPr>
              <a:t>圖</a:t>
            </a:r>
            <a:r>
              <a:rPr lang="en-US" altLang="zh-TW" sz="1200" b="1" i="0" baseline="0">
                <a:effectLst/>
                <a:latin typeface="標楷體" panose="03000509000000000000" pitchFamily="65" charset="-120"/>
                <a:ea typeface="標楷體" panose="03000509000000000000" pitchFamily="65" charset="-120"/>
              </a:rPr>
              <a:t>2-</a:t>
            </a:r>
            <a:r>
              <a:rPr lang="zh-TW" altLang="zh-TW" sz="1200" b="1" i="0" baseline="0">
                <a:effectLst/>
                <a:latin typeface="標楷體" panose="03000509000000000000" pitchFamily="65" charset="-120"/>
                <a:ea typeface="標楷體" panose="03000509000000000000" pitchFamily="65" charset="-120"/>
              </a:rPr>
              <a:t>長期照顧保險男、女性被保險人</a:t>
            </a:r>
            <a:r>
              <a:rPr lang="zh-TW" altLang="en-US" sz="1200" b="1" i="0" baseline="0">
                <a:effectLst/>
                <a:latin typeface="標楷體" panose="03000509000000000000" pitchFamily="65" charset="-120"/>
                <a:ea typeface="標楷體" panose="03000509000000000000" pitchFamily="65" charset="-120"/>
              </a:rPr>
              <a:t>佔</a:t>
            </a:r>
            <a:r>
              <a:rPr lang="zh-TW" altLang="zh-TW" sz="1200" b="1" i="0" baseline="0">
                <a:effectLst/>
                <a:latin typeface="標楷體" panose="03000509000000000000" pitchFamily="65" charset="-120"/>
                <a:ea typeface="標楷體" panose="03000509000000000000" pitchFamily="65" charset="-120"/>
              </a:rPr>
              <a:t>率</a:t>
            </a:r>
            <a:r>
              <a:rPr lang="en-US" altLang="zh-TW" sz="1200" b="1" i="0" baseline="0">
                <a:effectLst/>
                <a:latin typeface="標楷體" panose="03000509000000000000" pitchFamily="65" charset="-120"/>
                <a:ea typeface="標楷體" panose="03000509000000000000" pitchFamily="65" charset="-120"/>
              </a:rPr>
              <a:t>(</a:t>
            </a:r>
            <a:r>
              <a:rPr lang="zh-TW" altLang="en-US" sz="1200" b="1" i="0" baseline="0">
                <a:effectLst/>
                <a:latin typeface="標楷體" panose="03000509000000000000" pitchFamily="65" charset="-120"/>
                <a:ea typeface="標楷體" panose="03000509000000000000" pitchFamily="65" charset="-120"/>
              </a:rPr>
              <a:t>截至</a:t>
            </a:r>
            <a:r>
              <a:rPr lang="en-US" altLang="zh-TW" sz="1200" b="1" i="0" baseline="0">
                <a:effectLst/>
                <a:latin typeface="標楷體" panose="03000509000000000000" pitchFamily="65" charset="-120"/>
                <a:ea typeface="標楷體" panose="03000509000000000000" pitchFamily="65" charset="-120"/>
              </a:rPr>
              <a:t>109</a:t>
            </a:r>
            <a:r>
              <a:rPr lang="zh-TW" altLang="en-US" sz="1200" b="1" i="0" baseline="0">
                <a:effectLst/>
                <a:latin typeface="標楷體" panose="03000509000000000000" pitchFamily="65" charset="-120"/>
                <a:ea typeface="標楷體" panose="03000509000000000000" pitchFamily="65" charset="-120"/>
              </a:rPr>
              <a:t>年</a:t>
            </a:r>
            <a:r>
              <a:rPr lang="en-US" altLang="zh-TW" sz="1200" b="1" i="0" baseline="0">
                <a:effectLst/>
                <a:latin typeface="標楷體" panose="03000509000000000000" pitchFamily="65" charset="-120"/>
                <a:ea typeface="標楷體" panose="03000509000000000000" pitchFamily="65" charset="-120"/>
              </a:rPr>
              <a:t>6</a:t>
            </a:r>
            <a:r>
              <a:rPr lang="zh-TW" altLang="en-US" sz="1200" b="1" i="0" baseline="0">
                <a:effectLst/>
                <a:latin typeface="標楷體" panose="03000509000000000000" pitchFamily="65" charset="-120"/>
                <a:ea typeface="標楷體" panose="03000509000000000000" pitchFamily="65" charset="-120"/>
              </a:rPr>
              <a:t>月底</a:t>
            </a:r>
            <a:r>
              <a:rPr lang="en-US" altLang="zh-TW" sz="1200" b="1" i="0" baseline="0">
                <a:effectLst/>
                <a:latin typeface="標楷體" panose="03000509000000000000" pitchFamily="65" charset="-120"/>
                <a:ea typeface="標楷體" panose="03000509000000000000" pitchFamily="65" charset="-120"/>
              </a:rPr>
              <a:t>)</a:t>
            </a:r>
            <a:endParaRPr lang="zh-TW" altLang="zh-TW" sz="1200">
              <a:effectLst/>
              <a:latin typeface="標楷體" panose="03000509000000000000" pitchFamily="65" charset="-120"/>
              <a:ea typeface="標楷體" panose="03000509000000000000" pitchFamily="65" charset="-120"/>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altLang="zh-TW" sz="1200" b="1" i="0" baseline="0">
                <a:effectLst/>
                <a:latin typeface="標楷體" panose="03000509000000000000" pitchFamily="65" charset="-120"/>
                <a:ea typeface="標楷體" panose="03000509000000000000" pitchFamily="65" charset="-120"/>
              </a:rPr>
              <a:t>(</a:t>
            </a:r>
            <a:r>
              <a:rPr lang="zh-TW" altLang="zh-TW" sz="1200" b="1" i="0" baseline="0">
                <a:effectLst/>
                <a:latin typeface="標楷體" panose="03000509000000000000" pitchFamily="65" charset="-120"/>
                <a:ea typeface="標楷體" panose="03000509000000000000" pitchFamily="65" charset="-120"/>
              </a:rPr>
              <a:t>以要、被保險人同一人之</a:t>
            </a:r>
            <a:r>
              <a:rPr lang="zh-TW" altLang="en-US" sz="1200" b="1" i="0" baseline="0">
                <a:effectLst/>
                <a:latin typeface="標楷體" panose="03000509000000000000" pitchFamily="65" charset="-120"/>
                <a:ea typeface="標楷體" panose="03000509000000000000" pitchFamily="65" charset="-120"/>
              </a:rPr>
              <a:t>案件為</a:t>
            </a:r>
            <a:r>
              <a:rPr lang="zh-TW" altLang="zh-TW" sz="1200" b="1" i="0" baseline="0">
                <a:effectLst/>
                <a:latin typeface="標楷體" panose="03000509000000000000" pitchFamily="65" charset="-120"/>
                <a:ea typeface="標楷體" panose="03000509000000000000" pitchFamily="65" charset="-120"/>
              </a:rPr>
              <a:t>資料母體進行統計</a:t>
            </a:r>
            <a:r>
              <a:rPr lang="en-US" altLang="zh-TW" sz="1200" b="1" i="0" baseline="0">
                <a:effectLst/>
                <a:latin typeface="標楷體" panose="03000509000000000000" pitchFamily="65" charset="-120"/>
                <a:ea typeface="標楷體" panose="03000509000000000000" pitchFamily="65" charset="-120"/>
              </a:rPr>
              <a:t>)</a:t>
            </a:r>
            <a:endParaRPr lang="zh-TW" altLang="zh-TW" sz="1200">
              <a:effectLst/>
              <a:latin typeface="標楷體" panose="03000509000000000000" pitchFamily="65" charset="-120"/>
              <a:ea typeface="標楷體" panose="03000509000000000000" pitchFamily="65" charset="-120"/>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zh-TW" altLang="en-US"/>
          </a:p>
        </c:rich>
      </c:tx>
      <c:overlay val="0"/>
      <c:spPr>
        <a:noFill/>
        <a:ln w="25400">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rgbClr val="4F81BD"/>
              </a:solidFill>
              <a:ln w="25400">
                <a:solidFill>
                  <a:srgbClr val="FFFFFF"/>
                </a:solidFill>
                <a:prstDash val="solid"/>
              </a:ln>
            </c:spPr>
            <c:extLst xmlns:c16r2="http://schemas.microsoft.com/office/drawing/2015/06/chart">
              <c:ext xmlns:c16="http://schemas.microsoft.com/office/drawing/2014/chart" uri="{C3380CC4-5D6E-409C-BE32-E72D297353CC}">
                <c16:uniqueId val="{00000001-01B7-44A3-9A01-45797D03DB57}"/>
              </c:ext>
            </c:extLst>
          </c:dPt>
          <c:dPt>
            <c:idx val="1"/>
            <c:bubble3D val="0"/>
            <c:spPr>
              <a:solidFill>
                <a:srgbClr val="C0504D"/>
              </a:solidFill>
              <a:ln w="25400">
                <a:solidFill>
                  <a:srgbClr val="FFFFFF"/>
                </a:solidFill>
                <a:prstDash val="solid"/>
              </a:ln>
            </c:spPr>
            <c:extLst xmlns:c16r2="http://schemas.microsoft.com/office/drawing/2015/06/chart">
              <c:ext xmlns:c16="http://schemas.microsoft.com/office/drawing/2014/chart" uri="{C3380CC4-5D6E-409C-BE32-E72D297353CC}">
                <c16:uniqueId val="{00000003-01B7-44A3-9A01-45797D03DB57}"/>
              </c:ext>
            </c:extLst>
          </c:dPt>
          <c:dLbls>
            <c:dLbl>
              <c:idx val="0"/>
              <c:layout>
                <c:manualLayout>
                  <c:x val="-0.18595576260260199"/>
                  <c:y val="6.0495857135505121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1B7-44A3-9A01-45797D03DB57}"/>
                </c:ext>
                <c:ext xmlns:c15="http://schemas.microsoft.com/office/drawing/2012/chart" uri="{CE6537A1-D6FC-4f65-9D91-7224C49458BB}"/>
              </c:extLst>
            </c:dLbl>
            <c:dLbl>
              <c:idx val="1"/>
              <c:layout>
                <c:manualLayout>
                  <c:x val="0.21887749188586531"/>
                  <c:y val="-0.20200015439246571"/>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1B7-44A3-9A01-45797D03DB57}"/>
                </c:ex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zh-TW"/>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Lit>
              <c:ptCount val="2"/>
              <c:pt idx="0">
                <c:v>男性</c:v>
              </c:pt>
              <c:pt idx="1">
                <c:v>女性</c:v>
              </c:pt>
            </c:strLit>
          </c:cat>
          <c:val>
            <c:numRef>
              <c:f>('長照(依性別+年齡+要被保人)'!$AD$14,'長照(依性別+年齡+要被保人)'!$AD$32)</c:f>
              <c:numCache>
                <c:formatCode>0.00%</c:formatCode>
                <c:ptCount val="2"/>
                <c:pt idx="0">
                  <c:v>0.39718008240463931</c:v>
                </c:pt>
                <c:pt idx="1">
                  <c:v>0.60281991759536069</c:v>
                </c:pt>
              </c:numCache>
            </c:numRef>
          </c:val>
          <c:extLst xmlns:c16r2="http://schemas.microsoft.com/office/drawing/2015/06/chart">
            <c:ext xmlns:c16="http://schemas.microsoft.com/office/drawing/2014/chart" uri="{C3380CC4-5D6E-409C-BE32-E72D297353CC}">
              <c16:uniqueId val="{00000004-01B7-44A3-9A01-45797D03DB57}"/>
            </c:ext>
          </c:extLst>
        </c:ser>
        <c:ser>
          <c:idx val="1"/>
          <c:order val="1"/>
          <c:dPt>
            <c:idx val="0"/>
            <c:bubble3D val="0"/>
            <c:spPr>
              <a:solidFill>
                <a:srgbClr val="4F81BD"/>
              </a:solidFill>
              <a:ln w="25400">
                <a:solidFill>
                  <a:srgbClr val="FFFFFF"/>
                </a:solidFill>
                <a:prstDash val="solid"/>
              </a:ln>
            </c:spPr>
            <c:extLst xmlns:c16r2="http://schemas.microsoft.com/office/drawing/2015/06/chart">
              <c:ext xmlns:c16="http://schemas.microsoft.com/office/drawing/2014/chart" uri="{C3380CC4-5D6E-409C-BE32-E72D297353CC}">
                <c16:uniqueId val="{00000006-01B7-44A3-9A01-45797D03DB57}"/>
              </c:ext>
            </c:extLst>
          </c:dPt>
          <c:dPt>
            <c:idx val="1"/>
            <c:bubble3D val="0"/>
            <c:spPr>
              <a:solidFill>
                <a:srgbClr val="C0504D"/>
              </a:solidFill>
              <a:ln w="25400">
                <a:solidFill>
                  <a:srgbClr val="FFFFFF"/>
                </a:solidFill>
                <a:prstDash val="solid"/>
              </a:ln>
            </c:spPr>
            <c:extLst xmlns:c16r2="http://schemas.microsoft.com/office/drawing/2015/06/chart">
              <c:ext xmlns:c16="http://schemas.microsoft.com/office/drawing/2014/chart" uri="{C3380CC4-5D6E-409C-BE32-E72D297353CC}">
                <c16:uniqueId val="{00000008-01B7-44A3-9A01-45797D03DB57}"/>
              </c:ext>
            </c:extLst>
          </c:dPt>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Lit>
              <c:ptCount val="2"/>
              <c:pt idx="0">
                <c:v>男性</c:v>
              </c:pt>
              <c:pt idx="1">
                <c:v>女性</c:v>
              </c:pt>
            </c:strLit>
          </c:cat>
          <c:val>
            <c:numRef>
              <c:f>('長照(依性別+年齡+要被保人)'!$AE$14,'長照(依性別+年齡+要被保人)'!$AE$32)</c:f>
              <c:numCache>
                <c:formatCode>General</c:formatCode>
                <c:ptCount val="2"/>
              </c:numCache>
            </c:numRef>
          </c:val>
          <c:extLst xmlns:c16r2="http://schemas.microsoft.com/office/drawing/2015/06/chart">
            <c:ext xmlns:c16="http://schemas.microsoft.com/office/drawing/2014/chart" uri="{C3380CC4-5D6E-409C-BE32-E72D297353CC}">
              <c16:uniqueId val="{00000009-01B7-44A3-9A01-45797D03DB57}"/>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89593878323521203"/>
          <c:y val="0.47897045957490614"/>
          <c:w val="9.0720035128276685E-2"/>
          <c:h val="0.19856209150326798"/>
        </c:manualLayout>
      </c:layout>
      <c:overlay val="0"/>
      <c:spPr>
        <a:noFill/>
        <a:ln w="25400">
          <a:noFill/>
        </a:ln>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legend>
    <c:plotVisOnly val="1"/>
    <c:dispBlanksAs val="gap"/>
    <c:showDLblsOverMax val="0"/>
  </c:chart>
  <c:spPr>
    <a:solidFill>
      <a:schemeClr val="bg1"/>
    </a:solidFill>
    <a:ln w="9525" cap="flat" cmpd="sng" algn="ctr">
      <a:noFill/>
      <a:round/>
    </a:ln>
    <a:effectLst/>
  </c:spPr>
  <c:txPr>
    <a:bodyPr/>
    <a:lstStyle/>
    <a:p>
      <a:pPr>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sz="1200" b="1"/>
              <a:t>圖</a:t>
            </a:r>
            <a:r>
              <a:rPr lang="en-US" sz="1200" b="1"/>
              <a:t>3-</a:t>
            </a:r>
            <a:r>
              <a:rPr lang="zh-TW" sz="1200" b="1"/>
              <a:t>男、女性被保險人各年齡層占率</a:t>
            </a:r>
            <a:r>
              <a:rPr lang="en-US" sz="1200" b="1"/>
              <a:t>(</a:t>
            </a:r>
            <a:r>
              <a:rPr lang="zh-TW" sz="1200" b="1"/>
              <a:t>截至</a:t>
            </a:r>
            <a:r>
              <a:rPr lang="en-US" sz="1200" b="1"/>
              <a:t>10</a:t>
            </a:r>
            <a:r>
              <a:rPr lang="en-US" altLang="zh-TW" sz="1200" b="1"/>
              <a:t>9</a:t>
            </a:r>
            <a:r>
              <a:rPr lang="zh-TW" sz="1200" b="1"/>
              <a:t>年</a:t>
            </a:r>
            <a:r>
              <a:rPr lang="en-US" altLang="zh-TW" sz="1200" b="1"/>
              <a:t>6</a:t>
            </a:r>
            <a:r>
              <a:rPr lang="zh-TW" sz="1200" b="1"/>
              <a:t>月底</a:t>
            </a:r>
            <a:r>
              <a:rPr lang="en-US" sz="1200" b="1"/>
              <a:t>)</a:t>
            </a:r>
            <a:endParaRPr lang="zh-TW" sz="1200" b="1"/>
          </a:p>
        </c:rich>
      </c:tx>
      <c:layout>
        <c:manualLayout>
          <c:xMode val="edge"/>
          <c:yMode val="edge"/>
          <c:x val="0.15423958751010527"/>
          <c:y val="1.763979537837361E-2"/>
        </c:manualLayout>
      </c:layout>
      <c:overlay val="0"/>
      <c:spPr>
        <a:noFill/>
        <a:ln w="25400">
          <a:noFill/>
        </a:ln>
      </c:spPr>
    </c:title>
    <c:autoTitleDeleted val="0"/>
    <c:plotArea>
      <c:layout/>
      <c:barChart>
        <c:barDir val="col"/>
        <c:grouping val="clustered"/>
        <c:varyColors val="0"/>
        <c:ser>
          <c:idx val="0"/>
          <c:order val="0"/>
          <c:tx>
            <c:v>男性</c:v>
          </c:tx>
          <c:spPr>
            <a:solidFill>
              <a:srgbClr val="4F81BD"/>
            </a:solidFill>
            <a:ln w="25400">
              <a:noFill/>
            </a:ln>
          </c:spPr>
          <c:invertIfNegative val="0"/>
          <c:cat>
            <c:strRef>
              <c:f>'長照(依性別+年齡+要被保人)'!$B$6:$B$13</c:f>
              <c:strCache>
                <c:ptCount val="8"/>
                <c:pt idx="0">
                  <c:v>0-9歲</c:v>
                </c:pt>
                <c:pt idx="1">
                  <c:v>10-19歲</c:v>
                </c:pt>
                <c:pt idx="2">
                  <c:v>20-29歲</c:v>
                </c:pt>
                <c:pt idx="3">
                  <c:v>30-39歲</c:v>
                </c:pt>
                <c:pt idx="4">
                  <c:v>40-49歲</c:v>
                </c:pt>
                <c:pt idx="5">
                  <c:v>50-59歲</c:v>
                </c:pt>
                <c:pt idx="6">
                  <c:v>60-69歲</c:v>
                </c:pt>
                <c:pt idx="7">
                  <c:v>70歲以上</c:v>
                </c:pt>
              </c:strCache>
            </c:strRef>
          </c:cat>
          <c:val>
            <c:numRef>
              <c:f>'長照(依性別+年齡+要被保人)'!$AE$6:$AE$13</c:f>
              <c:numCache>
                <c:formatCode>0.00%</c:formatCode>
                <c:ptCount val="8"/>
                <c:pt idx="0">
                  <c:v>1.4835437023989895E-2</c:v>
                </c:pt>
                <c:pt idx="1">
                  <c:v>0.13784122808796392</c:v>
                </c:pt>
                <c:pt idx="2">
                  <c:v>0.24323627483074392</c:v>
                </c:pt>
                <c:pt idx="3">
                  <c:v>0.231465843151683</c:v>
                </c:pt>
                <c:pt idx="4">
                  <c:v>0.19850399928154885</c:v>
                </c:pt>
                <c:pt idx="5">
                  <c:v>0.14317456914657853</c:v>
                </c:pt>
                <c:pt idx="6">
                  <c:v>3.0473337640177643E-2</c:v>
                </c:pt>
                <c:pt idx="7">
                  <c:v>4.6931083731426736E-4</c:v>
                </c:pt>
              </c:numCache>
            </c:numRef>
          </c:val>
          <c:extLst xmlns:c16r2="http://schemas.microsoft.com/office/drawing/2015/06/chart">
            <c:ext xmlns:c16="http://schemas.microsoft.com/office/drawing/2014/chart" uri="{C3380CC4-5D6E-409C-BE32-E72D297353CC}">
              <c16:uniqueId val="{00000000-5645-4DDF-AB6A-D4299FC56585}"/>
            </c:ext>
          </c:extLst>
        </c:ser>
        <c:ser>
          <c:idx val="1"/>
          <c:order val="1"/>
          <c:tx>
            <c:v>女性</c:v>
          </c:tx>
          <c:spPr>
            <a:solidFill>
              <a:srgbClr val="C0504D"/>
            </a:solidFill>
            <a:ln w="25400">
              <a:noFill/>
            </a:ln>
          </c:spPr>
          <c:invertIfNegative val="0"/>
          <c:val>
            <c:numRef>
              <c:f>'長照(依性別+年齡+要被保人)'!$AE$24:$AE$31</c:f>
              <c:numCache>
                <c:formatCode>0.00%</c:formatCode>
                <c:ptCount val="8"/>
                <c:pt idx="0">
                  <c:v>8.6615906841930809E-3</c:v>
                </c:pt>
                <c:pt idx="1">
                  <c:v>9.2490304099255058E-2</c:v>
                </c:pt>
                <c:pt idx="2">
                  <c:v>0.19986257587964745</c:v>
                </c:pt>
                <c:pt idx="3">
                  <c:v>0.24282696899973144</c:v>
                </c:pt>
                <c:pt idx="4">
                  <c:v>0.24108497310793842</c:v>
                </c:pt>
                <c:pt idx="5">
                  <c:v>0.17585932415398275</c:v>
                </c:pt>
                <c:pt idx="6">
                  <c:v>3.8435203801422145E-2</c:v>
                </c:pt>
                <c:pt idx="7">
                  <c:v>7.79059273829657E-4</c:v>
                </c:pt>
              </c:numCache>
            </c:numRef>
          </c:val>
          <c:extLst xmlns:c16r2="http://schemas.microsoft.com/office/drawing/2015/06/chart">
            <c:ext xmlns:c16="http://schemas.microsoft.com/office/drawing/2014/chart" uri="{C3380CC4-5D6E-409C-BE32-E72D297353CC}">
              <c16:uniqueId val="{00000001-5645-4DDF-AB6A-D4299FC56585}"/>
            </c:ext>
          </c:extLst>
        </c:ser>
        <c:dLbls>
          <c:showLegendKey val="0"/>
          <c:showVal val="0"/>
          <c:showCatName val="0"/>
          <c:showSerName val="0"/>
          <c:showPercent val="0"/>
          <c:showBubbleSize val="0"/>
        </c:dLbls>
        <c:gapWidth val="150"/>
        <c:axId val="587002472"/>
        <c:axId val="586999336"/>
      </c:barChart>
      <c:catAx>
        <c:axId val="587002472"/>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86999336"/>
        <c:crosses val="autoZero"/>
        <c:auto val="1"/>
        <c:lblAlgn val="ctr"/>
        <c:lblOffset val="100"/>
        <c:noMultiLvlLbl val="0"/>
      </c:catAx>
      <c:valAx>
        <c:axId val="586999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87002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zh-TW" altLang="zh-TW" sz="1200" b="1" i="0" baseline="0">
                <a:effectLst/>
                <a:latin typeface="標楷體" panose="03000509000000000000" pitchFamily="65" charset="-120"/>
                <a:ea typeface="標楷體" panose="03000509000000000000" pitchFamily="65" charset="-120"/>
              </a:rPr>
              <a:t>圖</a:t>
            </a:r>
            <a:r>
              <a:rPr lang="en-US" altLang="zh-TW" sz="1200" b="1" i="0" baseline="0">
                <a:effectLst/>
                <a:latin typeface="標楷體" panose="03000509000000000000" pitchFamily="65" charset="-120"/>
                <a:ea typeface="標楷體" panose="03000509000000000000" pitchFamily="65" charset="-120"/>
              </a:rPr>
              <a:t>4-</a:t>
            </a:r>
            <a:r>
              <a:rPr lang="zh-TW" altLang="zh-TW" sz="1200" b="1" i="0" baseline="0">
                <a:effectLst/>
                <a:latin typeface="標楷體" panose="03000509000000000000" pitchFamily="65" charset="-120"/>
                <a:ea typeface="標楷體" panose="03000509000000000000" pitchFamily="65" charset="-120"/>
              </a:rPr>
              <a:t>男、女性要保人</a:t>
            </a:r>
            <a:r>
              <a:rPr lang="en-US" altLang="zh-TW" sz="1200" b="1" i="0" baseline="0">
                <a:effectLst/>
                <a:latin typeface="標楷體" panose="03000509000000000000" pitchFamily="65" charset="-120"/>
                <a:ea typeface="標楷體" panose="03000509000000000000" pitchFamily="65" charset="-120"/>
              </a:rPr>
              <a:t>(</a:t>
            </a:r>
            <a:r>
              <a:rPr lang="zh-TW" altLang="zh-TW" sz="1200" b="1" i="0" baseline="0">
                <a:effectLst/>
                <a:latin typeface="標楷體" panose="03000509000000000000" pitchFamily="65" charset="-120"/>
                <a:ea typeface="標楷體" panose="03000509000000000000" pitchFamily="65" charset="-120"/>
              </a:rPr>
              <a:t>購買者</a:t>
            </a:r>
            <a:r>
              <a:rPr lang="en-US" altLang="zh-TW" sz="1200" b="1" i="0" baseline="0">
                <a:effectLst/>
                <a:latin typeface="標楷體" panose="03000509000000000000" pitchFamily="65" charset="-120"/>
                <a:ea typeface="標楷體" panose="03000509000000000000" pitchFamily="65" charset="-120"/>
              </a:rPr>
              <a:t>)</a:t>
            </a:r>
            <a:r>
              <a:rPr lang="zh-TW" altLang="zh-TW" sz="1200" b="1" i="0" baseline="0">
                <a:effectLst/>
                <a:latin typeface="標楷體" panose="03000509000000000000" pitchFamily="65" charset="-120"/>
                <a:ea typeface="標楷體" panose="03000509000000000000" pitchFamily="65" charset="-120"/>
              </a:rPr>
              <a:t>各年齡層占率</a:t>
            </a:r>
            <a:r>
              <a:rPr lang="en-US" altLang="zh-TW" sz="1200" b="1" i="0" baseline="0">
                <a:effectLst/>
                <a:latin typeface="標楷體" panose="03000509000000000000" pitchFamily="65" charset="-120"/>
                <a:ea typeface="標楷體" panose="03000509000000000000" pitchFamily="65" charset="-120"/>
              </a:rPr>
              <a:t>(</a:t>
            </a:r>
            <a:r>
              <a:rPr lang="zh-TW" altLang="en-US" sz="1200" b="1" i="0" baseline="0">
                <a:effectLst/>
                <a:latin typeface="標楷體" panose="03000509000000000000" pitchFamily="65" charset="-120"/>
                <a:ea typeface="標楷體" panose="03000509000000000000" pitchFamily="65" charset="-120"/>
              </a:rPr>
              <a:t>截至</a:t>
            </a:r>
            <a:r>
              <a:rPr lang="en-US" altLang="zh-TW" sz="1200" b="1" i="0" baseline="0">
                <a:effectLst/>
                <a:latin typeface="標楷體" panose="03000509000000000000" pitchFamily="65" charset="-120"/>
                <a:ea typeface="標楷體" panose="03000509000000000000" pitchFamily="65" charset="-120"/>
              </a:rPr>
              <a:t>109</a:t>
            </a:r>
            <a:r>
              <a:rPr lang="zh-TW" altLang="en-US" sz="1200" b="1" i="0" baseline="0">
                <a:effectLst/>
                <a:latin typeface="標楷體" panose="03000509000000000000" pitchFamily="65" charset="-120"/>
                <a:ea typeface="標楷體" panose="03000509000000000000" pitchFamily="65" charset="-120"/>
              </a:rPr>
              <a:t>年</a:t>
            </a:r>
            <a:r>
              <a:rPr lang="en-US" altLang="zh-TW" sz="1200" b="1" i="0" baseline="0">
                <a:effectLst/>
                <a:latin typeface="標楷體" panose="03000509000000000000" pitchFamily="65" charset="-120"/>
                <a:ea typeface="標楷體" panose="03000509000000000000" pitchFamily="65" charset="-120"/>
              </a:rPr>
              <a:t>6</a:t>
            </a:r>
            <a:r>
              <a:rPr lang="zh-TW" altLang="en-US" sz="1200" b="1" i="0" baseline="0">
                <a:effectLst/>
                <a:latin typeface="標楷體" panose="03000509000000000000" pitchFamily="65" charset="-120"/>
                <a:ea typeface="標楷體" panose="03000509000000000000" pitchFamily="65" charset="-120"/>
              </a:rPr>
              <a:t>月底</a:t>
            </a:r>
            <a:r>
              <a:rPr lang="en-US" altLang="zh-TW" sz="1200" b="1" i="0" baseline="0">
                <a:effectLst/>
                <a:latin typeface="標楷體" panose="03000509000000000000" pitchFamily="65" charset="-120"/>
                <a:ea typeface="標楷體" panose="03000509000000000000" pitchFamily="65" charset="-120"/>
              </a:rPr>
              <a:t>)</a:t>
            </a:r>
            <a:endParaRPr lang="zh-TW" altLang="zh-TW" sz="1200">
              <a:effectLst/>
              <a:latin typeface="標楷體" panose="03000509000000000000" pitchFamily="65" charset="-120"/>
              <a:ea typeface="標楷體" panose="03000509000000000000" pitchFamily="65" charset="-120"/>
            </a:endParaRPr>
          </a:p>
          <a:p>
            <a:pPr algn="ctr" rtl="0">
              <a:defRPr sz="1400" b="0" i="0" u="none" strike="noStrike" kern="1200" spc="0" baseline="0">
                <a:solidFill>
                  <a:schemeClr val="tx1">
                    <a:lumMod val="65000"/>
                    <a:lumOff val="35000"/>
                  </a:schemeClr>
                </a:solidFill>
                <a:latin typeface="標楷體" panose="03000509000000000000" pitchFamily="65" charset="-120"/>
                <a:ea typeface="標楷體" panose="03000509000000000000" pitchFamily="65" charset="-120"/>
                <a:cs typeface="+mn-cs"/>
              </a:defRPr>
            </a:pPr>
            <a:r>
              <a:rPr lang="en-US" altLang="zh-TW" sz="1200" b="1" i="0" baseline="0">
                <a:effectLst/>
                <a:latin typeface="標楷體" panose="03000509000000000000" pitchFamily="65" charset="-120"/>
                <a:ea typeface="標楷體" panose="03000509000000000000" pitchFamily="65" charset="-120"/>
              </a:rPr>
              <a:t>(</a:t>
            </a:r>
            <a:r>
              <a:rPr lang="zh-TW" altLang="zh-TW" sz="1200" b="1" i="0" baseline="0">
                <a:effectLst/>
                <a:latin typeface="標楷體" panose="03000509000000000000" pitchFamily="65" charset="-120"/>
                <a:ea typeface="標楷體" panose="03000509000000000000" pitchFamily="65" charset="-120"/>
              </a:rPr>
              <a:t>以要、被保險人同一人之</a:t>
            </a:r>
            <a:r>
              <a:rPr lang="zh-TW" altLang="en-US" sz="1200" b="1" i="0" baseline="0">
                <a:effectLst/>
                <a:latin typeface="標楷體" panose="03000509000000000000" pitchFamily="65" charset="-120"/>
                <a:ea typeface="標楷體" panose="03000509000000000000" pitchFamily="65" charset="-120"/>
              </a:rPr>
              <a:t>案件為</a:t>
            </a:r>
            <a:r>
              <a:rPr lang="zh-TW" altLang="zh-TW" sz="1200" b="1" i="0" baseline="0">
                <a:effectLst/>
                <a:latin typeface="標楷體" panose="03000509000000000000" pitchFamily="65" charset="-120"/>
                <a:ea typeface="標楷體" panose="03000509000000000000" pitchFamily="65" charset="-120"/>
              </a:rPr>
              <a:t>資料母體進行統計</a:t>
            </a:r>
            <a:r>
              <a:rPr lang="en-US" altLang="zh-TW" sz="1200" b="1" i="0" baseline="0">
                <a:effectLst/>
                <a:latin typeface="標楷體" panose="03000509000000000000" pitchFamily="65" charset="-120"/>
                <a:ea typeface="標楷體" panose="03000509000000000000" pitchFamily="65" charset="-120"/>
              </a:rPr>
              <a:t>)</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0917314037380045"/>
          <c:y val="1.763979537837361E-2"/>
        </c:manualLayout>
      </c:layout>
      <c:overlay val="0"/>
      <c:spPr>
        <a:noFill/>
        <a:ln w="25400">
          <a:noFill/>
        </a:ln>
      </c:spPr>
    </c:title>
    <c:autoTitleDeleted val="0"/>
    <c:plotArea>
      <c:layout/>
      <c:barChart>
        <c:barDir val="col"/>
        <c:grouping val="clustered"/>
        <c:varyColors val="0"/>
        <c:ser>
          <c:idx val="0"/>
          <c:order val="0"/>
          <c:tx>
            <c:v>男性</c:v>
          </c:tx>
          <c:spPr>
            <a:solidFill>
              <a:srgbClr val="4F81BD"/>
            </a:solidFill>
            <a:ln w="25400">
              <a:noFill/>
            </a:ln>
          </c:spPr>
          <c:invertIfNegative val="0"/>
          <c:cat>
            <c:strRef>
              <c:f>'長照(依性別+年齡+要被保人)'!$B$6:$B$13</c:f>
              <c:strCache>
                <c:ptCount val="8"/>
                <c:pt idx="0">
                  <c:v>0-9歲</c:v>
                </c:pt>
                <c:pt idx="1">
                  <c:v>10-19歲</c:v>
                </c:pt>
                <c:pt idx="2">
                  <c:v>20-29歲</c:v>
                </c:pt>
                <c:pt idx="3">
                  <c:v>30-39歲</c:v>
                </c:pt>
                <c:pt idx="4">
                  <c:v>40-49歲</c:v>
                </c:pt>
                <c:pt idx="5">
                  <c:v>50-59歲</c:v>
                </c:pt>
                <c:pt idx="6">
                  <c:v>60-69歲</c:v>
                </c:pt>
                <c:pt idx="7">
                  <c:v>70歲以上</c:v>
                </c:pt>
              </c:strCache>
            </c:strRef>
          </c:cat>
          <c:val>
            <c:numRef>
              <c:f>'長照(依性別+年齡+要被保人)'!$AE$15:$AE$22</c:f>
              <c:numCache>
                <c:formatCode>0.00%</c:formatCode>
                <c:ptCount val="8"/>
                <c:pt idx="0">
                  <c:v>2.7476319467209581E-3</c:v>
                </c:pt>
                <c:pt idx="1">
                  <c:v>0.10580324022153591</c:v>
                </c:pt>
                <c:pt idx="2">
                  <c:v>0.2557325005607412</c:v>
                </c:pt>
                <c:pt idx="3">
                  <c:v>0.25852757984092201</c:v>
                </c:pt>
                <c:pt idx="4">
                  <c:v>0.19870511913594091</c:v>
                </c:pt>
                <c:pt idx="5">
                  <c:v>0.1436015114132404</c:v>
                </c:pt>
                <c:pt idx="6">
                  <c:v>3.4317362273331146E-2</c:v>
                </c:pt>
                <c:pt idx="7">
                  <c:v>5.6505460756741831E-4</c:v>
                </c:pt>
              </c:numCache>
            </c:numRef>
          </c:val>
          <c:extLst xmlns:c16r2="http://schemas.microsoft.com/office/drawing/2015/06/chart">
            <c:ext xmlns:c16="http://schemas.microsoft.com/office/drawing/2014/chart" uri="{C3380CC4-5D6E-409C-BE32-E72D297353CC}">
              <c16:uniqueId val="{00000000-E491-4382-8A4E-2B84030384FA}"/>
            </c:ext>
          </c:extLst>
        </c:ser>
        <c:ser>
          <c:idx val="1"/>
          <c:order val="1"/>
          <c:tx>
            <c:v>女性</c:v>
          </c:tx>
          <c:spPr>
            <a:solidFill>
              <a:srgbClr val="C0504D"/>
            </a:solidFill>
            <a:ln w="25400">
              <a:noFill/>
            </a:ln>
          </c:spPr>
          <c:invertIfNegative val="0"/>
          <c:val>
            <c:numRef>
              <c:f>'長照(依性別+年齡+要被保人)'!$AE$33:$AE$40</c:f>
              <c:numCache>
                <c:formatCode>0.00%</c:formatCode>
                <c:ptCount val="8"/>
                <c:pt idx="0">
                  <c:v>1.4465610781285081E-3</c:v>
                </c:pt>
                <c:pt idx="1">
                  <c:v>6.4512645331074911E-2</c:v>
                </c:pt>
                <c:pt idx="2">
                  <c:v>0.18882311314722242</c:v>
                </c:pt>
                <c:pt idx="3">
                  <c:v>0.25976428727736744</c:v>
                </c:pt>
                <c:pt idx="4">
                  <c:v>0.26164566926896088</c:v>
                </c:pt>
                <c:pt idx="5">
                  <c:v>0.18471078725321072</c:v>
                </c:pt>
                <c:pt idx="6">
                  <c:v>3.8429074456687008E-2</c:v>
                </c:pt>
                <c:pt idx="7">
                  <c:v>6.6786218734813242E-4</c:v>
                </c:pt>
              </c:numCache>
            </c:numRef>
          </c:val>
          <c:extLst xmlns:c16r2="http://schemas.microsoft.com/office/drawing/2015/06/chart">
            <c:ext xmlns:c16="http://schemas.microsoft.com/office/drawing/2014/chart" uri="{C3380CC4-5D6E-409C-BE32-E72D297353CC}">
              <c16:uniqueId val="{00000001-E491-4382-8A4E-2B84030384FA}"/>
            </c:ext>
          </c:extLst>
        </c:ser>
        <c:dLbls>
          <c:showLegendKey val="0"/>
          <c:showVal val="0"/>
          <c:showCatName val="0"/>
          <c:showSerName val="0"/>
          <c:showPercent val="0"/>
          <c:showBubbleSize val="0"/>
        </c:dLbls>
        <c:gapWidth val="150"/>
        <c:axId val="586993064"/>
        <c:axId val="586994632"/>
      </c:barChart>
      <c:catAx>
        <c:axId val="586993064"/>
        <c:scaling>
          <c:orientation val="minMax"/>
        </c:scaling>
        <c:delete val="0"/>
        <c:axPos val="b"/>
        <c:numFmt formatCode="General"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86994632"/>
        <c:crosses val="autoZero"/>
        <c:auto val="1"/>
        <c:lblAlgn val="ctr"/>
        <c:lblOffset val="100"/>
        <c:noMultiLvlLbl val="0"/>
      </c:catAx>
      <c:valAx>
        <c:axId val="586994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crossAx val="586993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標楷體" panose="03000509000000000000" pitchFamily="65" charset="-120"/>
                <a:ea typeface="標楷體" panose="03000509000000000000" pitchFamily="65" charset="-120"/>
                <a:cs typeface="+mn-cs"/>
              </a:defRPr>
            </a:pPr>
            <a:endParaRPr lang="zh-TW"/>
          </a:p>
        </c:txPr>
      </c:dTable>
      <c:spPr>
        <a:noFill/>
        <a:ln w="25400">
          <a:noFill/>
        </a:ln>
      </c:spPr>
    </c:plotArea>
    <c:plotVisOnly val="1"/>
    <c:dispBlanksAs val="gap"/>
    <c:showDLblsOverMax val="0"/>
  </c:chart>
  <c:spPr>
    <a:solidFill>
      <a:schemeClr val="bg1"/>
    </a:solidFill>
    <a:ln w="9525" cap="flat" cmpd="sng" algn="ctr">
      <a:noFill/>
      <a:round/>
    </a:ln>
    <a:effectLst/>
  </c:spPr>
  <c:txPr>
    <a:bodyPr/>
    <a:lstStyle/>
    <a:p>
      <a:pPr>
        <a:defRPr>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zh-TW" altLang="zh-TW" sz="1200" b="1" i="0" baseline="0">
                <a:latin typeface="標楷體" pitchFamily="65" charset="-120"/>
                <a:ea typeface="標楷體" pitchFamily="65" charset="-120"/>
              </a:rPr>
              <a:t>圖</a:t>
            </a:r>
            <a:r>
              <a:rPr lang="en-US" altLang="zh-TW" sz="1200" b="1" i="0" baseline="0">
                <a:latin typeface="標楷體" pitchFamily="65" charset="-120"/>
                <a:ea typeface="標楷體" pitchFamily="65" charset="-120"/>
              </a:rPr>
              <a:t>5-</a:t>
            </a:r>
            <a:r>
              <a:rPr lang="zh-TW" altLang="zh-TW" sz="1200" b="1" i="0" baseline="0">
                <a:latin typeface="標楷體" pitchFamily="65" charset="-120"/>
                <a:ea typeface="標楷體" pitchFamily="65" charset="-120"/>
              </a:rPr>
              <a:t>六直轄市長期照顧保險有效契約件數</a:t>
            </a:r>
            <a:r>
              <a:rPr lang="en-US" altLang="zh-TW" sz="1200" b="1" i="0" baseline="0">
                <a:latin typeface="標楷體" pitchFamily="65" charset="-120"/>
                <a:ea typeface="標楷體" pitchFamily="65" charset="-120"/>
              </a:rPr>
              <a:t>(</a:t>
            </a:r>
            <a:r>
              <a:rPr lang="zh-TW" altLang="en-US" sz="1200" b="1" i="0" baseline="0">
                <a:latin typeface="標楷體" pitchFamily="65" charset="-120"/>
                <a:ea typeface="標楷體" pitchFamily="65" charset="-120"/>
              </a:rPr>
              <a:t>截至</a:t>
            </a:r>
            <a:r>
              <a:rPr lang="en-US" altLang="zh-TW" sz="1200" b="1" i="0" baseline="0">
                <a:latin typeface="標楷體" pitchFamily="65" charset="-120"/>
                <a:ea typeface="標楷體" pitchFamily="65" charset="-120"/>
              </a:rPr>
              <a:t>109</a:t>
            </a:r>
            <a:r>
              <a:rPr lang="zh-TW" altLang="en-US" sz="1200" b="1" i="0" baseline="0">
                <a:latin typeface="標楷體" pitchFamily="65" charset="-120"/>
                <a:ea typeface="標楷體" pitchFamily="65" charset="-120"/>
              </a:rPr>
              <a:t>年</a:t>
            </a:r>
            <a:r>
              <a:rPr lang="en-US" altLang="zh-TW" sz="1200" b="1" i="0" baseline="0">
                <a:latin typeface="標楷體" pitchFamily="65" charset="-120"/>
                <a:ea typeface="標楷體" pitchFamily="65" charset="-120"/>
              </a:rPr>
              <a:t>6</a:t>
            </a:r>
            <a:r>
              <a:rPr lang="zh-TW" altLang="en-US" sz="1200" b="1" i="0" baseline="0">
                <a:latin typeface="標楷體" pitchFamily="65" charset="-120"/>
                <a:ea typeface="標楷體" pitchFamily="65" charset="-120"/>
              </a:rPr>
              <a:t>月底</a:t>
            </a:r>
            <a:r>
              <a:rPr lang="en-US" altLang="zh-TW" sz="1200" b="1" i="0" baseline="0">
                <a:latin typeface="標楷體" pitchFamily="65" charset="-120"/>
                <a:ea typeface="標楷體" pitchFamily="65" charset="-120"/>
              </a:rPr>
              <a:t>)</a:t>
            </a:r>
            <a:endParaRPr lang="zh-TW" altLang="zh-TW" sz="1200" b="1" i="0" baseline="0">
              <a:latin typeface="標楷體" pitchFamily="65" charset="-120"/>
              <a:ea typeface="標楷體" pitchFamily="65" charset="-120"/>
            </a:endParaRPr>
          </a:p>
        </c:rich>
      </c:tx>
      <c:layout>
        <c:manualLayout>
          <c:xMode val="edge"/>
          <c:yMode val="edge"/>
          <c:x val="0.18414653646981921"/>
          <c:y val="1.6282781198478254E-2"/>
        </c:manualLayout>
      </c:layout>
      <c:overlay val="0"/>
    </c:title>
    <c:autoTitleDeleted val="0"/>
    <c:plotArea>
      <c:layout>
        <c:manualLayout>
          <c:layoutTarget val="inner"/>
          <c:xMode val="edge"/>
          <c:yMode val="edge"/>
          <c:x val="0.14499048475892087"/>
          <c:y val="0.11290830223219805"/>
          <c:w val="0.80970407966270974"/>
          <c:h val="0.69684345917631296"/>
        </c:manualLayout>
      </c:layout>
      <c:barChart>
        <c:barDir val="col"/>
        <c:grouping val="clustered"/>
        <c:varyColors val="0"/>
        <c:ser>
          <c:idx val="0"/>
          <c:order val="0"/>
          <c:tx>
            <c:v>男性</c:v>
          </c:tx>
          <c:invertIfNegative val="0"/>
          <c:cat>
            <c:strRef>
              <c:f>'長照(依性別與行政區域)-1'!$A$6:$A$11</c:f>
              <c:strCache>
                <c:ptCount val="6"/>
                <c:pt idx="0">
                  <c:v>新北市</c:v>
                </c:pt>
                <c:pt idx="1">
                  <c:v>臺北市</c:v>
                </c:pt>
                <c:pt idx="2">
                  <c:v>桃園市</c:v>
                </c:pt>
                <c:pt idx="3">
                  <c:v>臺中市</c:v>
                </c:pt>
                <c:pt idx="4">
                  <c:v>臺南市</c:v>
                </c:pt>
                <c:pt idx="5">
                  <c:v>高雄市</c:v>
                </c:pt>
              </c:strCache>
            </c:strRef>
          </c:cat>
          <c:val>
            <c:numRef>
              <c:f>'長照(依性別與行政區域)-1'!$B$6:$B$11</c:f>
              <c:numCache>
                <c:formatCode>#,##0_ </c:formatCode>
                <c:ptCount val="6"/>
                <c:pt idx="0">
                  <c:v>49344</c:v>
                </c:pt>
                <c:pt idx="1">
                  <c:v>30623</c:v>
                </c:pt>
                <c:pt idx="2">
                  <c:v>24337</c:v>
                </c:pt>
                <c:pt idx="3">
                  <c:v>33740</c:v>
                </c:pt>
                <c:pt idx="4">
                  <c:v>23912</c:v>
                </c:pt>
                <c:pt idx="5">
                  <c:v>29911</c:v>
                </c:pt>
              </c:numCache>
            </c:numRef>
          </c:val>
          <c:extLst xmlns:c16r2="http://schemas.microsoft.com/office/drawing/2015/06/chart">
            <c:ext xmlns:c16="http://schemas.microsoft.com/office/drawing/2014/chart" uri="{C3380CC4-5D6E-409C-BE32-E72D297353CC}">
              <c16:uniqueId val="{00000000-875B-441C-ABC6-B53E4FCCD289}"/>
            </c:ext>
          </c:extLst>
        </c:ser>
        <c:ser>
          <c:idx val="1"/>
          <c:order val="1"/>
          <c:tx>
            <c:v>女性</c:v>
          </c:tx>
          <c:invertIfNegative val="0"/>
          <c:cat>
            <c:strRef>
              <c:f>'長照(依性別與行政區域)-1'!$A$6:$A$11</c:f>
              <c:strCache>
                <c:ptCount val="6"/>
                <c:pt idx="0">
                  <c:v>新北市</c:v>
                </c:pt>
                <c:pt idx="1">
                  <c:v>臺北市</c:v>
                </c:pt>
                <c:pt idx="2">
                  <c:v>桃園市</c:v>
                </c:pt>
                <c:pt idx="3">
                  <c:v>臺中市</c:v>
                </c:pt>
                <c:pt idx="4">
                  <c:v>臺南市</c:v>
                </c:pt>
                <c:pt idx="5">
                  <c:v>高雄市</c:v>
                </c:pt>
              </c:strCache>
            </c:strRef>
          </c:cat>
          <c:val>
            <c:numRef>
              <c:f>'長照(依性別與行政區域)-1'!$E$6:$E$11</c:f>
              <c:numCache>
                <c:formatCode>#,##0_ </c:formatCode>
                <c:ptCount val="6"/>
                <c:pt idx="0">
                  <c:v>91209</c:v>
                </c:pt>
                <c:pt idx="1">
                  <c:v>56876</c:v>
                </c:pt>
                <c:pt idx="2">
                  <c:v>43083</c:v>
                </c:pt>
                <c:pt idx="3">
                  <c:v>61514</c:v>
                </c:pt>
                <c:pt idx="4">
                  <c:v>42343</c:v>
                </c:pt>
                <c:pt idx="5">
                  <c:v>57104</c:v>
                </c:pt>
              </c:numCache>
            </c:numRef>
          </c:val>
          <c:extLst xmlns:c16r2="http://schemas.microsoft.com/office/drawing/2015/06/chart">
            <c:ext xmlns:c16="http://schemas.microsoft.com/office/drawing/2014/chart" uri="{C3380CC4-5D6E-409C-BE32-E72D297353CC}">
              <c16:uniqueId val="{00000001-875B-441C-ABC6-B53E4FCCD289}"/>
            </c:ext>
          </c:extLst>
        </c:ser>
        <c:dLbls>
          <c:showLegendKey val="0"/>
          <c:showVal val="0"/>
          <c:showCatName val="0"/>
          <c:showSerName val="0"/>
          <c:showPercent val="0"/>
          <c:showBubbleSize val="0"/>
        </c:dLbls>
        <c:gapWidth val="150"/>
        <c:axId val="586995024"/>
        <c:axId val="586989536"/>
      </c:barChart>
      <c:catAx>
        <c:axId val="586995024"/>
        <c:scaling>
          <c:orientation val="minMax"/>
        </c:scaling>
        <c:delete val="0"/>
        <c:axPos val="b"/>
        <c:numFmt formatCode="General" sourceLinked="1"/>
        <c:majorTickMark val="out"/>
        <c:minorTickMark val="none"/>
        <c:tickLblPos val="nextTo"/>
        <c:crossAx val="586989536"/>
        <c:crosses val="autoZero"/>
        <c:auto val="1"/>
        <c:lblAlgn val="ctr"/>
        <c:lblOffset val="100"/>
        <c:noMultiLvlLbl val="0"/>
      </c:catAx>
      <c:valAx>
        <c:axId val="586989536"/>
        <c:scaling>
          <c:orientation val="minMax"/>
        </c:scaling>
        <c:delete val="0"/>
        <c:axPos val="l"/>
        <c:majorGridlines/>
        <c:numFmt formatCode="#,##0_ " sourceLinked="1"/>
        <c:majorTickMark val="out"/>
        <c:minorTickMark val="none"/>
        <c:tickLblPos val="nextTo"/>
        <c:crossAx val="586995024"/>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zh-TW" altLang="zh-TW" sz="1200" b="1" i="0" baseline="0">
                <a:latin typeface="標楷體" pitchFamily="65" charset="-120"/>
                <a:ea typeface="標楷體" pitchFamily="65" charset="-120"/>
              </a:rPr>
              <a:t>圖</a:t>
            </a:r>
            <a:r>
              <a:rPr lang="en-US" altLang="zh-TW" sz="1200" b="1" i="0" baseline="0">
                <a:latin typeface="標楷體" pitchFamily="65" charset="-120"/>
                <a:ea typeface="標楷體" pitchFamily="65" charset="-120"/>
              </a:rPr>
              <a:t>6-</a:t>
            </a:r>
            <a:r>
              <a:rPr lang="zh-TW" altLang="zh-TW" sz="1200" b="1" i="0" baseline="0">
                <a:latin typeface="標楷體" pitchFamily="65" charset="-120"/>
                <a:ea typeface="標楷體" pitchFamily="65" charset="-120"/>
              </a:rPr>
              <a:t>六直轄市長期照顧保險有效契約件數</a:t>
            </a:r>
            <a:r>
              <a:rPr lang="zh-TW" altLang="en-US" sz="1200" b="1" i="0" baseline="0">
                <a:latin typeface="標楷體" pitchFamily="65" charset="-120"/>
                <a:ea typeface="標楷體" pitchFamily="65" charset="-120"/>
              </a:rPr>
              <a:t>佔</a:t>
            </a:r>
            <a:r>
              <a:rPr lang="zh-TW" altLang="zh-TW" sz="1200" b="1" i="0" baseline="0">
                <a:latin typeface="標楷體" pitchFamily="65" charset="-120"/>
                <a:ea typeface="標楷體" pitchFamily="65" charset="-120"/>
              </a:rPr>
              <a:t>各市總人口比例</a:t>
            </a:r>
            <a:endParaRPr lang="en-US" altLang="zh-TW" sz="1200" b="1" i="0" baseline="0">
              <a:latin typeface="標楷體" pitchFamily="65" charset="-120"/>
              <a:ea typeface="標楷體" pitchFamily="65" charset="-12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en-US" altLang="zh-TW" sz="1200" b="1" i="0" baseline="0">
                <a:latin typeface="標楷體" pitchFamily="65" charset="-120"/>
                <a:ea typeface="標楷體" pitchFamily="65" charset="-120"/>
              </a:rPr>
              <a:t>(</a:t>
            </a:r>
            <a:r>
              <a:rPr lang="zh-TW" altLang="en-US" sz="1200" b="1" i="0" baseline="0">
                <a:latin typeface="標楷體" pitchFamily="65" charset="-120"/>
                <a:ea typeface="標楷體" pitchFamily="65" charset="-120"/>
              </a:rPr>
              <a:t>截至</a:t>
            </a:r>
            <a:r>
              <a:rPr lang="en-US" altLang="zh-TW" sz="1200" b="1" i="0" baseline="0">
                <a:latin typeface="標楷體" pitchFamily="65" charset="-120"/>
                <a:ea typeface="標楷體" pitchFamily="65" charset="-120"/>
              </a:rPr>
              <a:t>109</a:t>
            </a:r>
            <a:r>
              <a:rPr lang="zh-TW" altLang="en-US" sz="1200" b="1" i="0" baseline="0">
                <a:latin typeface="標楷體" pitchFamily="65" charset="-120"/>
                <a:ea typeface="標楷體" pitchFamily="65" charset="-120"/>
              </a:rPr>
              <a:t>年</a:t>
            </a:r>
            <a:r>
              <a:rPr lang="en-US" altLang="zh-TW" sz="1200" b="1" i="0" baseline="0">
                <a:latin typeface="標楷體" pitchFamily="65" charset="-120"/>
                <a:ea typeface="標楷體" pitchFamily="65" charset="-120"/>
              </a:rPr>
              <a:t>6</a:t>
            </a:r>
            <a:r>
              <a:rPr lang="zh-TW" altLang="en-US" sz="1200" b="1" i="0" baseline="0">
                <a:latin typeface="標楷體" pitchFamily="65" charset="-120"/>
                <a:ea typeface="標楷體" pitchFamily="65" charset="-120"/>
              </a:rPr>
              <a:t>月底</a:t>
            </a:r>
            <a:r>
              <a:rPr lang="en-US" altLang="zh-TW" sz="1200" b="1" i="0" baseline="0">
                <a:latin typeface="標楷體" pitchFamily="65" charset="-120"/>
                <a:ea typeface="標楷體" pitchFamily="65" charset="-120"/>
              </a:rPr>
              <a:t>)</a:t>
            </a:r>
            <a:endParaRPr lang="zh-TW" altLang="zh-TW" sz="1200" b="1" i="0" baseline="0">
              <a:latin typeface="標楷體" pitchFamily="65" charset="-120"/>
              <a:ea typeface="標楷體" pitchFamily="65" charset="-120"/>
            </a:endParaRPr>
          </a:p>
        </c:rich>
      </c:tx>
      <c:overlay val="0"/>
    </c:title>
    <c:autoTitleDeleted val="0"/>
    <c:plotArea>
      <c:layout/>
      <c:lineChart>
        <c:grouping val="standard"/>
        <c:varyColors val="0"/>
        <c:ser>
          <c:idx val="0"/>
          <c:order val="0"/>
          <c:tx>
            <c:v>男性</c:v>
          </c:tx>
          <c:marker>
            <c:symbol val="square"/>
            <c:size val="4"/>
          </c:marker>
          <c:cat>
            <c:strRef>
              <c:f>'長照(依性別與行政區域)-1'!$A$6:$A$11</c:f>
              <c:strCache>
                <c:ptCount val="6"/>
                <c:pt idx="0">
                  <c:v>新北市</c:v>
                </c:pt>
                <c:pt idx="1">
                  <c:v>臺北市</c:v>
                </c:pt>
                <c:pt idx="2">
                  <c:v>桃園市</c:v>
                </c:pt>
                <c:pt idx="3">
                  <c:v>臺中市</c:v>
                </c:pt>
                <c:pt idx="4">
                  <c:v>臺南市</c:v>
                </c:pt>
                <c:pt idx="5">
                  <c:v>高雄市</c:v>
                </c:pt>
              </c:strCache>
            </c:strRef>
          </c:cat>
          <c:val>
            <c:numRef>
              <c:f>'長照(依性別與行政區域)-1'!$D$6:$D$11</c:f>
              <c:numCache>
                <c:formatCode>0.00%</c:formatCode>
                <c:ptCount val="6"/>
                <c:pt idx="0">
                  <c:v>2.5089055367371823E-2</c:v>
                </c:pt>
                <c:pt idx="1">
                  <c:v>2.4512950887646906E-2</c:v>
                </c:pt>
                <c:pt idx="2">
                  <c:v>2.1734412745759078E-2</c:v>
                </c:pt>
                <c:pt idx="3">
                  <c:v>2.4374104211937676E-2</c:v>
                </c:pt>
                <c:pt idx="4">
                  <c:v>2.5560198264702832E-2</c:v>
                </c:pt>
                <c:pt idx="5">
                  <c:v>2.1863759198224059E-2</c:v>
                </c:pt>
              </c:numCache>
            </c:numRef>
          </c:val>
          <c:smooth val="0"/>
          <c:extLst xmlns:c16r2="http://schemas.microsoft.com/office/drawing/2015/06/chart">
            <c:ext xmlns:c16="http://schemas.microsoft.com/office/drawing/2014/chart" uri="{C3380CC4-5D6E-409C-BE32-E72D297353CC}">
              <c16:uniqueId val="{00000000-2A24-4A59-A906-E8E769E2C23C}"/>
            </c:ext>
          </c:extLst>
        </c:ser>
        <c:ser>
          <c:idx val="1"/>
          <c:order val="1"/>
          <c:tx>
            <c:v>女性</c:v>
          </c:tx>
          <c:marker>
            <c:symbol val="square"/>
            <c:size val="4"/>
            <c:spPr>
              <a:ln>
                <a:solidFill>
                  <a:srgbClr val="FF0000"/>
                </a:solidFill>
              </a:ln>
            </c:spPr>
          </c:marker>
          <c:cat>
            <c:strRef>
              <c:f>'長照(依性別與行政區域)-1'!$A$6:$A$11</c:f>
              <c:strCache>
                <c:ptCount val="6"/>
                <c:pt idx="0">
                  <c:v>新北市</c:v>
                </c:pt>
                <c:pt idx="1">
                  <c:v>臺北市</c:v>
                </c:pt>
                <c:pt idx="2">
                  <c:v>桃園市</c:v>
                </c:pt>
                <c:pt idx="3">
                  <c:v>臺中市</c:v>
                </c:pt>
                <c:pt idx="4">
                  <c:v>臺南市</c:v>
                </c:pt>
                <c:pt idx="5">
                  <c:v>高雄市</c:v>
                </c:pt>
              </c:strCache>
            </c:strRef>
          </c:cat>
          <c:val>
            <c:numRef>
              <c:f>'長照(依性別與行政區域)-1'!$G$6:$G$11</c:f>
              <c:numCache>
                <c:formatCode>0.00%</c:formatCode>
                <c:ptCount val="6"/>
                <c:pt idx="0">
                  <c:v>4.4278534991154875E-2</c:v>
                </c:pt>
                <c:pt idx="1">
                  <c:v>4.136782349069195E-2</c:v>
                </c:pt>
                <c:pt idx="2">
                  <c:v>3.784675065928525E-2</c:v>
                </c:pt>
                <c:pt idx="3">
                  <c:v>4.293688458051137E-2</c:v>
                </c:pt>
                <c:pt idx="4">
                  <c:v>4.4932266807021413E-2</c:v>
                </c:pt>
                <c:pt idx="5">
                  <c:v>4.0678651899901906E-2</c:v>
                </c:pt>
              </c:numCache>
            </c:numRef>
          </c:val>
          <c:smooth val="0"/>
          <c:extLst xmlns:c16r2="http://schemas.microsoft.com/office/drawing/2015/06/chart">
            <c:ext xmlns:c16="http://schemas.microsoft.com/office/drawing/2014/chart" uri="{C3380CC4-5D6E-409C-BE32-E72D297353CC}">
              <c16:uniqueId val="{00000001-2A24-4A59-A906-E8E769E2C23C}"/>
            </c:ext>
          </c:extLst>
        </c:ser>
        <c:ser>
          <c:idx val="2"/>
          <c:order val="2"/>
          <c:tx>
            <c:v>男女合計</c:v>
          </c:tx>
          <c:marker>
            <c:symbol val="square"/>
            <c:size val="4"/>
          </c:marker>
          <c:val>
            <c:numRef>
              <c:f>'長照(依性別與行政區域)-1'!$J$6:$J$11</c:f>
              <c:numCache>
                <c:formatCode>0.00%</c:formatCode>
                <c:ptCount val="6"/>
                <c:pt idx="0">
                  <c:v>3.4905725509518343E-2</c:v>
                </c:pt>
                <c:pt idx="1">
                  <c:v>3.3343838350272832E-2</c:v>
                </c:pt>
                <c:pt idx="2">
                  <c:v>2.9856972612803956E-2</c:v>
                </c:pt>
                <c:pt idx="3">
                  <c:v>3.3814982834070015E-2</c:v>
                </c:pt>
                <c:pt idx="4">
                  <c:v>3.5281600476278978E-2</c:v>
                </c:pt>
                <c:pt idx="5">
                  <c:v>3.1392436664951805E-2</c:v>
                </c:pt>
              </c:numCache>
            </c:numRef>
          </c:val>
          <c:smooth val="0"/>
          <c:extLst xmlns:c16r2="http://schemas.microsoft.com/office/drawing/2015/06/chart">
            <c:ext xmlns:c16="http://schemas.microsoft.com/office/drawing/2014/chart" uri="{C3380CC4-5D6E-409C-BE32-E72D297353CC}">
              <c16:uniqueId val="{00000002-2A24-4A59-A906-E8E769E2C23C}"/>
            </c:ext>
          </c:extLst>
        </c:ser>
        <c:dLbls>
          <c:showLegendKey val="0"/>
          <c:showVal val="0"/>
          <c:showCatName val="0"/>
          <c:showSerName val="0"/>
          <c:showPercent val="0"/>
          <c:showBubbleSize val="0"/>
        </c:dLbls>
        <c:marker val="1"/>
        <c:smooth val="0"/>
        <c:axId val="630484272"/>
        <c:axId val="630491328"/>
      </c:lineChart>
      <c:catAx>
        <c:axId val="630484272"/>
        <c:scaling>
          <c:orientation val="minMax"/>
        </c:scaling>
        <c:delete val="0"/>
        <c:axPos val="b"/>
        <c:numFmt formatCode="General" sourceLinked="1"/>
        <c:majorTickMark val="out"/>
        <c:minorTickMark val="none"/>
        <c:tickLblPos val="nextTo"/>
        <c:crossAx val="630491328"/>
        <c:crosses val="autoZero"/>
        <c:auto val="1"/>
        <c:lblAlgn val="ctr"/>
        <c:lblOffset val="100"/>
        <c:noMultiLvlLbl val="0"/>
      </c:catAx>
      <c:valAx>
        <c:axId val="630491328"/>
        <c:scaling>
          <c:orientation val="minMax"/>
        </c:scaling>
        <c:delete val="0"/>
        <c:axPos val="l"/>
        <c:majorGridlines/>
        <c:numFmt formatCode="0.00%" sourceLinked="1"/>
        <c:majorTickMark val="out"/>
        <c:minorTickMark val="none"/>
        <c:tickLblPos val="nextTo"/>
        <c:crossAx val="630484272"/>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zh-TW" altLang="zh-TW" sz="1200" b="1" i="0" baseline="0">
                <a:effectLst/>
              </a:rPr>
              <a:t>圖</a:t>
            </a:r>
            <a:r>
              <a:rPr lang="en-US" altLang="zh-TW" sz="1200" b="1" i="0" baseline="0">
                <a:effectLst/>
              </a:rPr>
              <a:t>7-</a:t>
            </a:r>
            <a:r>
              <a:rPr lang="zh-TW" altLang="zh-TW" sz="1200" b="1" i="0" baseline="0">
                <a:effectLst/>
              </a:rPr>
              <a:t>十六縣市長期照顧保險有效契約件數</a:t>
            </a:r>
            <a:r>
              <a:rPr lang="en-US" altLang="zh-TW" sz="1200" b="1" i="0" baseline="0">
                <a:effectLst/>
              </a:rPr>
              <a:t>(</a:t>
            </a:r>
            <a:r>
              <a:rPr lang="zh-TW" altLang="zh-TW" sz="1200" b="1" i="0" baseline="0">
                <a:effectLst/>
              </a:rPr>
              <a:t>截至</a:t>
            </a:r>
            <a:r>
              <a:rPr lang="en-US" altLang="zh-TW" sz="1200" b="1" i="0" baseline="0">
                <a:effectLst/>
              </a:rPr>
              <a:t>109</a:t>
            </a:r>
            <a:r>
              <a:rPr lang="zh-TW" altLang="zh-TW" sz="1200" b="1" i="0" baseline="0">
                <a:effectLst/>
              </a:rPr>
              <a:t>年</a:t>
            </a:r>
            <a:r>
              <a:rPr lang="en-US" altLang="zh-TW" sz="1200" b="1" i="0" baseline="0">
                <a:effectLst/>
              </a:rPr>
              <a:t>6</a:t>
            </a:r>
            <a:r>
              <a:rPr lang="zh-TW" altLang="zh-TW" sz="1200" b="1" i="0" baseline="0">
                <a:effectLst/>
              </a:rPr>
              <a:t>月底</a:t>
            </a:r>
            <a:r>
              <a:rPr lang="en-US" altLang="zh-TW" sz="1200" b="1" i="0" baseline="0">
                <a:effectLst/>
              </a:rPr>
              <a:t>)</a:t>
            </a:r>
            <a:endParaRPr lang="zh-TW" altLang="zh-TW" sz="1200">
              <a:effectLst/>
            </a:endParaRPr>
          </a:p>
        </c:rich>
      </c:tx>
      <c:layout>
        <c:manualLayout>
          <c:xMode val="edge"/>
          <c:yMode val="edge"/>
          <c:x val="0.19982614748379529"/>
          <c:y val="3.9034817913385857E-3"/>
        </c:manualLayout>
      </c:layout>
      <c:overlay val="0"/>
    </c:title>
    <c:autoTitleDeleted val="0"/>
    <c:plotArea>
      <c:layout>
        <c:manualLayout>
          <c:layoutTarget val="inner"/>
          <c:xMode val="edge"/>
          <c:yMode val="edge"/>
          <c:x val="0.11789667866532247"/>
          <c:y val="9.6653235728346457E-2"/>
          <c:w val="0.87212461173210376"/>
          <c:h val="0.66811331200787405"/>
        </c:manualLayout>
      </c:layout>
      <c:barChart>
        <c:barDir val="col"/>
        <c:grouping val="clustered"/>
        <c:varyColors val="0"/>
        <c:ser>
          <c:idx val="0"/>
          <c:order val="0"/>
          <c:tx>
            <c:v>男性</c:v>
          </c:tx>
          <c:invertIfNegative val="0"/>
          <c:cat>
            <c:strRef>
              <c:f>'長照(依性別與行政區域)-1'!$A$12:$A$27</c:f>
              <c:strCache>
                <c:ptCount val="16"/>
                <c:pt idx="0">
                  <c:v>宜蘭縣</c:v>
                </c:pt>
                <c:pt idx="1">
                  <c:v>新竹縣</c:v>
                </c:pt>
                <c:pt idx="2">
                  <c:v>苗栗縣</c:v>
                </c:pt>
                <c:pt idx="3">
                  <c:v>彰化縣</c:v>
                </c:pt>
                <c:pt idx="4">
                  <c:v>南投縣</c:v>
                </c:pt>
                <c:pt idx="5">
                  <c:v>雲林縣</c:v>
                </c:pt>
                <c:pt idx="6">
                  <c:v>嘉義縣</c:v>
                </c:pt>
                <c:pt idx="7">
                  <c:v>屏東縣</c:v>
                </c:pt>
                <c:pt idx="8">
                  <c:v>臺東縣</c:v>
                </c:pt>
                <c:pt idx="9">
                  <c:v>花蓮縣</c:v>
                </c:pt>
                <c:pt idx="10">
                  <c:v>澎湖縣</c:v>
                </c:pt>
                <c:pt idx="11">
                  <c:v>基隆市</c:v>
                </c:pt>
                <c:pt idx="12">
                  <c:v>新竹市</c:v>
                </c:pt>
                <c:pt idx="13">
                  <c:v>嘉義市</c:v>
                </c:pt>
                <c:pt idx="14">
                  <c:v>金門縣</c:v>
                </c:pt>
                <c:pt idx="15">
                  <c:v>連江縣</c:v>
                </c:pt>
              </c:strCache>
            </c:strRef>
          </c:cat>
          <c:val>
            <c:numRef>
              <c:f>'長照(依性別與行政區域)-1'!$B$12:$B$27</c:f>
              <c:numCache>
                <c:formatCode>#,##0_ </c:formatCode>
                <c:ptCount val="16"/>
                <c:pt idx="0">
                  <c:v>8106</c:v>
                </c:pt>
                <c:pt idx="1">
                  <c:v>5647</c:v>
                </c:pt>
                <c:pt idx="2">
                  <c:v>5515</c:v>
                </c:pt>
                <c:pt idx="3">
                  <c:v>16306</c:v>
                </c:pt>
                <c:pt idx="4">
                  <c:v>4537</c:v>
                </c:pt>
                <c:pt idx="5">
                  <c:v>7026</c:v>
                </c:pt>
                <c:pt idx="6">
                  <c:v>4776</c:v>
                </c:pt>
                <c:pt idx="7">
                  <c:v>7494</c:v>
                </c:pt>
                <c:pt idx="8">
                  <c:v>1964</c:v>
                </c:pt>
                <c:pt idx="9">
                  <c:v>2855</c:v>
                </c:pt>
                <c:pt idx="10">
                  <c:v>734</c:v>
                </c:pt>
                <c:pt idx="11">
                  <c:v>3673</c:v>
                </c:pt>
                <c:pt idx="12">
                  <c:v>4818</c:v>
                </c:pt>
                <c:pt idx="13">
                  <c:v>2539</c:v>
                </c:pt>
                <c:pt idx="14">
                  <c:v>688</c:v>
                </c:pt>
                <c:pt idx="15">
                  <c:v>93</c:v>
                </c:pt>
              </c:numCache>
            </c:numRef>
          </c:val>
          <c:extLst xmlns:c16r2="http://schemas.microsoft.com/office/drawing/2015/06/chart">
            <c:ext xmlns:c16="http://schemas.microsoft.com/office/drawing/2014/chart" uri="{C3380CC4-5D6E-409C-BE32-E72D297353CC}">
              <c16:uniqueId val="{00000000-EBAA-4EDC-B704-2916082B30F3}"/>
            </c:ext>
          </c:extLst>
        </c:ser>
        <c:ser>
          <c:idx val="1"/>
          <c:order val="1"/>
          <c:tx>
            <c:v>女性</c:v>
          </c:tx>
          <c:invertIfNegative val="0"/>
          <c:cat>
            <c:strRef>
              <c:f>'長照(依性別與行政區域)-1'!$A$12:$A$27</c:f>
              <c:strCache>
                <c:ptCount val="16"/>
                <c:pt idx="0">
                  <c:v>宜蘭縣</c:v>
                </c:pt>
                <c:pt idx="1">
                  <c:v>新竹縣</c:v>
                </c:pt>
                <c:pt idx="2">
                  <c:v>苗栗縣</c:v>
                </c:pt>
                <c:pt idx="3">
                  <c:v>彰化縣</c:v>
                </c:pt>
                <c:pt idx="4">
                  <c:v>南投縣</c:v>
                </c:pt>
                <c:pt idx="5">
                  <c:v>雲林縣</c:v>
                </c:pt>
                <c:pt idx="6">
                  <c:v>嘉義縣</c:v>
                </c:pt>
                <c:pt idx="7">
                  <c:v>屏東縣</c:v>
                </c:pt>
                <c:pt idx="8">
                  <c:v>臺東縣</c:v>
                </c:pt>
                <c:pt idx="9">
                  <c:v>花蓮縣</c:v>
                </c:pt>
                <c:pt idx="10">
                  <c:v>澎湖縣</c:v>
                </c:pt>
                <c:pt idx="11">
                  <c:v>基隆市</c:v>
                </c:pt>
                <c:pt idx="12">
                  <c:v>新竹市</c:v>
                </c:pt>
                <c:pt idx="13">
                  <c:v>嘉義市</c:v>
                </c:pt>
                <c:pt idx="14">
                  <c:v>金門縣</c:v>
                </c:pt>
                <c:pt idx="15">
                  <c:v>連江縣</c:v>
                </c:pt>
              </c:strCache>
            </c:strRef>
          </c:cat>
          <c:val>
            <c:numRef>
              <c:f>'長照(依性別與行政區域)-1'!$E$12:$E$27</c:f>
              <c:numCache>
                <c:formatCode>#,##0_ </c:formatCode>
                <c:ptCount val="16"/>
                <c:pt idx="0">
                  <c:v>15198</c:v>
                </c:pt>
                <c:pt idx="1">
                  <c:v>9316</c:v>
                </c:pt>
                <c:pt idx="2">
                  <c:v>9665</c:v>
                </c:pt>
                <c:pt idx="3">
                  <c:v>28904</c:v>
                </c:pt>
                <c:pt idx="4">
                  <c:v>8274</c:v>
                </c:pt>
                <c:pt idx="5">
                  <c:v>11418</c:v>
                </c:pt>
                <c:pt idx="6">
                  <c:v>7720</c:v>
                </c:pt>
                <c:pt idx="7">
                  <c:v>15140</c:v>
                </c:pt>
                <c:pt idx="8">
                  <c:v>3809</c:v>
                </c:pt>
                <c:pt idx="9">
                  <c:v>5226</c:v>
                </c:pt>
                <c:pt idx="10">
                  <c:v>1562</c:v>
                </c:pt>
                <c:pt idx="11">
                  <c:v>7046</c:v>
                </c:pt>
                <c:pt idx="12">
                  <c:v>8136</c:v>
                </c:pt>
                <c:pt idx="13">
                  <c:v>4894</c:v>
                </c:pt>
                <c:pt idx="14">
                  <c:v>1045</c:v>
                </c:pt>
                <c:pt idx="15">
                  <c:v>98</c:v>
                </c:pt>
              </c:numCache>
            </c:numRef>
          </c:val>
          <c:extLst xmlns:c16r2="http://schemas.microsoft.com/office/drawing/2015/06/chart">
            <c:ext xmlns:c16="http://schemas.microsoft.com/office/drawing/2014/chart" uri="{C3380CC4-5D6E-409C-BE32-E72D297353CC}">
              <c16:uniqueId val="{00000001-EBAA-4EDC-B704-2916082B30F3}"/>
            </c:ext>
          </c:extLst>
        </c:ser>
        <c:dLbls>
          <c:showLegendKey val="0"/>
          <c:showVal val="0"/>
          <c:showCatName val="0"/>
          <c:showSerName val="0"/>
          <c:showPercent val="0"/>
          <c:showBubbleSize val="0"/>
        </c:dLbls>
        <c:gapWidth val="150"/>
        <c:axId val="630490936"/>
        <c:axId val="630492112"/>
      </c:barChart>
      <c:catAx>
        <c:axId val="630490936"/>
        <c:scaling>
          <c:orientation val="minMax"/>
        </c:scaling>
        <c:delete val="0"/>
        <c:axPos val="b"/>
        <c:numFmt formatCode="General" sourceLinked="1"/>
        <c:majorTickMark val="out"/>
        <c:minorTickMark val="none"/>
        <c:tickLblPos val="nextTo"/>
        <c:crossAx val="630492112"/>
        <c:crosses val="autoZero"/>
        <c:auto val="1"/>
        <c:lblAlgn val="ctr"/>
        <c:lblOffset val="100"/>
        <c:noMultiLvlLbl val="0"/>
      </c:catAx>
      <c:valAx>
        <c:axId val="630492112"/>
        <c:scaling>
          <c:orientation val="minMax"/>
        </c:scaling>
        <c:delete val="0"/>
        <c:axPos val="l"/>
        <c:majorGridlines/>
        <c:numFmt formatCode="#,##0_ " sourceLinked="1"/>
        <c:majorTickMark val="out"/>
        <c:minorTickMark val="none"/>
        <c:tickLblPos val="nextTo"/>
        <c:crossAx val="630490936"/>
        <c:crosses val="autoZero"/>
        <c:crossBetween val="between"/>
      </c:valAx>
      <c:dTable>
        <c:showHorzBorder val="1"/>
        <c:showVertBorder val="1"/>
        <c:showOutline val="1"/>
        <c:showKeys val="1"/>
        <c:txPr>
          <a:bodyPr/>
          <a:lstStyle/>
          <a:p>
            <a:pPr rtl="0">
              <a:defRPr sz="900"/>
            </a:pPr>
            <a:endParaRPr lang="zh-TW"/>
          </a:p>
        </c:txPr>
      </c:dTable>
    </c:plotArea>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zh-TW" altLang="zh-TW" sz="1200" b="1" i="0" baseline="0">
                <a:latin typeface="標楷體" pitchFamily="65" charset="-120"/>
                <a:ea typeface="標楷體" pitchFamily="65" charset="-120"/>
              </a:rPr>
              <a:t>圖</a:t>
            </a:r>
            <a:r>
              <a:rPr lang="en-US" altLang="zh-TW" sz="1200" b="1" i="0" baseline="0">
                <a:latin typeface="標楷體" pitchFamily="65" charset="-120"/>
                <a:ea typeface="標楷體" pitchFamily="65" charset="-120"/>
              </a:rPr>
              <a:t>8-</a:t>
            </a:r>
            <a:r>
              <a:rPr lang="zh-TW" altLang="zh-TW" sz="1200" b="1" i="0" baseline="0">
                <a:latin typeface="標楷體" pitchFamily="65" charset="-120"/>
                <a:ea typeface="標楷體" pitchFamily="65" charset="-120"/>
              </a:rPr>
              <a:t>十六縣市長期照顧保險有效契約佔各縣市人口比例</a:t>
            </a:r>
            <a:endParaRPr lang="zh-TW" altLang="zh-TW" sz="1200">
              <a:latin typeface="標楷體" pitchFamily="65" charset="-120"/>
              <a:ea typeface="標楷體" pitchFamily="65" charset="-120"/>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標楷體" pitchFamily="65" charset="-120"/>
                <a:ea typeface="標楷體" pitchFamily="65" charset="-120"/>
                <a:cs typeface="+mn-cs"/>
              </a:defRPr>
            </a:pPr>
            <a:r>
              <a:rPr lang="en-US" altLang="zh-TW" sz="1200" b="1" i="0" baseline="0">
                <a:latin typeface="標楷體" pitchFamily="65" charset="-120"/>
                <a:ea typeface="標楷體" pitchFamily="65" charset="-120"/>
              </a:rPr>
              <a:t>(</a:t>
            </a:r>
            <a:r>
              <a:rPr lang="zh-TW" altLang="zh-TW" sz="1200" b="1" i="0" baseline="0">
                <a:latin typeface="標楷體" pitchFamily="65" charset="-120"/>
                <a:ea typeface="標楷體" pitchFamily="65" charset="-120"/>
              </a:rPr>
              <a:t>截至</a:t>
            </a:r>
            <a:r>
              <a:rPr lang="en-US" altLang="zh-TW" sz="1200" b="1" i="0" baseline="0">
                <a:latin typeface="標楷體" pitchFamily="65" charset="-120"/>
                <a:ea typeface="標楷體" pitchFamily="65" charset="-120"/>
              </a:rPr>
              <a:t>109</a:t>
            </a:r>
            <a:r>
              <a:rPr lang="zh-TW" altLang="zh-TW" sz="1200" b="1" i="0" baseline="0">
                <a:latin typeface="標楷體" pitchFamily="65" charset="-120"/>
                <a:ea typeface="標楷體" pitchFamily="65" charset="-120"/>
              </a:rPr>
              <a:t>年</a:t>
            </a:r>
            <a:r>
              <a:rPr lang="en-US" altLang="zh-TW" sz="1200" b="1" i="0" baseline="0">
                <a:latin typeface="標楷體" pitchFamily="65" charset="-120"/>
                <a:ea typeface="標楷體" pitchFamily="65" charset="-120"/>
              </a:rPr>
              <a:t>6</a:t>
            </a:r>
            <a:r>
              <a:rPr lang="zh-TW" altLang="zh-TW" sz="1200" b="1" i="0" baseline="0">
                <a:latin typeface="標楷體" pitchFamily="65" charset="-120"/>
                <a:ea typeface="標楷體" pitchFamily="65" charset="-120"/>
              </a:rPr>
              <a:t>月底</a:t>
            </a:r>
            <a:r>
              <a:rPr lang="en-US" altLang="zh-TW" sz="1200" b="1" i="0" baseline="0">
                <a:latin typeface="標楷體" pitchFamily="65" charset="-120"/>
                <a:ea typeface="標楷體" pitchFamily="65" charset="-120"/>
              </a:rPr>
              <a:t>)</a:t>
            </a:r>
            <a:endParaRPr lang="zh-TW" altLang="zh-TW" sz="1200" b="1" i="0" baseline="0">
              <a:latin typeface="標楷體" pitchFamily="65" charset="-120"/>
              <a:ea typeface="標楷體" pitchFamily="65" charset="-120"/>
            </a:endParaRPr>
          </a:p>
        </c:rich>
      </c:tx>
      <c:overlay val="0"/>
    </c:title>
    <c:autoTitleDeleted val="0"/>
    <c:plotArea>
      <c:layout/>
      <c:lineChart>
        <c:grouping val="standard"/>
        <c:varyColors val="0"/>
        <c:ser>
          <c:idx val="0"/>
          <c:order val="0"/>
          <c:tx>
            <c:v>男性</c:v>
          </c:tx>
          <c:marker>
            <c:symbol val="square"/>
            <c:size val="4"/>
          </c:marker>
          <c:cat>
            <c:strRef>
              <c:f>'長照(依性別與行政區域)-1'!$A$12:$A$27</c:f>
              <c:strCache>
                <c:ptCount val="16"/>
                <c:pt idx="0">
                  <c:v>宜蘭縣</c:v>
                </c:pt>
                <c:pt idx="1">
                  <c:v>新竹縣</c:v>
                </c:pt>
                <c:pt idx="2">
                  <c:v>苗栗縣</c:v>
                </c:pt>
                <c:pt idx="3">
                  <c:v>彰化縣</c:v>
                </c:pt>
                <c:pt idx="4">
                  <c:v>南投縣</c:v>
                </c:pt>
                <c:pt idx="5">
                  <c:v>雲林縣</c:v>
                </c:pt>
                <c:pt idx="6">
                  <c:v>嘉義縣</c:v>
                </c:pt>
                <c:pt idx="7">
                  <c:v>屏東縣</c:v>
                </c:pt>
                <c:pt idx="8">
                  <c:v>臺東縣</c:v>
                </c:pt>
                <c:pt idx="9">
                  <c:v>花蓮縣</c:v>
                </c:pt>
                <c:pt idx="10">
                  <c:v>澎湖縣</c:v>
                </c:pt>
                <c:pt idx="11">
                  <c:v>基隆市</c:v>
                </c:pt>
                <c:pt idx="12">
                  <c:v>新竹市</c:v>
                </c:pt>
                <c:pt idx="13">
                  <c:v>嘉義市</c:v>
                </c:pt>
                <c:pt idx="14">
                  <c:v>金門縣</c:v>
                </c:pt>
                <c:pt idx="15">
                  <c:v>連江縣</c:v>
                </c:pt>
              </c:strCache>
            </c:strRef>
          </c:cat>
          <c:val>
            <c:numRef>
              <c:f>'長照(依性別與行政區域)-1'!$D$12:$D$27</c:f>
              <c:numCache>
                <c:formatCode>0.00%</c:formatCode>
                <c:ptCount val="16"/>
                <c:pt idx="0">
                  <c:v>3.5416866922411458E-2</c:v>
                </c:pt>
                <c:pt idx="1">
                  <c:v>1.9522634086304769E-2</c:v>
                </c:pt>
                <c:pt idx="2">
                  <c:v>1.9658515719683467E-2</c:v>
                </c:pt>
                <c:pt idx="3">
                  <c:v>2.5255130093502526E-2</c:v>
                </c:pt>
                <c:pt idx="4">
                  <c:v>1.8012474144536508E-2</c:v>
                </c:pt>
                <c:pt idx="5">
                  <c:v>1.9987482931269913E-2</c:v>
                </c:pt>
                <c:pt idx="6">
                  <c:v>1.8363439223014279E-2</c:v>
                </c:pt>
                <c:pt idx="7">
                  <c:v>1.8022307836601591E-2</c:v>
                </c:pt>
                <c:pt idx="8">
                  <c:v>1.7679836524525823E-2</c:v>
                </c:pt>
                <c:pt idx="9">
                  <c:v>1.7352669454439366E-2</c:v>
                </c:pt>
                <c:pt idx="10">
                  <c:v>1.3569725092899004E-2</c:v>
                </c:pt>
                <c:pt idx="11">
                  <c:v>1.9978243132988849E-2</c:v>
                </c:pt>
                <c:pt idx="12">
                  <c:v>2.1706418215730619E-2</c:v>
                </c:pt>
                <c:pt idx="13">
                  <c:v>1.9627548141219399E-2</c:v>
                </c:pt>
                <c:pt idx="14">
                  <c:v>9.8778194139351912E-3</c:v>
                </c:pt>
                <c:pt idx="15">
                  <c:v>1.2433155080213905E-2</c:v>
                </c:pt>
              </c:numCache>
            </c:numRef>
          </c:val>
          <c:smooth val="0"/>
          <c:extLst xmlns:c16r2="http://schemas.microsoft.com/office/drawing/2015/06/chart">
            <c:ext xmlns:c16="http://schemas.microsoft.com/office/drawing/2014/chart" uri="{C3380CC4-5D6E-409C-BE32-E72D297353CC}">
              <c16:uniqueId val="{00000000-9103-41A4-811E-7AD117AD958B}"/>
            </c:ext>
          </c:extLst>
        </c:ser>
        <c:ser>
          <c:idx val="1"/>
          <c:order val="1"/>
          <c:tx>
            <c:v>女性</c:v>
          </c:tx>
          <c:marker>
            <c:symbol val="square"/>
            <c:size val="4"/>
            <c:spPr>
              <a:ln w="0">
                <a:solidFill>
                  <a:srgbClr val="FF0000"/>
                </a:solidFill>
              </a:ln>
            </c:spPr>
          </c:marker>
          <c:cat>
            <c:strRef>
              <c:f>'長照(依性別與行政區域)-1'!$A$12:$A$27</c:f>
              <c:strCache>
                <c:ptCount val="16"/>
                <c:pt idx="0">
                  <c:v>宜蘭縣</c:v>
                </c:pt>
                <c:pt idx="1">
                  <c:v>新竹縣</c:v>
                </c:pt>
                <c:pt idx="2">
                  <c:v>苗栗縣</c:v>
                </c:pt>
                <c:pt idx="3">
                  <c:v>彰化縣</c:v>
                </c:pt>
                <c:pt idx="4">
                  <c:v>南投縣</c:v>
                </c:pt>
                <c:pt idx="5">
                  <c:v>雲林縣</c:v>
                </c:pt>
                <c:pt idx="6">
                  <c:v>嘉義縣</c:v>
                </c:pt>
                <c:pt idx="7">
                  <c:v>屏東縣</c:v>
                </c:pt>
                <c:pt idx="8">
                  <c:v>臺東縣</c:v>
                </c:pt>
                <c:pt idx="9">
                  <c:v>花蓮縣</c:v>
                </c:pt>
                <c:pt idx="10">
                  <c:v>澎湖縣</c:v>
                </c:pt>
                <c:pt idx="11">
                  <c:v>基隆市</c:v>
                </c:pt>
                <c:pt idx="12">
                  <c:v>新竹市</c:v>
                </c:pt>
                <c:pt idx="13">
                  <c:v>嘉義市</c:v>
                </c:pt>
                <c:pt idx="14">
                  <c:v>金門縣</c:v>
                </c:pt>
                <c:pt idx="15">
                  <c:v>連江縣</c:v>
                </c:pt>
              </c:strCache>
            </c:strRef>
          </c:cat>
          <c:val>
            <c:numRef>
              <c:f>'長照(依性別與行政區域)-1'!$G$12:$G$27</c:f>
              <c:numCache>
                <c:formatCode>0.00%</c:formatCode>
                <c:ptCount val="16"/>
                <c:pt idx="0">
                  <c:v>6.7541563526311341E-2</c:v>
                </c:pt>
                <c:pt idx="1">
                  <c:v>3.3541678668126046E-2</c:v>
                </c:pt>
                <c:pt idx="2">
                  <c:v>3.6666097611866691E-2</c:v>
                </c:pt>
                <c:pt idx="3">
                  <c:v>4.6310122728874935E-2</c:v>
                </c:pt>
                <c:pt idx="4">
                  <c:v>3.435304668427084E-2</c:v>
                </c:pt>
                <c:pt idx="5">
                  <c:v>3.4837209728057407E-2</c:v>
                </c:pt>
                <c:pt idx="6">
                  <c:v>3.2015925019698917E-2</c:v>
                </c:pt>
                <c:pt idx="7">
                  <c:v>3.7852744323963489E-2</c:v>
                </c:pt>
                <c:pt idx="8">
                  <c:v>3.6327048343871897E-2</c:v>
                </c:pt>
                <c:pt idx="9">
                  <c:v>3.251152460760344E-2</c:v>
                </c:pt>
                <c:pt idx="10">
                  <c:v>3.0665331684237393E-2</c:v>
                </c:pt>
                <c:pt idx="11">
                  <c:v>3.8152893143742081E-2</c:v>
                </c:pt>
                <c:pt idx="12">
                  <c:v>3.5674978843194087E-2</c:v>
                </c:pt>
                <c:pt idx="13">
                  <c:v>3.5547485019066641E-2</c:v>
                </c:pt>
                <c:pt idx="14">
                  <c:v>1.4942019245892732E-2</c:v>
                </c:pt>
                <c:pt idx="15">
                  <c:v>1.7597414257496856E-2</c:v>
                </c:pt>
              </c:numCache>
            </c:numRef>
          </c:val>
          <c:smooth val="0"/>
          <c:extLst xmlns:c16r2="http://schemas.microsoft.com/office/drawing/2015/06/chart">
            <c:ext xmlns:c16="http://schemas.microsoft.com/office/drawing/2014/chart" uri="{C3380CC4-5D6E-409C-BE32-E72D297353CC}">
              <c16:uniqueId val="{00000001-9103-41A4-811E-7AD117AD958B}"/>
            </c:ext>
          </c:extLst>
        </c:ser>
        <c:ser>
          <c:idx val="2"/>
          <c:order val="2"/>
          <c:tx>
            <c:v>男女合計</c:v>
          </c:tx>
          <c:marker>
            <c:symbol val="square"/>
            <c:size val="4"/>
          </c:marker>
          <c:cat>
            <c:strRef>
              <c:f>'長照(依性別與行政區域)-1'!$A$12:$A$27</c:f>
              <c:strCache>
                <c:ptCount val="16"/>
                <c:pt idx="0">
                  <c:v>宜蘭縣</c:v>
                </c:pt>
                <c:pt idx="1">
                  <c:v>新竹縣</c:v>
                </c:pt>
                <c:pt idx="2">
                  <c:v>苗栗縣</c:v>
                </c:pt>
                <c:pt idx="3">
                  <c:v>彰化縣</c:v>
                </c:pt>
                <c:pt idx="4">
                  <c:v>南投縣</c:v>
                </c:pt>
                <c:pt idx="5">
                  <c:v>雲林縣</c:v>
                </c:pt>
                <c:pt idx="6">
                  <c:v>嘉義縣</c:v>
                </c:pt>
                <c:pt idx="7">
                  <c:v>屏東縣</c:v>
                </c:pt>
                <c:pt idx="8">
                  <c:v>臺東縣</c:v>
                </c:pt>
                <c:pt idx="9">
                  <c:v>花蓮縣</c:v>
                </c:pt>
                <c:pt idx="10">
                  <c:v>澎湖縣</c:v>
                </c:pt>
                <c:pt idx="11">
                  <c:v>基隆市</c:v>
                </c:pt>
                <c:pt idx="12">
                  <c:v>新竹市</c:v>
                </c:pt>
                <c:pt idx="13">
                  <c:v>嘉義市</c:v>
                </c:pt>
                <c:pt idx="14">
                  <c:v>金門縣</c:v>
                </c:pt>
                <c:pt idx="15">
                  <c:v>連江縣</c:v>
                </c:pt>
              </c:strCache>
            </c:strRef>
          </c:cat>
          <c:val>
            <c:numRef>
              <c:f>'長照(依性別與行政區域)-1'!$J$12:$J$27</c:f>
              <c:numCache>
                <c:formatCode>0.00%</c:formatCode>
                <c:ptCount val="16"/>
                <c:pt idx="0">
                  <c:v>5.1342723252939586E-2</c:v>
                </c:pt>
                <c:pt idx="1">
                  <c:v>2.6389863809043419E-2</c:v>
                </c:pt>
                <c:pt idx="2">
                  <c:v>2.789748867468551E-2</c:v>
                </c:pt>
                <c:pt idx="3">
                  <c:v>3.5604284484612038E-2</c:v>
                </c:pt>
                <c:pt idx="4">
                  <c:v>2.5999882289191104E-2</c:v>
                </c:pt>
                <c:pt idx="5">
                  <c:v>2.7152558691424508E-2</c:v>
                </c:pt>
                <c:pt idx="6">
                  <c:v>2.4931565884296465E-2</c:v>
                </c:pt>
                <c:pt idx="7">
                  <c:v>2.7744919335759614E-2</c:v>
                </c:pt>
                <c:pt idx="8">
                  <c:v>2.673427804019635E-2</c:v>
                </c:pt>
                <c:pt idx="9">
                  <c:v>2.4843899394658607E-2</c:v>
                </c:pt>
                <c:pt idx="10">
                  <c:v>2.1860837110103972E-2</c:v>
                </c:pt>
                <c:pt idx="11">
                  <c:v>2.9085985325402682E-2</c:v>
                </c:pt>
                <c:pt idx="12">
                  <c:v>2.8785323351576925E-2</c:v>
                </c:pt>
                <c:pt idx="13">
                  <c:v>2.7835406727233235E-2</c:v>
                </c:pt>
                <c:pt idx="14">
                  <c:v>1.2415107315815114E-2</c:v>
                </c:pt>
                <c:pt idx="15">
                  <c:v>1.4637136945359798E-2</c:v>
                </c:pt>
              </c:numCache>
            </c:numRef>
          </c:val>
          <c:smooth val="0"/>
          <c:extLst xmlns:c16r2="http://schemas.microsoft.com/office/drawing/2015/06/chart">
            <c:ext xmlns:c16="http://schemas.microsoft.com/office/drawing/2014/chart" uri="{C3380CC4-5D6E-409C-BE32-E72D297353CC}">
              <c16:uniqueId val="{00000002-9103-41A4-811E-7AD117AD958B}"/>
            </c:ext>
          </c:extLst>
        </c:ser>
        <c:dLbls>
          <c:showLegendKey val="0"/>
          <c:showVal val="0"/>
          <c:showCatName val="0"/>
          <c:showSerName val="0"/>
          <c:showPercent val="0"/>
          <c:showBubbleSize val="0"/>
        </c:dLbls>
        <c:marker val="1"/>
        <c:smooth val="0"/>
        <c:axId val="630500736"/>
        <c:axId val="580365072"/>
      </c:lineChart>
      <c:catAx>
        <c:axId val="630500736"/>
        <c:scaling>
          <c:orientation val="minMax"/>
        </c:scaling>
        <c:delete val="0"/>
        <c:axPos val="b"/>
        <c:numFmt formatCode="General" sourceLinked="1"/>
        <c:majorTickMark val="out"/>
        <c:minorTickMark val="none"/>
        <c:tickLblPos val="nextTo"/>
        <c:crossAx val="580365072"/>
        <c:crosses val="autoZero"/>
        <c:auto val="1"/>
        <c:lblAlgn val="ctr"/>
        <c:lblOffset val="100"/>
        <c:noMultiLvlLbl val="0"/>
      </c:catAx>
      <c:valAx>
        <c:axId val="580365072"/>
        <c:scaling>
          <c:orientation val="minMax"/>
        </c:scaling>
        <c:delete val="0"/>
        <c:axPos val="l"/>
        <c:majorGridlines/>
        <c:numFmt formatCode="0.00%" sourceLinked="1"/>
        <c:majorTickMark val="out"/>
        <c:minorTickMark val="none"/>
        <c:tickLblPos val="nextTo"/>
        <c:crossAx val="630500736"/>
        <c:crosses val="autoZero"/>
        <c:crossBetween val="between"/>
      </c:valAx>
      <c:dTable>
        <c:showHorzBorder val="1"/>
        <c:showVertBorder val="1"/>
        <c:showOutline val="1"/>
        <c:showKeys val="1"/>
      </c:dTable>
    </c:plotArea>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a:pPr>
            <a:r>
              <a:rPr lang="zh-TW" sz="1200"/>
              <a:t>圖</a:t>
            </a:r>
            <a:r>
              <a:rPr lang="en-US" sz="1200"/>
              <a:t>9-</a:t>
            </a:r>
            <a:r>
              <a:rPr lang="zh-TW" altLang="en-US" sz="1200"/>
              <a:t>年收入</a:t>
            </a:r>
            <a:r>
              <a:rPr lang="en-US" altLang="zh-TW" sz="1200"/>
              <a:t>(</a:t>
            </a:r>
            <a:r>
              <a:rPr lang="zh-TW" altLang="en-US" sz="1200"/>
              <a:t>新台幣</a:t>
            </a:r>
            <a:r>
              <a:rPr lang="en-US" altLang="zh-TW" sz="1200"/>
              <a:t>)</a:t>
            </a:r>
            <a:r>
              <a:rPr lang="zh-TW" altLang="en-US" sz="1200"/>
              <a:t>級距之</a:t>
            </a:r>
            <a:r>
              <a:rPr lang="zh-TW" sz="1200"/>
              <a:t>長期照</a:t>
            </a:r>
            <a:r>
              <a:rPr lang="zh-TW" altLang="en-US" sz="1200"/>
              <a:t>顧</a:t>
            </a:r>
            <a:r>
              <a:rPr lang="zh-TW" sz="1200"/>
              <a:t>保險新契約</a:t>
            </a:r>
            <a:r>
              <a:rPr lang="zh-TW" altLang="en-US" sz="1200"/>
              <a:t>件數</a:t>
            </a:r>
            <a:r>
              <a:rPr lang="en-US" sz="1200"/>
              <a:t>(10</a:t>
            </a:r>
            <a:r>
              <a:rPr lang="en-US" altLang="zh-TW" sz="1200"/>
              <a:t>9</a:t>
            </a:r>
            <a:r>
              <a:rPr lang="zh-TW" sz="1200"/>
              <a:t>年度</a:t>
            </a:r>
            <a:r>
              <a:rPr lang="zh-TW" altLang="en-US" sz="1200"/>
              <a:t>上半年</a:t>
            </a:r>
            <a:r>
              <a:rPr lang="en-US" sz="1200"/>
              <a:t>)</a:t>
            </a:r>
            <a:endParaRPr lang="zh-TW" sz="1200"/>
          </a:p>
        </c:rich>
      </c:tx>
      <c:layout>
        <c:manualLayout>
          <c:xMode val="edge"/>
          <c:yMode val="edge"/>
          <c:x val="0.12611529493654547"/>
          <c:y val="1.9373587342589604E-2"/>
        </c:manualLayout>
      </c:layout>
      <c:overlay val="0"/>
    </c:title>
    <c:autoTitleDeleted val="0"/>
    <c:plotArea>
      <c:layout/>
      <c:barChart>
        <c:barDir val="col"/>
        <c:grouping val="clustered"/>
        <c:varyColors val="0"/>
        <c:ser>
          <c:idx val="0"/>
          <c:order val="0"/>
          <c:tx>
            <c:v>男性</c:v>
          </c:tx>
          <c:invertIfNegative val="0"/>
          <c:cat>
            <c:strRef>
              <c:f>總表!$A$6:$A$12</c:f>
              <c:strCache>
                <c:ptCount val="7"/>
                <c:pt idx="0">
                  <c:v>0~50萬</c:v>
                </c:pt>
                <c:pt idx="1">
                  <c:v>51~100萬</c:v>
                </c:pt>
                <c:pt idx="2">
                  <c:v>101~150萬</c:v>
                </c:pt>
                <c:pt idx="3">
                  <c:v>151~200萬</c:v>
                </c:pt>
                <c:pt idx="4">
                  <c:v>201~250萬</c:v>
                </c:pt>
                <c:pt idx="5">
                  <c:v>251~300萬</c:v>
                </c:pt>
                <c:pt idx="6">
                  <c:v>301萬以上</c:v>
                </c:pt>
              </c:strCache>
            </c:strRef>
          </c:cat>
          <c:val>
            <c:numRef>
              <c:f>總表!$B$6:$B$12</c:f>
              <c:numCache>
                <c:formatCode>#,##0_ </c:formatCode>
                <c:ptCount val="7"/>
                <c:pt idx="0">
                  <c:v>3737</c:v>
                </c:pt>
                <c:pt idx="1">
                  <c:v>11662</c:v>
                </c:pt>
                <c:pt idx="2">
                  <c:v>3326</c:v>
                </c:pt>
                <c:pt idx="3">
                  <c:v>1793</c:v>
                </c:pt>
                <c:pt idx="4">
                  <c:v>454</c:v>
                </c:pt>
                <c:pt idx="5">
                  <c:v>727</c:v>
                </c:pt>
                <c:pt idx="6">
                  <c:v>858</c:v>
                </c:pt>
              </c:numCache>
            </c:numRef>
          </c:val>
          <c:extLst xmlns:c16r2="http://schemas.microsoft.com/office/drawing/2015/06/chart">
            <c:ext xmlns:c16="http://schemas.microsoft.com/office/drawing/2014/chart" uri="{C3380CC4-5D6E-409C-BE32-E72D297353CC}">
              <c16:uniqueId val="{00000000-D950-4A6B-9344-F918CD6B3657}"/>
            </c:ext>
          </c:extLst>
        </c:ser>
        <c:ser>
          <c:idx val="1"/>
          <c:order val="1"/>
          <c:tx>
            <c:v>女性</c:v>
          </c:tx>
          <c:invertIfNegative val="0"/>
          <c:cat>
            <c:strRef>
              <c:f>總表!$A$6:$A$12</c:f>
              <c:strCache>
                <c:ptCount val="7"/>
                <c:pt idx="0">
                  <c:v>0~50萬</c:v>
                </c:pt>
                <c:pt idx="1">
                  <c:v>51~100萬</c:v>
                </c:pt>
                <c:pt idx="2">
                  <c:v>101~150萬</c:v>
                </c:pt>
                <c:pt idx="3">
                  <c:v>151~200萬</c:v>
                </c:pt>
                <c:pt idx="4">
                  <c:v>201~250萬</c:v>
                </c:pt>
                <c:pt idx="5">
                  <c:v>251~300萬</c:v>
                </c:pt>
                <c:pt idx="6">
                  <c:v>301萬以上</c:v>
                </c:pt>
              </c:strCache>
            </c:strRef>
          </c:cat>
          <c:val>
            <c:numRef>
              <c:f>總表!$C$6:$C$12</c:f>
              <c:numCache>
                <c:formatCode>#,##0_ </c:formatCode>
                <c:ptCount val="7"/>
                <c:pt idx="0">
                  <c:v>7983</c:v>
                </c:pt>
                <c:pt idx="1">
                  <c:v>15531</c:v>
                </c:pt>
                <c:pt idx="2">
                  <c:v>3169</c:v>
                </c:pt>
                <c:pt idx="3">
                  <c:v>1583</c:v>
                </c:pt>
                <c:pt idx="4">
                  <c:v>367</c:v>
                </c:pt>
                <c:pt idx="5">
                  <c:v>542</c:v>
                </c:pt>
                <c:pt idx="6">
                  <c:v>599</c:v>
                </c:pt>
              </c:numCache>
            </c:numRef>
          </c:val>
          <c:extLst xmlns:c16r2="http://schemas.microsoft.com/office/drawing/2015/06/chart">
            <c:ext xmlns:c16="http://schemas.microsoft.com/office/drawing/2014/chart" uri="{C3380CC4-5D6E-409C-BE32-E72D297353CC}">
              <c16:uniqueId val="{00000001-D950-4A6B-9344-F918CD6B3657}"/>
            </c:ext>
          </c:extLst>
        </c:ser>
        <c:dLbls>
          <c:showLegendKey val="0"/>
          <c:showVal val="0"/>
          <c:showCatName val="0"/>
          <c:showSerName val="0"/>
          <c:showPercent val="0"/>
          <c:showBubbleSize val="0"/>
        </c:dLbls>
        <c:gapWidth val="150"/>
        <c:axId val="433788800"/>
        <c:axId val="433789584"/>
      </c:barChart>
      <c:catAx>
        <c:axId val="433788800"/>
        <c:scaling>
          <c:orientation val="minMax"/>
        </c:scaling>
        <c:delete val="0"/>
        <c:axPos val="b"/>
        <c:numFmt formatCode="General" sourceLinked="1"/>
        <c:majorTickMark val="out"/>
        <c:minorTickMark val="none"/>
        <c:tickLblPos val="nextTo"/>
        <c:crossAx val="433789584"/>
        <c:crosses val="autoZero"/>
        <c:auto val="1"/>
        <c:lblAlgn val="ctr"/>
        <c:lblOffset val="100"/>
        <c:noMultiLvlLbl val="0"/>
      </c:catAx>
      <c:valAx>
        <c:axId val="433789584"/>
        <c:scaling>
          <c:orientation val="minMax"/>
        </c:scaling>
        <c:delete val="0"/>
        <c:axPos val="l"/>
        <c:majorGridlines/>
        <c:numFmt formatCode="#,##0_ " sourceLinked="1"/>
        <c:majorTickMark val="out"/>
        <c:minorTickMark val="none"/>
        <c:tickLblPos val="nextTo"/>
        <c:crossAx val="433788800"/>
        <c:crosses val="autoZero"/>
        <c:crossBetween val="between"/>
      </c:valAx>
      <c:dTable>
        <c:showHorzBorder val="1"/>
        <c:showVertBorder val="1"/>
        <c:showOutline val="1"/>
        <c:showKeys val="1"/>
        <c:txPr>
          <a:bodyPr/>
          <a:lstStyle/>
          <a:p>
            <a:pPr rtl="0">
              <a:defRPr>
                <a:latin typeface="標楷體" pitchFamily="65" charset="-120"/>
                <a:ea typeface="標楷體" pitchFamily="65" charset="-120"/>
              </a:defRPr>
            </a:pPr>
            <a:endParaRPr lang="zh-TW"/>
          </a:p>
        </c:txPr>
      </c:dTable>
    </c:plotArea>
    <c:legend>
      <c:legendPos val="b"/>
      <c:overlay val="0"/>
      <c:txPr>
        <a:bodyPr/>
        <a:lstStyle/>
        <a:p>
          <a:pPr>
            <a:defRPr>
              <a:latin typeface="標楷體" pitchFamily="65" charset="-120"/>
              <a:ea typeface="標楷體" pitchFamily="65" charset="-120"/>
            </a:defRPr>
          </a:pPr>
          <a:endParaRPr lang="zh-TW"/>
        </a:p>
      </c:txPr>
    </c:legend>
    <c:plotVisOnly val="1"/>
    <c:dispBlanksAs val="gap"/>
    <c:showDLblsOverMax val="0"/>
  </c:chart>
  <c:spPr>
    <a:ln>
      <a:noFill/>
    </a:ln>
  </c:spPr>
  <c:txPr>
    <a:bodyPr/>
    <a:lstStyle/>
    <a:p>
      <a:pPr>
        <a:defRPr>
          <a:latin typeface="標楷體" pitchFamily="65" charset="-120"/>
          <a:ea typeface="標楷體" pitchFamily="65" charset="-120"/>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FB731-8749-4318-8540-0F03F400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黃正宗</dc:creator>
  <cp:keywords/>
  <dc:description/>
  <cp:lastModifiedBy>陳惠珠</cp:lastModifiedBy>
  <cp:revision>9</cp:revision>
  <cp:lastPrinted>2020-07-28T03:51:00Z</cp:lastPrinted>
  <dcterms:created xsi:type="dcterms:W3CDTF">2020-07-28T03:51:00Z</dcterms:created>
  <dcterms:modified xsi:type="dcterms:W3CDTF">2020-08-06T07:34:00Z</dcterms:modified>
</cp:coreProperties>
</file>