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86"/>
        <w:gridCol w:w="4320"/>
        <w:gridCol w:w="751"/>
        <w:gridCol w:w="2849"/>
      </w:tblGrid>
      <w:tr w:rsidR="009B0EB4" w:rsidRPr="00691BA9" w:rsidTr="00267793">
        <w:trPr>
          <w:trHeight w:val="878"/>
        </w:trPr>
        <w:tc>
          <w:tcPr>
            <w:tcW w:w="6006" w:type="dxa"/>
            <w:gridSpan w:val="2"/>
            <w:vAlign w:val="center"/>
          </w:tcPr>
          <w:p w:rsidR="009B0EB4" w:rsidRPr="00691BA9" w:rsidRDefault="009B0EB4" w:rsidP="00BD09D1">
            <w:pPr>
              <w:snapToGrid w:val="0"/>
              <w:spacing w:beforeLines="50" w:line="400" w:lineRule="atLeast"/>
              <w:jc w:val="both"/>
              <w:rPr>
                <w:rFonts w:eastAsia="標楷體"/>
                <w:sz w:val="28"/>
              </w:rPr>
            </w:pPr>
            <w:r w:rsidRPr="00691BA9">
              <w:rPr>
                <w:rFonts w:eastAsia="標楷體" w:hAnsi="標楷體" w:hint="eastAsia"/>
                <w:sz w:val="32"/>
                <w:szCs w:val="32"/>
              </w:rPr>
              <w:t>臺灣期貨交易所</w:t>
            </w:r>
            <w:r w:rsidRPr="00691BA9">
              <w:rPr>
                <w:rFonts w:eastAsia="標楷體" w:hAnsi="標楷體"/>
                <w:sz w:val="32"/>
                <w:szCs w:val="32"/>
              </w:rPr>
              <w:t>10</w:t>
            </w:r>
            <w:r>
              <w:rPr>
                <w:rFonts w:eastAsia="標楷體" w:hAnsi="標楷體"/>
                <w:sz w:val="32"/>
                <w:szCs w:val="32"/>
              </w:rPr>
              <w:t>1</w:t>
            </w:r>
            <w:r w:rsidRPr="00691BA9">
              <w:rPr>
                <w:rFonts w:eastAsia="標楷體" w:hAnsi="標楷體" w:hint="eastAsia"/>
                <w:sz w:val="32"/>
                <w:szCs w:val="32"/>
              </w:rPr>
              <w:t>年度研究報告提要表</w:t>
            </w:r>
          </w:p>
        </w:tc>
        <w:tc>
          <w:tcPr>
            <w:tcW w:w="3600" w:type="dxa"/>
            <w:gridSpan w:val="2"/>
            <w:vAlign w:val="center"/>
          </w:tcPr>
          <w:p w:rsidR="009B0EB4" w:rsidRPr="00691BA9" w:rsidRDefault="009B0EB4" w:rsidP="00BD09D1">
            <w:pPr>
              <w:widowControl/>
              <w:spacing w:line="380" w:lineRule="exact"/>
              <w:rPr>
                <w:rFonts w:eastAsia="標楷體"/>
                <w:sz w:val="28"/>
              </w:rPr>
            </w:pPr>
            <w:r w:rsidRPr="00691BA9">
              <w:rPr>
                <w:rFonts w:eastAsia="標楷體" w:hAnsi="標楷體" w:hint="eastAsia"/>
                <w:sz w:val="28"/>
              </w:rPr>
              <w:t>填表人：</w:t>
            </w:r>
            <w:r>
              <w:rPr>
                <w:rFonts w:eastAsia="標楷體" w:hAnsi="標楷體" w:hint="eastAsia"/>
                <w:sz w:val="28"/>
              </w:rPr>
              <w:t>李福慶</w:t>
            </w:r>
          </w:p>
          <w:p w:rsidR="009B0EB4" w:rsidRPr="00691BA9" w:rsidRDefault="009B0EB4" w:rsidP="00BD09D1">
            <w:pPr>
              <w:snapToGrid w:val="0"/>
              <w:spacing w:line="380" w:lineRule="exact"/>
              <w:jc w:val="both"/>
              <w:rPr>
                <w:rFonts w:eastAsia="標楷體"/>
                <w:sz w:val="28"/>
              </w:rPr>
            </w:pPr>
            <w:r w:rsidRPr="00691BA9">
              <w:rPr>
                <w:rFonts w:eastAsia="標楷體" w:hAnsi="標楷體" w:hint="eastAsia"/>
                <w:sz w:val="28"/>
              </w:rPr>
              <w:t>填表日期：</w:t>
            </w:r>
            <w:r w:rsidRPr="00691BA9">
              <w:rPr>
                <w:rFonts w:eastAsia="標楷體" w:hAnsi="標楷體"/>
                <w:sz w:val="28"/>
              </w:rPr>
              <w:t>10</w:t>
            </w:r>
            <w:r>
              <w:rPr>
                <w:rFonts w:eastAsia="標楷體" w:hAnsi="標楷體"/>
                <w:sz w:val="28"/>
              </w:rPr>
              <w:t>1</w:t>
            </w:r>
            <w:r w:rsidRPr="00691BA9">
              <w:rPr>
                <w:rFonts w:eastAsia="標楷體" w:hAnsi="標楷體" w:hint="eastAsia"/>
                <w:sz w:val="28"/>
              </w:rPr>
              <w:t>年</w:t>
            </w:r>
            <w:r w:rsidRPr="00691BA9">
              <w:rPr>
                <w:rFonts w:eastAsia="標楷體" w:hAnsi="標楷體"/>
                <w:sz w:val="28"/>
              </w:rPr>
              <w:t>1</w:t>
            </w:r>
            <w:r>
              <w:rPr>
                <w:rFonts w:eastAsia="標楷體" w:hAnsi="標楷體"/>
                <w:sz w:val="28"/>
              </w:rPr>
              <w:t>1</w:t>
            </w:r>
            <w:r w:rsidRPr="00691BA9">
              <w:rPr>
                <w:rFonts w:eastAsia="標楷體" w:hAnsi="標楷體" w:hint="eastAsia"/>
                <w:sz w:val="28"/>
              </w:rPr>
              <w:t>月</w:t>
            </w:r>
            <w:r>
              <w:rPr>
                <w:rFonts w:eastAsia="標楷體" w:hAnsi="標楷體"/>
                <w:sz w:val="28"/>
              </w:rPr>
              <w:t>30</w:t>
            </w:r>
            <w:r w:rsidRPr="00691BA9">
              <w:rPr>
                <w:rFonts w:eastAsia="標楷體" w:hAnsi="標楷體" w:hint="eastAsia"/>
                <w:sz w:val="28"/>
              </w:rPr>
              <w:t>日</w:t>
            </w:r>
          </w:p>
        </w:tc>
      </w:tr>
      <w:tr w:rsidR="009B0EB4" w:rsidRPr="00691BA9" w:rsidTr="00267793">
        <w:trPr>
          <w:trHeight w:val="643"/>
        </w:trPr>
        <w:tc>
          <w:tcPr>
            <w:tcW w:w="1686" w:type="dxa"/>
            <w:vAlign w:val="center"/>
          </w:tcPr>
          <w:p w:rsidR="009B0EB4" w:rsidRPr="00691BA9" w:rsidRDefault="009B0EB4" w:rsidP="00E23E3C">
            <w:pPr>
              <w:snapToGrid w:val="0"/>
              <w:spacing w:line="500" w:lineRule="atLeast"/>
              <w:jc w:val="center"/>
              <w:rPr>
                <w:rFonts w:eastAsia="標楷體"/>
                <w:sz w:val="28"/>
              </w:rPr>
            </w:pPr>
            <w:r w:rsidRPr="00691BA9">
              <w:rPr>
                <w:rFonts w:eastAsia="標楷體" w:hAnsi="標楷體" w:hint="eastAsia"/>
                <w:sz w:val="28"/>
              </w:rPr>
              <w:t>研究項目</w:t>
            </w:r>
          </w:p>
        </w:tc>
        <w:tc>
          <w:tcPr>
            <w:tcW w:w="7920" w:type="dxa"/>
            <w:gridSpan w:val="3"/>
            <w:vAlign w:val="center"/>
          </w:tcPr>
          <w:p w:rsidR="009B0EB4" w:rsidRPr="00691BA9" w:rsidRDefault="009B0EB4" w:rsidP="00E23E3C">
            <w:pPr>
              <w:widowControl/>
              <w:spacing w:line="340" w:lineRule="exact"/>
              <w:rPr>
                <w:rFonts w:eastAsia="標楷體"/>
                <w:sz w:val="28"/>
                <w:szCs w:val="28"/>
              </w:rPr>
            </w:pPr>
            <w:r w:rsidRPr="000F6CC3">
              <w:rPr>
                <w:rFonts w:eastAsia="標楷體" w:hAnsi="標楷體"/>
                <w:sz w:val="28"/>
                <w:szCs w:val="32"/>
              </w:rPr>
              <w:t>90</w:t>
            </w:r>
            <w:r w:rsidRPr="000F6CC3">
              <w:rPr>
                <w:rFonts w:eastAsia="標楷體" w:hAnsi="標楷體" w:hint="eastAsia"/>
                <w:sz w:val="28"/>
                <w:szCs w:val="32"/>
              </w:rPr>
              <w:t>天期</w:t>
            </w:r>
            <w:r w:rsidRPr="000F6CC3">
              <w:rPr>
                <w:rFonts w:eastAsia="標楷體" w:hAnsi="標楷體"/>
                <w:sz w:val="28"/>
                <w:szCs w:val="32"/>
              </w:rPr>
              <w:t>TAIBIR</w:t>
            </w:r>
            <w:r w:rsidRPr="000F6CC3">
              <w:rPr>
                <w:rFonts w:eastAsia="標楷體" w:hAnsi="標楷體" w:hint="eastAsia"/>
                <w:sz w:val="28"/>
                <w:szCs w:val="32"/>
              </w:rPr>
              <w:t>利率期貨上市之可行性研究</w:t>
            </w:r>
          </w:p>
        </w:tc>
      </w:tr>
      <w:tr w:rsidR="009B0EB4" w:rsidRPr="00691BA9" w:rsidTr="00267793">
        <w:trPr>
          <w:trHeight w:val="1564"/>
        </w:trPr>
        <w:tc>
          <w:tcPr>
            <w:tcW w:w="1686" w:type="dxa"/>
            <w:vAlign w:val="center"/>
          </w:tcPr>
          <w:p w:rsidR="009B0EB4" w:rsidRPr="00691BA9" w:rsidRDefault="009B0EB4" w:rsidP="00E23E3C">
            <w:pPr>
              <w:snapToGrid w:val="0"/>
              <w:spacing w:line="400" w:lineRule="atLeast"/>
              <w:jc w:val="center"/>
              <w:rPr>
                <w:rFonts w:eastAsia="標楷體"/>
                <w:sz w:val="28"/>
              </w:rPr>
            </w:pPr>
            <w:r w:rsidRPr="00691BA9">
              <w:rPr>
                <w:rFonts w:eastAsia="標楷體" w:hAnsi="標楷體" w:hint="eastAsia"/>
                <w:sz w:val="28"/>
              </w:rPr>
              <w:t>研究單位</w:t>
            </w:r>
          </w:p>
          <w:p w:rsidR="009B0EB4" w:rsidRPr="00691BA9" w:rsidRDefault="009B0EB4" w:rsidP="00E23E3C">
            <w:pPr>
              <w:snapToGrid w:val="0"/>
              <w:spacing w:line="400" w:lineRule="atLeast"/>
              <w:jc w:val="center"/>
              <w:rPr>
                <w:rFonts w:eastAsia="標楷體"/>
                <w:sz w:val="28"/>
              </w:rPr>
            </w:pPr>
            <w:r w:rsidRPr="00691BA9">
              <w:rPr>
                <w:rFonts w:eastAsia="標楷體" w:hAnsi="標楷體" w:hint="eastAsia"/>
                <w:sz w:val="28"/>
              </w:rPr>
              <w:t>及人員</w:t>
            </w:r>
          </w:p>
        </w:tc>
        <w:tc>
          <w:tcPr>
            <w:tcW w:w="4320" w:type="dxa"/>
            <w:vAlign w:val="center"/>
          </w:tcPr>
          <w:p w:rsidR="009B0EB4" w:rsidRPr="00691BA9" w:rsidRDefault="009B0EB4" w:rsidP="00E23E3C">
            <w:pPr>
              <w:widowControl/>
              <w:spacing w:line="340" w:lineRule="exact"/>
              <w:jc w:val="both"/>
              <w:rPr>
                <w:rFonts w:eastAsia="標楷體" w:hAnsi="標楷體"/>
                <w:sz w:val="28"/>
                <w:szCs w:val="32"/>
              </w:rPr>
            </w:pPr>
            <w:r w:rsidRPr="00691BA9">
              <w:rPr>
                <w:rFonts w:eastAsia="標楷體" w:hAnsi="標楷體" w:hint="eastAsia"/>
                <w:sz w:val="28"/>
              </w:rPr>
              <w:t>研究單位</w:t>
            </w:r>
            <w:r w:rsidRPr="00691BA9">
              <w:rPr>
                <w:rFonts w:eastAsia="標楷體" w:hAnsi="標楷體" w:hint="eastAsia"/>
                <w:sz w:val="28"/>
                <w:szCs w:val="32"/>
              </w:rPr>
              <w:t>：臺灣期貨交易所</w:t>
            </w:r>
          </w:p>
          <w:p w:rsidR="009B0EB4" w:rsidRPr="00691BA9" w:rsidRDefault="009B0EB4" w:rsidP="00BD09D1">
            <w:pPr>
              <w:snapToGrid w:val="0"/>
              <w:spacing w:line="340" w:lineRule="exact"/>
              <w:jc w:val="both"/>
              <w:rPr>
                <w:rFonts w:eastAsia="標楷體"/>
                <w:sz w:val="28"/>
              </w:rPr>
            </w:pPr>
            <w:r w:rsidRPr="00691BA9">
              <w:rPr>
                <w:rFonts w:eastAsia="標楷體" w:hAnsi="標楷體" w:hint="eastAsia"/>
                <w:sz w:val="28"/>
                <w:szCs w:val="32"/>
              </w:rPr>
              <w:t>研究人員：</w:t>
            </w:r>
            <w:r>
              <w:rPr>
                <w:rFonts w:eastAsia="標楷體" w:hint="eastAsia"/>
                <w:sz w:val="28"/>
              </w:rPr>
              <w:t>李福慶</w:t>
            </w:r>
          </w:p>
        </w:tc>
        <w:tc>
          <w:tcPr>
            <w:tcW w:w="751" w:type="dxa"/>
            <w:vAlign w:val="center"/>
          </w:tcPr>
          <w:p w:rsidR="009B0EB4" w:rsidRPr="00691BA9" w:rsidRDefault="009B0EB4" w:rsidP="00E23E3C">
            <w:pPr>
              <w:snapToGrid w:val="0"/>
              <w:spacing w:line="400" w:lineRule="atLeast"/>
              <w:jc w:val="both"/>
              <w:rPr>
                <w:rFonts w:eastAsia="標楷體"/>
                <w:sz w:val="28"/>
              </w:rPr>
            </w:pPr>
            <w:r w:rsidRPr="00691BA9">
              <w:rPr>
                <w:rFonts w:eastAsia="標楷體" w:hAnsi="標楷體" w:hint="eastAsia"/>
                <w:sz w:val="28"/>
              </w:rPr>
              <w:t>研究</w:t>
            </w:r>
          </w:p>
          <w:p w:rsidR="009B0EB4" w:rsidRPr="00691BA9" w:rsidRDefault="009B0EB4" w:rsidP="00E23E3C">
            <w:pPr>
              <w:snapToGrid w:val="0"/>
              <w:spacing w:line="400" w:lineRule="atLeast"/>
              <w:jc w:val="both"/>
              <w:rPr>
                <w:rFonts w:eastAsia="標楷體"/>
                <w:sz w:val="28"/>
              </w:rPr>
            </w:pPr>
            <w:r w:rsidRPr="00691BA9">
              <w:rPr>
                <w:rFonts w:eastAsia="標楷體" w:hAnsi="標楷體" w:hint="eastAsia"/>
                <w:sz w:val="28"/>
              </w:rPr>
              <w:t>時間</w:t>
            </w:r>
          </w:p>
        </w:tc>
        <w:tc>
          <w:tcPr>
            <w:tcW w:w="2849" w:type="dxa"/>
            <w:vAlign w:val="center"/>
          </w:tcPr>
          <w:p w:rsidR="009B0EB4" w:rsidRPr="00691BA9" w:rsidRDefault="009B0EB4" w:rsidP="00E23E3C">
            <w:pPr>
              <w:widowControl/>
              <w:spacing w:line="340" w:lineRule="exact"/>
              <w:jc w:val="both"/>
              <w:rPr>
                <w:rFonts w:eastAsia="標楷體"/>
                <w:sz w:val="28"/>
                <w:szCs w:val="32"/>
              </w:rPr>
            </w:pPr>
            <w:r w:rsidRPr="00691BA9">
              <w:rPr>
                <w:rFonts w:eastAsia="標楷體" w:hAnsi="標楷體" w:hint="eastAsia"/>
                <w:sz w:val="28"/>
                <w:szCs w:val="32"/>
              </w:rPr>
              <w:t>自</w:t>
            </w:r>
            <w:r w:rsidRPr="00691BA9">
              <w:rPr>
                <w:rFonts w:eastAsia="標楷體" w:hAnsi="標楷體"/>
                <w:sz w:val="28"/>
                <w:szCs w:val="32"/>
              </w:rPr>
              <w:t>10</w:t>
            </w:r>
            <w:r>
              <w:rPr>
                <w:rFonts w:eastAsia="標楷體" w:hAnsi="標楷體"/>
                <w:sz w:val="28"/>
                <w:szCs w:val="32"/>
              </w:rPr>
              <w:t>1</w:t>
            </w:r>
            <w:r w:rsidRPr="00691BA9">
              <w:rPr>
                <w:rFonts w:eastAsia="標楷體" w:hAnsi="標楷體" w:hint="eastAsia"/>
                <w:sz w:val="28"/>
                <w:szCs w:val="32"/>
              </w:rPr>
              <w:t>年</w:t>
            </w:r>
            <w:r>
              <w:rPr>
                <w:rFonts w:eastAsia="標楷體" w:hAnsi="標楷體"/>
                <w:sz w:val="28"/>
                <w:szCs w:val="32"/>
              </w:rPr>
              <w:t>0</w:t>
            </w:r>
            <w:r w:rsidRPr="00691BA9">
              <w:rPr>
                <w:rFonts w:eastAsia="標楷體"/>
                <w:sz w:val="28"/>
                <w:szCs w:val="32"/>
              </w:rPr>
              <w:t>1</w:t>
            </w:r>
            <w:r w:rsidRPr="00691BA9">
              <w:rPr>
                <w:rFonts w:eastAsia="標楷體" w:hAnsi="標楷體" w:hint="eastAsia"/>
                <w:sz w:val="28"/>
                <w:szCs w:val="32"/>
              </w:rPr>
              <w:t>月</w:t>
            </w:r>
            <w:r>
              <w:rPr>
                <w:rFonts w:eastAsia="標楷體" w:hAnsi="標楷體"/>
                <w:sz w:val="28"/>
                <w:szCs w:val="32"/>
              </w:rPr>
              <w:t>0</w:t>
            </w:r>
            <w:r w:rsidRPr="00691BA9">
              <w:rPr>
                <w:rFonts w:eastAsia="標楷體" w:hAnsi="標楷體"/>
                <w:sz w:val="28"/>
                <w:szCs w:val="32"/>
              </w:rPr>
              <w:t>1</w:t>
            </w:r>
            <w:r w:rsidRPr="00691BA9">
              <w:rPr>
                <w:rFonts w:eastAsia="標楷體" w:hAnsi="標楷體" w:hint="eastAsia"/>
                <w:sz w:val="28"/>
                <w:szCs w:val="32"/>
              </w:rPr>
              <w:t>日</w:t>
            </w:r>
          </w:p>
          <w:p w:rsidR="009B0EB4" w:rsidRPr="00691BA9" w:rsidRDefault="009B0EB4" w:rsidP="00E23E3C">
            <w:pPr>
              <w:widowControl/>
              <w:spacing w:line="340" w:lineRule="exact"/>
              <w:jc w:val="both"/>
              <w:rPr>
                <w:rFonts w:eastAsia="標楷體"/>
                <w:sz w:val="28"/>
                <w:szCs w:val="32"/>
              </w:rPr>
            </w:pPr>
            <w:r w:rsidRPr="00691BA9">
              <w:rPr>
                <w:rFonts w:eastAsia="標楷體" w:hAnsi="標楷體" w:hint="eastAsia"/>
                <w:sz w:val="28"/>
                <w:szCs w:val="32"/>
              </w:rPr>
              <w:t>至</w:t>
            </w:r>
            <w:r w:rsidRPr="00691BA9">
              <w:rPr>
                <w:rFonts w:eastAsia="標楷體" w:hAnsi="標楷體"/>
                <w:sz w:val="28"/>
                <w:szCs w:val="32"/>
              </w:rPr>
              <w:t>10</w:t>
            </w:r>
            <w:r>
              <w:rPr>
                <w:rFonts w:eastAsia="標楷體" w:hAnsi="標楷體"/>
                <w:sz w:val="28"/>
                <w:szCs w:val="32"/>
              </w:rPr>
              <w:t>1</w:t>
            </w:r>
            <w:r w:rsidRPr="00691BA9">
              <w:rPr>
                <w:rFonts w:eastAsia="標楷體" w:hAnsi="標楷體" w:hint="eastAsia"/>
                <w:sz w:val="28"/>
                <w:szCs w:val="32"/>
              </w:rPr>
              <w:t>年</w:t>
            </w:r>
            <w:r w:rsidRPr="00691BA9">
              <w:rPr>
                <w:rFonts w:eastAsia="標楷體"/>
                <w:sz w:val="28"/>
                <w:szCs w:val="32"/>
              </w:rPr>
              <w:t>1</w:t>
            </w:r>
            <w:r>
              <w:rPr>
                <w:rFonts w:eastAsia="標楷體"/>
                <w:sz w:val="28"/>
                <w:szCs w:val="32"/>
              </w:rPr>
              <w:t>1</w:t>
            </w:r>
            <w:r w:rsidRPr="00691BA9">
              <w:rPr>
                <w:rFonts w:eastAsia="標楷體" w:hAnsi="標楷體" w:hint="eastAsia"/>
                <w:sz w:val="28"/>
                <w:szCs w:val="32"/>
              </w:rPr>
              <w:t>月</w:t>
            </w:r>
            <w:r>
              <w:rPr>
                <w:rFonts w:eastAsia="標楷體" w:hAnsi="標楷體"/>
                <w:sz w:val="28"/>
                <w:szCs w:val="32"/>
              </w:rPr>
              <w:t>30</w:t>
            </w:r>
            <w:r w:rsidRPr="00691BA9">
              <w:rPr>
                <w:rFonts w:eastAsia="標楷體" w:hAnsi="標楷體" w:hint="eastAsia"/>
                <w:sz w:val="28"/>
                <w:szCs w:val="32"/>
              </w:rPr>
              <w:t>日</w:t>
            </w:r>
          </w:p>
        </w:tc>
      </w:tr>
      <w:tr w:rsidR="009B0EB4" w:rsidRPr="00691BA9" w:rsidTr="00267793">
        <w:trPr>
          <w:cantSplit/>
        </w:trPr>
        <w:tc>
          <w:tcPr>
            <w:tcW w:w="9606" w:type="dxa"/>
            <w:gridSpan w:val="4"/>
          </w:tcPr>
          <w:p w:rsidR="009B0EB4" w:rsidRPr="00691BA9" w:rsidRDefault="009B0EB4" w:rsidP="00E23E3C">
            <w:pPr>
              <w:snapToGrid w:val="0"/>
              <w:spacing w:line="500" w:lineRule="atLeast"/>
              <w:jc w:val="center"/>
              <w:rPr>
                <w:rFonts w:eastAsia="標楷體"/>
                <w:sz w:val="28"/>
              </w:rPr>
            </w:pPr>
            <w:r w:rsidRPr="00691BA9">
              <w:rPr>
                <w:rFonts w:eastAsia="標楷體" w:hAnsi="標楷體" w:hint="eastAsia"/>
                <w:sz w:val="28"/>
              </w:rPr>
              <w:t>報告內容提要</w:t>
            </w:r>
          </w:p>
        </w:tc>
      </w:tr>
      <w:tr w:rsidR="009B0EB4" w:rsidRPr="00691BA9" w:rsidTr="00267793">
        <w:trPr>
          <w:trHeight w:val="1776"/>
        </w:trPr>
        <w:tc>
          <w:tcPr>
            <w:tcW w:w="9606" w:type="dxa"/>
            <w:gridSpan w:val="4"/>
          </w:tcPr>
          <w:p w:rsidR="009B0EB4" w:rsidRPr="00691BA9" w:rsidRDefault="009B0EB4" w:rsidP="00E23E3C">
            <w:pPr>
              <w:widowControl/>
              <w:adjustRightInd w:val="0"/>
              <w:spacing w:line="520" w:lineRule="exact"/>
              <w:ind w:rightChars="50" w:right="120"/>
              <w:rPr>
                <w:rFonts w:eastAsia="標楷體"/>
                <w:sz w:val="28"/>
                <w:szCs w:val="32"/>
              </w:rPr>
            </w:pPr>
            <w:r w:rsidRPr="00691BA9">
              <w:rPr>
                <w:rFonts w:eastAsia="標楷體" w:hint="eastAsia"/>
                <w:sz w:val="28"/>
              </w:rPr>
              <w:t>壹、研究內容重點</w:t>
            </w:r>
            <w:r w:rsidRPr="00691BA9">
              <w:rPr>
                <w:rFonts w:eastAsia="標楷體"/>
                <w:sz w:val="28"/>
                <w:szCs w:val="32"/>
              </w:rPr>
              <w:t xml:space="preserve"> </w:t>
            </w:r>
          </w:p>
          <w:p w:rsidR="009B0EB4" w:rsidRPr="000F6CC3" w:rsidRDefault="009B0EB4" w:rsidP="00BD09D1">
            <w:pPr>
              <w:widowControl/>
              <w:numPr>
                <w:ilvl w:val="0"/>
                <w:numId w:val="11"/>
              </w:numPr>
              <w:adjustRightInd w:val="0"/>
              <w:spacing w:line="480" w:lineRule="exact"/>
              <w:ind w:rightChars="50" w:right="120"/>
              <w:rPr>
                <w:rStyle w:val="Hyperlink"/>
                <w:rFonts w:eastAsia="標楷體"/>
                <w:color w:val="auto"/>
                <w:sz w:val="28"/>
                <w:szCs w:val="28"/>
                <w:u w:val="none"/>
              </w:rPr>
            </w:pPr>
            <w:r w:rsidRPr="000F6CC3">
              <w:rPr>
                <w:rStyle w:val="Hyperlink"/>
                <w:rFonts w:eastAsia="標楷體" w:hint="eastAsia"/>
                <w:noProof/>
                <w:color w:val="auto"/>
                <w:sz w:val="28"/>
                <w:szCs w:val="28"/>
                <w:u w:val="none"/>
              </w:rPr>
              <w:t>國內利率現貨市場現況分析。</w:t>
            </w:r>
          </w:p>
          <w:p w:rsidR="009B0EB4" w:rsidRDefault="009B0EB4" w:rsidP="00E23E3C">
            <w:pPr>
              <w:widowControl/>
              <w:numPr>
                <w:ilvl w:val="0"/>
                <w:numId w:val="11"/>
              </w:numPr>
              <w:adjustRightInd w:val="0"/>
              <w:spacing w:line="480" w:lineRule="exact"/>
              <w:ind w:rightChars="50" w:right="120"/>
              <w:rPr>
                <w:rStyle w:val="Hyperlink"/>
                <w:rFonts w:eastAsia="標楷體"/>
                <w:noProof/>
                <w:color w:val="auto"/>
                <w:sz w:val="28"/>
                <w:szCs w:val="28"/>
                <w:u w:val="none"/>
              </w:rPr>
            </w:pPr>
            <w:r w:rsidRPr="000F6CC3">
              <w:rPr>
                <w:rStyle w:val="Hyperlink"/>
                <w:rFonts w:eastAsia="標楷體" w:hint="eastAsia"/>
                <w:noProof/>
                <w:color w:val="auto"/>
                <w:sz w:val="28"/>
                <w:szCs w:val="28"/>
                <w:u w:val="none"/>
              </w:rPr>
              <w:t>國內外</w:t>
            </w:r>
            <w:r w:rsidRPr="000F6CC3">
              <w:rPr>
                <w:rStyle w:val="Hyperlink"/>
                <w:rFonts w:eastAsia="標楷體"/>
                <w:noProof/>
                <w:color w:val="auto"/>
                <w:sz w:val="28"/>
                <w:szCs w:val="28"/>
                <w:u w:val="none"/>
              </w:rPr>
              <w:t>90</w:t>
            </w:r>
            <w:r w:rsidRPr="000F6CC3">
              <w:rPr>
                <w:rStyle w:val="Hyperlink"/>
                <w:rFonts w:eastAsia="標楷體" w:hint="eastAsia"/>
                <w:noProof/>
                <w:color w:val="auto"/>
                <w:sz w:val="28"/>
                <w:szCs w:val="28"/>
                <w:u w:val="none"/>
              </w:rPr>
              <w:t>天期利率指標運用之現況分析</w:t>
            </w:r>
          </w:p>
          <w:p w:rsidR="009B0EB4" w:rsidRPr="000F6CC3" w:rsidRDefault="009B0EB4" w:rsidP="00E23E3C">
            <w:pPr>
              <w:widowControl/>
              <w:numPr>
                <w:ilvl w:val="0"/>
                <w:numId w:val="11"/>
              </w:numPr>
              <w:adjustRightInd w:val="0"/>
              <w:spacing w:line="480" w:lineRule="exact"/>
              <w:ind w:rightChars="50" w:right="120"/>
              <w:rPr>
                <w:rStyle w:val="Hyperlink"/>
                <w:rFonts w:eastAsia="標楷體"/>
                <w:noProof/>
                <w:color w:val="auto"/>
                <w:sz w:val="28"/>
                <w:szCs w:val="28"/>
                <w:u w:val="none"/>
              </w:rPr>
            </w:pPr>
            <w:r w:rsidRPr="000F6CC3">
              <w:rPr>
                <w:rStyle w:val="Hyperlink"/>
                <w:rFonts w:eastAsia="標楷體" w:hint="eastAsia"/>
                <w:noProof/>
                <w:color w:val="auto"/>
                <w:sz w:val="28"/>
                <w:szCs w:val="28"/>
                <w:u w:val="none"/>
              </w:rPr>
              <w:t>全球主要短期利率期貨商品功能、交易概況與契約規格</w:t>
            </w:r>
          </w:p>
          <w:p w:rsidR="009B0EB4" w:rsidRPr="000F6CC3" w:rsidRDefault="009B0EB4" w:rsidP="00E23E3C">
            <w:pPr>
              <w:widowControl/>
              <w:numPr>
                <w:ilvl w:val="0"/>
                <w:numId w:val="11"/>
              </w:numPr>
              <w:adjustRightInd w:val="0"/>
              <w:spacing w:line="480" w:lineRule="exact"/>
              <w:ind w:rightChars="50" w:right="120"/>
              <w:rPr>
                <w:rStyle w:val="Hyperlink"/>
                <w:rFonts w:eastAsia="標楷體"/>
                <w:noProof/>
                <w:color w:val="auto"/>
                <w:sz w:val="28"/>
                <w:szCs w:val="28"/>
                <w:u w:val="none"/>
              </w:rPr>
            </w:pPr>
            <w:r w:rsidRPr="000F6CC3">
              <w:rPr>
                <w:rStyle w:val="Hyperlink"/>
                <w:rFonts w:eastAsia="標楷體" w:hint="eastAsia"/>
                <w:noProof/>
                <w:color w:val="auto"/>
                <w:sz w:val="28"/>
                <w:szCs w:val="28"/>
                <w:u w:val="none"/>
              </w:rPr>
              <w:t>國內</w:t>
            </w:r>
            <w:r w:rsidRPr="000F6CC3">
              <w:rPr>
                <w:rStyle w:val="Hyperlink"/>
                <w:rFonts w:eastAsia="標楷體"/>
                <w:noProof/>
                <w:color w:val="auto"/>
                <w:sz w:val="28"/>
                <w:szCs w:val="28"/>
                <w:u w:val="none"/>
              </w:rPr>
              <w:t>90</w:t>
            </w:r>
            <w:r w:rsidRPr="000F6CC3">
              <w:rPr>
                <w:rStyle w:val="Hyperlink"/>
                <w:rFonts w:eastAsia="標楷體" w:hint="eastAsia"/>
                <w:noProof/>
                <w:color w:val="auto"/>
                <w:sz w:val="28"/>
                <w:szCs w:val="28"/>
                <w:u w:val="none"/>
              </w:rPr>
              <w:t>天期利率期貨商品之潛在市場需求分析</w:t>
            </w:r>
          </w:p>
          <w:p w:rsidR="009B0EB4" w:rsidRPr="000F6CC3" w:rsidRDefault="009B0EB4" w:rsidP="00E23E3C">
            <w:pPr>
              <w:widowControl/>
              <w:numPr>
                <w:ilvl w:val="0"/>
                <w:numId w:val="11"/>
              </w:numPr>
              <w:adjustRightInd w:val="0"/>
              <w:spacing w:line="480" w:lineRule="exact"/>
              <w:ind w:rightChars="50" w:right="120"/>
              <w:rPr>
                <w:rStyle w:val="Hyperlink"/>
                <w:rFonts w:eastAsia="標楷體"/>
                <w:noProof/>
                <w:color w:val="auto"/>
                <w:sz w:val="28"/>
                <w:szCs w:val="28"/>
                <w:u w:val="none"/>
              </w:rPr>
            </w:pPr>
            <w:r w:rsidRPr="000F6CC3">
              <w:rPr>
                <w:rStyle w:val="Hyperlink"/>
                <w:rFonts w:eastAsia="標楷體"/>
                <w:noProof/>
                <w:color w:val="auto"/>
                <w:sz w:val="28"/>
                <w:szCs w:val="28"/>
                <w:u w:val="none"/>
              </w:rPr>
              <w:t>90</w:t>
            </w:r>
            <w:r w:rsidRPr="000F6CC3">
              <w:rPr>
                <w:rStyle w:val="Hyperlink"/>
                <w:rFonts w:eastAsia="標楷體" w:hint="eastAsia"/>
                <w:noProof/>
                <w:color w:val="auto"/>
                <w:sz w:val="28"/>
                <w:szCs w:val="28"/>
                <w:u w:val="none"/>
              </w:rPr>
              <w:t>天期利率期貨商品之經濟效益與公共利益</w:t>
            </w:r>
          </w:p>
          <w:p w:rsidR="009B0EB4" w:rsidRDefault="009B0EB4" w:rsidP="00E23E3C">
            <w:pPr>
              <w:widowControl/>
              <w:numPr>
                <w:ilvl w:val="0"/>
                <w:numId w:val="11"/>
              </w:numPr>
              <w:adjustRightInd w:val="0"/>
              <w:spacing w:line="480" w:lineRule="exact"/>
              <w:ind w:rightChars="50" w:right="120"/>
              <w:rPr>
                <w:rStyle w:val="Hyperlink"/>
                <w:rFonts w:eastAsia="標楷體"/>
                <w:noProof/>
                <w:color w:val="auto"/>
                <w:sz w:val="28"/>
                <w:szCs w:val="28"/>
                <w:u w:val="none"/>
              </w:rPr>
            </w:pPr>
            <w:r w:rsidRPr="000F6CC3">
              <w:rPr>
                <w:rStyle w:val="Hyperlink"/>
                <w:rFonts w:eastAsia="標楷體" w:hint="eastAsia"/>
                <w:noProof/>
                <w:color w:val="auto"/>
                <w:sz w:val="28"/>
                <w:szCs w:val="28"/>
                <w:u w:val="none"/>
              </w:rPr>
              <w:t>國內</w:t>
            </w:r>
            <w:r w:rsidRPr="000F6CC3">
              <w:rPr>
                <w:rStyle w:val="Hyperlink"/>
                <w:rFonts w:eastAsia="標楷體"/>
                <w:noProof/>
                <w:color w:val="auto"/>
                <w:sz w:val="28"/>
                <w:szCs w:val="28"/>
                <w:u w:val="none"/>
              </w:rPr>
              <w:t>90</w:t>
            </w:r>
            <w:r w:rsidRPr="000F6CC3">
              <w:rPr>
                <w:rStyle w:val="Hyperlink"/>
                <w:rFonts w:eastAsia="標楷體" w:hint="eastAsia"/>
                <w:noProof/>
                <w:color w:val="auto"/>
                <w:sz w:val="28"/>
                <w:szCs w:val="28"/>
                <w:u w:val="none"/>
              </w:rPr>
              <w:t>天期</w:t>
            </w:r>
            <w:r w:rsidRPr="000F6CC3">
              <w:rPr>
                <w:rStyle w:val="Hyperlink"/>
                <w:rFonts w:eastAsia="標楷體"/>
                <w:noProof/>
                <w:color w:val="auto"/>
                <w:sz w:val="28"/>
                <w:szCs w:val="28"/>
                <w:u w:val="none"/>
              </w:rPr>
              <w:t>TAIBIR</w:t>
            </w:r>
            <w:r w:rsidRPr="000F6CC3">
              <w:rPr>
                <w:rStyle w:val="Hyperlink"/>
                <w:rFonts w:eastAsia="標楷體" w:hint="eastAsia"/>
                <w:noProof/>
                <w:color w:val="auto"/>
                <w:sz w:val="28"/>
                <w:szCs w:val="28"/>
                <w:u w:val="none"/>
              </w:rPr>
              <w:t>利率期貨上市之可行性評估</w:t>
            </w:r>
          </w:p>
          <w:p w:rsidR="009B0EB4" w:rsidRPr="00691BA9" w:rsidRDefault="009B0EB4" w:rsidP="00E23E3C">
            <w:pPr>
              <w:widowControl/>
              <w:numPr>
                <w:ilvl w:val="0"/>
                <w:numId w:val="11"/>
              </w:numPr>
              <w:adjustRightInd w:val="0"/>
              <w:spacing w:line="480" w:lineRule="exact"/>
              <w:ind w:rightChars="50" w:right="120"/>
              <w:rPr>
                <w:rFonts w:eastAsia="標楷體"/>
                <w:sz w:val="28"/>
                <w:szCs w:val="28"/>
              </w:rPr>
            </w:pPr>
            <w:r w:rsidRPr="00691BA9">
              <w:rPr>
                <w:rFonts w:eastAsia="標楷體" w:hint="eastAsia"/>
                <w:sz w:val="28"/>
                <w:szCs w:val="28"/>
              </w:rPr>
              <w:t>結論與建議。</w:t>
            </w:r>
          </w:p>
          <w:p w:rsidR="009B0EB4" w:rsidRPr="00691BA9" w:rsidRDefault="009B0EB4" w:rsidP="00BD09D1">
            <w:pPr>
              <w:widowControl/>
              <w:adjustRightInd w:val="0"/>
              <w:spacing w:beforeLines="50" w:line="480" w:lineRule="exact"/>
              <w:ind w:rightChars="50" w:right="120"/>
              <w:rPr>
                <w:rFonts w:eastAsia="標楷體"/>
                <w:sz w:val="28"/>
                <w:szCs w:val="26"/>
              </w:rPr>
            </w:pPr>
            <w:r w:rsidRPr="00691BA9">
              <w:rPr>
                <w:rFonts w:eastAsia="標楷體" w:hint="eastAsia"/>
                <w:sz w:val="28"/>
              </w:rPr>
              <w:t>貳、結論與建議事項</w:t>
            </w:r>
          </w:p>
          <w:p w:rsidR="009B0EB4" w:rsidRDefault="009B0EB4" w:rsidP="00BD09D1">
            <w:pPr>
              <w:numPr>
                <w:ilvl w:val="0"/>
                <w:numId w:val="12"/>
              </w:numPr>
              <w:spacing w:line="480" w:lineRule="exact"/>
              <w:ind w:rightChars="50" w:right="120"/>
              <w:jc w:val="both"/>
              <w:rPr>
                <w:rFonts w:eastAsia="標楷體"/>
                <w:sz w:val="28"/>
                <w:szCs w:val="28"/>
              </w:rPr>
            </w:pPr>
            <w:r w:rsidRPr="00A74A64">
              <w:rPr>
                <w:rFonts w:eastAsia="標楷體" w:hint="eastAsia"/>
                <w:sz w:val="28"/>
                <w:szCs w:val="28"/>
              </w:rPr>
              <w:t>就國內整體金融環境而言，票券初級市場可提供工商企業融通管道，配合妥善運用</w:t>
            </w:r>
            <w:r w:rsidRPr="00A74A64">
              <w:rPr>
                <w:rFonts w:eastAsia="標楷體"/>
                <w:sz w:val="28"/>
                <w:szCs w:val="28"/>
              </w:rPr>
              <w:t>90</w:t>
            </w:r>
            <w:r w:rsidRPr="00A74A64">
              <w:rPr>
                <w:rFonts w:eastAsia="標楷體" w:hint="eastAsia"/>
                <w:sz w:val="28"/>
                <w:szCs w:val="28"/>
              </w:rPr>
              <w:t>天期利率期貨，可在票券發行時預先鎖定利率風險，並靈活籌措營運資金；</w:t>
            </w:r>
            <w:r>
              <w:rPr>
                <w:rFonts w:eastAsia="標楷體" w:hint="eastAsia"/>
                <w:sz w:val="28"/>
                <w:szCs w:val="28"/>
              </w:rPr>
              <w:t>另</w:t>
            </w:r>
            <w:r>
              <w:rPr>
                <w:rFonts w:eastAsia="標楷體"/>
                <w:sz w:val="28"/>
                <w:szCs w:val="28"/>
              </w:rPr>
              <w:t>90</w:t>
            </w:r>
            <w:r>
              <w:rPr>
                <w:rFonts w:eastAsia="標楷體" w:hint="eastAsia"/>
                <w:sz w:val="28"/>
                <w:szCs w:val="28"/>
              </w:rPr>
              <w:t>天期利率期貨商品可作為</w:t>
            </w:r>
            <w:r>
              <w:rPr>
                <w:rFonts w:eastAsia="標楷體"/>
                <w:sz w:val="28"/>
                <w:szCs w:val="28"/>
              </w:rPr>
              <w:t>90</w:t>
            </w:r>
            <w:r>
              <w:rPr>
                <w:rFonts w:eastAsia="標楷體" w:hint="eastAsia"/>
                <w:sz w:val="28"/>
                <w:szCs w:val="28"/>
              </w:rPr>
              <w:t>天期現貨市場利率之先行指標，有利於建立可反應日內利率變化之殖利率曲線，進而與</w:t>
            </w:r>
            <w:r w:rsidRPr="00A74A64">
              <w:rPr>
                <w:rFonts w:eastAsia="標楷體"/>
                <w:sz w:val="28"/>
                <w:szCs w:val="28"/>
              </w:rPr>
              <w:t>IRS</w:t>
            </w:r>
            <w:r w:rsidRPr="00A74A64">
              <w:rPr>
                <w:rFonts w:eastAsia="標楷體" w:hint="eastAsia"/>
                <w:sz w:val="28"/>
                <w:szCs w:val="28"/>
              </w:rPr>
              <w:t>、</w:t>
            </w:r>
            <w:r w:rsidRPr="00A74A64">
              <w:rPr>
                <w:rFonts w:eastAsia="標楷體"/>
                <w:sz w:val="28"/>
                <w:szCs w:val="28"/>
              </w:rPr>
              <w:t>Cap</w:t>
            </w:r>
            <w:r w:rsidRPr="00A74A64">
              <w:rPr>
                <w:rFonts w:eastAsia="標楷體" w:hint="eastAsia"/>
                <w:sz w:val="28"/>
                <w:szCs w:val="28"/>
              </w:rPr>
              <w:t>、</w:t>
            </w:r>
            <w:r w:rsidRPr="00A74A64">
              <w:rPr>
                <w:rFonts w:eastAsia="標楷體"/>
                <w:sz w:val="28"/>
                <w:szCs w:val="28"/>
              </w:rPr>
              <w:t>Floor</w:t>
            </w:r>
            <w:r w:rsidRPr="00A74A64">
              <w:rPr>
                <w:rFonts w:eastAsia="標楷體" w:hint="eastAsia"/>
                <w:sz w:val="28"/>
                <w:szCs w:val="28"/>
              </w:rPr>
              <w:t>等利率衍生性商品</w:t>
            </w:r>
            <w:r>
              <w:rPr>
                <w:rFonts w:eastAsia="標楷體" w:hint="eastAsia"/>
                <w:sz w:val="28"/>
                <w:szCs w:val="28"/>
              </w:rPr>
              <w:t>形成避險、套利與策略性交易組合</w:t>
            </w:r>
            <w:r w:rsidRPr="00A74A64">
              <w:rPr>
                <w:rFonts w:eastAsia="標楷體" w:hint="eastAsia"/>
                <w:sz w:val="28"/>
                <w:szCs w:val="28"/>
              </w:rPr>
              <w:t>，有利於國內利率衍生性商品交易更趨活絡，以提供資本市場更多策略性交易與避險工具。</w:t>
            </w:r>
          </w:p>
          <w:p w:rsidR="009B0EB4" w:rsidRPr="00EB2947" w:rsidRDefault="009B0EB4" w:rsidP="00E23E3C">
            <w:pPr>
              <w:numPr>
                <w:ilvl w:val="0"/>
                <w:numId w:val="12"/>
              </w:numPr>
              <w:spacing w:line="480" w:lineRule="exact"/>
              <w:ind w:rightChars="50" w:right="120"/>
              <w:jc w:val="both"/>
              <w:rPr>
                <w:rFonts w:eastAsia="標楷體"/>
                <w:sz w:val="28"/>
                <w:szCs w:val="28"/>
              </w:rPr>
            </w:pPr>
            <w:r w:rsidRPr="00EB2947">
              <w:rPr>
                <w:rFonts w:eastAsia="標楷體"/>
                <w:sz w:val="28"/>
                <w:szCs w:val="28"/>
              </w:rPr>
              <w:t>90</w:t>
            </w:r>
            <w:r w:rsidRPr="00EB2947">
              <w:rPr>
                <w:rFonts w:eastAsia="標楷體" w:hint="eastAsia"/>
                <w:sz w:val="28"/>
                <w:szCs w:val="28"/>
              </w:rPr>
              <w:t>天期商業本票利率可作為銀行辦理聯貸案、發行浮動利率公司債及結構型商品、承作</w:t>
            </w:r>
            <w:r w:rsidRPr="00EB2947">
              <w:rPr>
                <w:rFonts w:eastAsia="標楷體"/>
                <w:sz w:val="28"/>
                <w:szCs w:val="28"/>
              </w:rPr>
              <w:t>IRS</w:t>
            </w:r>
            <w:r w:rsidRPr="00EB2947">
              <w:rPr>
                <w:rFonts w:eastAsia="標楷體" w:hint="eastAsia"/>
                <w:sz w:val="28"/>
                <w:szCs w:val="28"/>
              </w:rPr>
              <w:t>等衍生性商品浮動利率之參考指標，</w:t>
            </w:r>
            <w:r w:rsidRPr="00EB2947">
              <w:rPr>
                <w:rFonts w:eastAsia="標楷體"/>
                <w:sz w:val="28"/>
                <w:szCs w:val="28"/>
              </w:rPr>
              <w:t>90</w:t>
            </w:r>
            <w:r w:rsidRPr="00EB2947">
              <w:rPr>
                <w:rFonts w:eastAsia="標楷體" w:hint="eastAsia"/>
                <w:sz w:val="28"/>
                <w:szCs w:val="28"/>
              </w:rPr>
              <w:t>天期利率期貨商品推出應可提供資本市場及貨幣市場另一重要避險管道，</w:t>
            </w:r>
            <w:r w:rsidRPr="00EB2947">
              <w:rPr>
                <w:rFonts w:eastAsia="標楷體"/>
                <w:sz w:val="28"/>
                <w:szCs w:val="28"/>
              </w:rPr>
              <w:t>90</w:t>
            </w:r>
            <w:r w:rsidRPr="00EB2947">
              <w:rPr>
                <w:rFonts w:eastAsia="標楷體" w:hint="eastAsia"/>
                <w:sz w:val="28"/>
                <w:szCs w:val="28"/>
              </w:rPr>
              <w:t>天期利率期貨商品之推出已具備相當之經濟效益及公共利益。</w:t>
            </w:r>
          </w:p>
          <w:p w:rsidR="009B0EB4" w:rsidRPr="00B14542" w:rsidRDefault="009B0EB4" w:rsidP="00E23E3C">
            <w:pPr>
              <w:numPr>
                <w:ilvl w:val="0"/>
                <w:numId w:val="12"/>
              </w:numPr>
              <w:spacing w:line="480" w:lineRule="exact"/>
              <w:ind w:rightChars="50" w:right="120"/>
              <w:jc w:val="both"/>
              <w:rPr>
                <w:rFonts w:eastAsia="標楷體"/>
                <w:sz w:val="28"/>
                <w:szCs w:val="28"/>
              </w:rPr>
            </w:pPr>
            <w:r w:rsidRPr="00B14542">
              <w:rPr>
                <w:rFonts w:eastAsia="標楷體" w:hint="eastAsia"/>
                <w:sz w:val="28"/>
                <w:szCs w:val="28"/>
              </w:rPr>
              <w:t>由國外成功發展經驗可知，</w:t>
            </w:r>
            <w:r w:rsidRPr="00B14542">
              <w:rPr>
                <w:rFonts w:eastAsia="標楷體"/>
                <w:sz w:val="28"/>
                <w:szCs w:val="28"/>
              </w:rPr>
              <w:t>90</w:t>
            </w:r>
            <w:r w:rsidRPr="00B14542">
              <w:rPr>
                <w:rFonts w:eastAsia="標楷體" w:hint="eastAsia"/>
                <w:sz w:val="28"/>
                <w:szCs w:val="28"/>
              </w:rPr>
              <w:t>天期利率期貨交易得以活絡主要歸功於</w:t>
            </w:r>
            <w:r w:rsidRPr="00B14542">
              <w:rPr>
                <w:rFonts w:eastAsia="標楷體"/>
                <w:sz w:val="28"/>
                <w:szCs w:val="28"/>
              </w:rPr>
              <w:t>IRS</w:t>
            </w:r>
            <w:r w:rsidRPr="00B14542">
              <w:rPr>
                <w:rFonts w:eastAsia="標楷體" w:hint="eastAsia"/>
                <w:sz w:val="28"/>
                <w:szCs w:val="28"/>
              </w:rPr>
              <w:t>市場帶動，</w:t>
            </w:r>
            <w:r>
              <w:rPr>
                <w:rFonts w:eastAsia="標楷體" w:hint="eastAsia"/>
                <w:sz w:val="28"/>
                <w:szCs w:val="28"/>
              </w:rPr>
              <w:t>在</w:t>
            </w:r>
            <w:r w:rsidRPr="00B14542">
              <w:rPr>
                <w:rFonts w:eastAsia="標楷體" w:hint="eastAsia"/>
                <w:sz w:val="28"/>
                <w:szCs w:val="28"/>
              </w:rPr>
              <w:t>新台幣</w:t>
            </w:r>
            <w:r w:rsidRPr="00B14542">
              <w:rPr>
                <w:rFonts w:eastAsia="標楷體"/>
                <w:sz w:val="28"/>
                <w:szCs w:val="28"/>
              </w:rPr>
              <w:t>IRS</w:t>
            </w:r>
            <w:r w:rsidRPr="00B14542">
              <w:rPr>
                <w:rFonts w:eastAsia="標楷體" w:hint="eastAsia"/>
                <w:sz w:val="28"/>
                <w:szCs w:val="28"/>
              </w:rPr>
              <w:t>交易活絡</w:t>
            </w:r>
            <w:r>
              <w:rPr>
                <w:rFonts w:eastAsia="標楷體" w:hint="eastAsia"/>
                <w:sz w:val="28"/>
                <w:szCs w:val="28"/>
              </w:rPr>
              <w:t>下</w:t>
            </w:r>
            <w:r w:rsidRPr="00B14542">
              <w:rPr>
                <w:rFonts w:eastAsia="標楷體" w:hint="eastAsia"/>
                <w:sz w:val="28"/>
                <w:szCs w:val="28"/>
              </w:rPr>
              <w:t>，</w:t>
            </w:r>
            <w:r w:rsidRPr="00B14542">
              <w:rPr>
                <w:rFonts w:eastAsia="標楷體"/>
                <w:sz w:val="28"/>
                <w:szCs w:val="28"/>
              </w:rPr>
              <w:t>90</w:t>
            </w:r>
            <w:r w:rsidRPr="00B14542">
              <w:rPr>
                <w:rFonts w:eastAsia="標楷體" w:hint="eastAsia"/>
                <w:sz w:val="28"/>
                <w:szCs w:val="28"/>
              </w:rPr>
              <w:t>天期利率期貨推出應可能較</w:t>
            </w:r>
            <w:r w:rsidRPr="00B14542">
              <w:rPr>
                <w:rFonts w:eastAsia="標楷體"/>
                <w:sz w:val="28"/>
                <w:szCs w:val="28"/>
              </w:rPr>
              <w:t>30</w:t>
            </w:r>
            <w:r w:rsidRPr="00B14542">
              <w:rPr>
                <w:rFonts w:eastAsia="標楷體" w:hint="eastAsia"/>
                <w:sz w:val="28"/>
                <w:szCs w:val="28"/>
              </w:rPr>
              <w:t>天期利率期貨具市場需求。</w:t>
            </w:r>
          </w:p>
          <w:p w:rsidR="009B0EB4" w:rsidRPr="00EB2947" w:rsidRDefault="009B0EB4" w:rsidP="00E23E3C">
            <w:pPr>
              <w:numPr>
                <w:ilvl w:val="0"/>
                <w:numId w:val="12"/>
              </w:numPr>
              <w:spacing w:line="480" w:lineRule="exact"/>
              <w:ind w:rightChars="50" w:right="120"/>
              <w:jc w:val="both"/>
              <w:rPr>
                <w:rFonts w:eastAsia="標楷體"/>
                <w:sz w:val="28"/>
                <w:szCs w:val="28"/>
              </w:rPr>
            </w:pPr>
            <w:r w:rsidRPr="00EB2947">
              <w:rPr>
                <w:rFonts w:eastAsia="標楷體" w:hint="eastAsia"/>
                <w:sz w:val="28"/>
                <w:szCs w:val="28"/>
              </w:rPr>
              <w:t>據</w:t>
            </w:r>
            <w:r w:rsidRPr="00EB2947">
              <w:rPr>
                <w:rFonts w:eastAsia="標楷體"/>
                <w:sz w:val="28"/>
                <w:szCs w:val="28"/>
              </w:rPr>
              <w:t>2011</w:t>
            </w:r>
            <w:r w:rsidRPr="00EB2947">
              <w:rPr>
                <w:rFonts w:eastAsia="標楷體" w:hint="eastAsia"/>
                <w:sz w:val="28"/>
                <w:szCs w:val="28"/>
              </w:rPr>
              <w:t>年</w:t>
            </w:r>
            <w:r>
              <w:rPr>
                <w:rFonts w:eastAsia="標楷體" w:hint="eastAsia"/>
                <w:sz w:val="28"/>
                <w:szCs w:val="28"/>
              </w:rPr>
              <w:t>對</w:t>
            </w:r>
            <w:r w:rsidRPr="00EB2947">
              <w:rPr>
                <w:rFonts w:eastAsia="標楷體"/>
                <w:sz w:val="28"/>
                <w:szCs w:val="28"/>
              </w:rPr>
              <w:t>IRS</w:t>
            </w:r>
            <w:r w:rsidRPr="00EB2947">
              <w:rPr>
                <w:rFonts w:eastAsia="標楷體" w:hint="eastAsia"/>
                <w:sz w:val="28"/>
                <w:szCs w:val="28"/>
              </w:rPr>
              <w:t>交易商</w:t>
            </w:r>
            <w:r>
              <w:rPr>
                <w:rFonts w:eastAsia="標楷體" w:hint="eastAsia"/>
                <w:sz w:val="28"/>
                <w:szCs w:val="28"/>
              </w:rPr>
              <w:t>之新商品交易</w:t>
            </w:r>
            <w:r w:rsidRPr="00EB2947">
              <w:rPr>
                <w:rFonts w:eastAsia="標楷體" w:hint="eastAsia"/>
                <w:sz w:val="28"/>
                <w:szCs w:val="28"/>
              </w:rPr>
              <w:t>需求訪談結果，金融機構</w:t>
            </w:r>
            <w:r w:rsidRPr="00EB2947">
              <w:rPr>
                <w:rFonts w:eastAsia="標楷體"/>
                <w:sz w:val="28"/>
                <w:szCs w:val="28"/>
              </w:rPr>
              <w:t>90</w:t>
            </w:r>
            <w:r w:rsidRPr="00EB2947">
              <w:rPr>
                <w:rFonts w:eastAsia="標楷體" w:hint="eastAsia"/>
                <w:sz w:val="28"/>
                <w:szCs w:val="28"/>
              </w:rPr>
              <w:t>天期浮動利率部位多連結</w:t>
            </w:r>
            <w:r w:rsidRPr="00EB2947">
              <w:rPr>
                <w:rFonts w:eastAsia="標楷體"/>
                <w:sz w:val="28"/>
                <w:szCs w:val="28"/>
              </w:rPr>
              <w:t>6165</w:t>
            </w:r>
            <w:r w:rsidRPr="00EB2947">
              <w:rPr>
                <w:rFonts w:eastAsia="標楷體" w:hint="eastAsia"/>
                <w:sz w:val="28"/>
                <w:szCs w:val="28"/>
              </w:rPr>
              <w:t>頁面指標，</w:t>
            </w:r>
            <w:r w:rsidRPr="00A74A64">
              <w:rPr>
                <w:rFonts w:eastAsia="標楷體" w:hint="eastAsia"/>
                <w:sz w:val="28"/>
                <w:szCs w:val="28"/>
              </w:rPr>
              <w:t>在主管機關尚未強制立法要求金融機構應選擇公正客觀及合理之短期利率指標前，如改採</w:t>
            </w:r>
            <w:r w:rsidRPr="00A74A64">
              <w:rPr>
                <w:rFonts w:eastAsia="標楷體"/>
                <w:sz w:val="28"/>
                <w:szCs w:val="28"/>
              </w:rPr>
              <w:t>90</w:t>
            </w:r>
            <w:r w:rsidRPr="00A74A64">
              <w:rPr>
                <w:rFonts w:eastAsia="標楷體" w:hint="eastAsia"/>
                <w:sz w:val="28"/>
                <w:szCs w:val="28"/>
              </w:rPr>
              <w:t>天期</w:t>
            </w:r>
            <w:r w:rsidRPr="00A74A64">
              <w:rPr>
                <w:rFonts w:eastAsia="標楷體"/>
                <w:sz w:val="28"/>
                <w:szCs w:val="28"/>
              </w:rPr>
              <w:t>TAIBIR</w:t>
            </w:r>
            <w:r w:rsidRPr="00A74A64">
              <w:rPr>
                <w:rFonts w:eastAsia="標楷體" w:hint="eastAsia"/>
                <w:sz w:val="28"/>
                <w:szCs w:val="28"/>
              </w:rPr>
              <w:t>期貨商品進行避險交易，</w:t>
            </w:r>
            <w:r>
              <w:rPr>
                <w:rFonts w:eastAsia="標楷體" w:hint="eastAsia"/>
                <w:sz w:val="28"/>
                <w:szCs w:val="28"/>
              </w:rPr>
              <w:t>仍需給予市場</w:t>
            </w:r>
            <w:r w:rsidRPr="00A74A64">
              <w:rPr>
                <w:rFonts w:eastAsia="標楷體" w:hint="eastAsia"/>
                <w:sz w:val="28"/>
                <w:szCs w:val="28"/>
              </w:rPr>
              <w:t>適應之時間。</w:t>
            </w:r>
          </w:p>
          <w:p w:rsidR="009B0EB4" w:rsidRPr="00EB2947" w:rsidRDefault="009B0EB4" w:rsidP="00E23E3C">
            <w:pPr>
              <w:numPr>
                <w:ilvl w:val="0"/>
                <w:numId w:val="12"/>
              </w:numPr>
              <w:spacing w:line="480" w:lineRule="exact"/>
              <w:ind w:rightChars="50" w:right="120"/>
              <w:jc w:val="both"/>
              <w:rPr>
                <w:rFonts w:eastAsia="標楷體"/>
                <w:sz w:val="28"/>
                <w:szCs w:val="28"/>
              </w:rPr>
            </w:pPr>
            <w:r w:rsidRPr="00EB2947">
              <w:rPr>
                <w:rFonts w:eastAsia="標楷體" w:hint="eastAsia"/>
                <w:sz w:val="28"/>
                <w:szCs w:val="28"/>
              </w:rPr>
              <w:t>據</w:t>
            </w:r>
            <w:r w:rsidRPr="00EB2947">
              <w:rPr>
                <w:rFonts w:eastAsia="標楷體"/>
                <w:sz w:val="28"/>
                <w:szCs w:val="28"/>
              </w:rPr>
              <w:t>2012</w:t>
            </w:r>
            <w:r w:rsidRPr="00EB2947">
              <w:rPr>
                <w:rFonts w:eastAsia="標楷體" w:hint="eastAsia"/>
                <w:sz w:val="28"/>
                <w:szCs w:val="28"/>
              </w:rPr>
              <w:t>年</w:t>
            </w:r>
            <w:r>
              <w:rPr>
                <w:rFonts w:eastAsia="標楷體" w:hint="eastAsia"/>
                <w:sz w:val="28"/>
                <w:szCs w:val="28"/>
              </w:rPr>
              <w:t>對</w:t>
            </w:r>
            <w:r w:rsidRPr="00EB2947">
              <w:rPr>
                <w:rFonts w:eastAsia="標楷體" w:hint="eastAsia"/>
                <w:sz w:val="28"/>
                <w:szCs w:val="28"/>
              </w:rPr>
              <w:t>期貨商</w:t>
            </w:r>
            <w:r>
              <w:rPr>
                <w:rFonts w:eastAsia="標楷體" w:hint="eastAsia"/>
                <w:sz w:val="28"/>
                <w:szCs w:val="28"/>
              </w:rPr>
              <w:t>之新商品交易</w:t>
            </w:r>
            <w:r w:rsidRPr="00EB2947">
              <w:rPr>
                <w:rFonts w:eastAsia="標楷體" w:hint="eastAsia"/>
                <w:sz w:val="28"/>
                <w:szCs w:val="28"/>
              </w:rPr>
              <w:t>需求訪談結果，現階段自然人對於利率商品尚不熟悉，參與交易之意願不高，恐將不利於提升</w:t>
            </w:r>
            <w:r w:rsidRPr="00EB2947">
              <w:rPr>
                <w:rFonts w:eastAsia="標楷體"/>
                <w:sz w:val="28"/>
                <w:szCs w:val="28"/>
              </w:rPr>
              <w:t>90</w:t>
            </w:r>
            <w:r w:rsidRPr="00EB2947">
              <w:rPr>
                <w:rFonts w:eastAsia="標楷體" w:hint="eastAsia"/>
                <w:sz w:val="28"/>
                <w:szCs w:val="28"/>
              </w:rPr>
              <w:t>天期利率期貨參與者深度與廣度。</w:t>
            </w:r>
          </w:p>
          <w:p w:rsidR="009B0EB4" w:rsidRDefault="009B0EB4" w:rsidP="00E23E3C">
            <w:pPr>
              <w:numPr>
                <w:ilvl w:val="0"/>
                <w:numId w:val="12"/>
              </w:numPr>
              <w:spacing w:line="480" w:lineRule="exact"/>
              <w:ind w:rightChars="50" w:right="120"/>
              <w:jc w:val="both"/>
              <w:rPr>
                <w:rFonts w:eastAsia="標楷體"/>
                <w:sz w:val="28"/>
                <w:szCs w:val="28"/>
              </w:rPr>
            </w:pPr>
            <w:r w:rsidRPr="00392EA1">
              <w:rPr>
                <w:rFonts w:eastAsia="標楷體" w:hint="eastAsia"/>
                <w:sz w:val="28"/>
                <w:szCs w:val="28"/>
              </w:rPr>
              <w:t>綜上，</w:t>
            </w:r>
            <w:r w:rsidRPr="00392EA1">
              <w:rPr>
                <w:rFonts w:eastAsia="標楷體"/>
                <w:sz w:val="28"/>
                <w:szCs w:val="28"/>
              </w:rPr>
              <w:t>90</w:t>
            </w:r>
            <w:r w:rsidRPr="00392EA1">
              <w:rPr>
                <w:rFonts w:eastAsia="標楷體" w:hint="eastAsia"/>
                <w:sz w:val="28"/>
                <w:szCs w:val="28"/>
              </w:rPr>
              <w:t>天期利率期貨推出雖已具備相當之經濟效益及公共利益，且應可能較現有</w:t>
            </w:r>
            <w:r w:rsidRPr="00392EA1">
              <w:rPr>
                <w:rFonts w:eastAsia="標楷體"/>
                <w:sz w:val="28"/>
                <w:szCs w:val="28"/>
              </w:rPr>
              <w:t>30</w:t>
            </w:r>
            <w:r w:rsidRPr="00392EA1">
              <w:rPr>
                <w:rFonts w:eastAsia="標楷體" w:hint="eastAsia"/>
                <w:sz w:val="28"/>
                <w:szCs w:val="28"/>
              </w:rPr>
              <w:t>天期利率期貨具市場需求，惟考量現階段</w:t>
            </w:r>
            <w:r w:rsidRPr="00392EA1">
              <w:rPr>
                <w:rFonts w:eastAsia="標楷體"/>
                <w:sz w:val="28"/>
                <w:szCs w:val="28"/>
              </w:rPr>
              <w:t>TAIBIR</w:t>
            </w:r>
            <w:r w:rsidRPr="00392EA1">
              <w:rPr>
                <w:rFonts w:eastAsia="標楷體" w:hint="eastAsia"/>
                <w:sz w:val="28"/>
                <w:szCs w:val="28"/>
              </w:rPr>
              <w:t>指標於業界之使用尚未普遍下，</w:t>
            </w:r>
            <w:r w:rsidRPr="00D64609">
              <w:rPr>
                <w:rFonts w:eastAsia="標楷體" w:hint="eastAsia"/>
                <w:sz w:val="28"/>
                <w:szCs w:val="28"/>
              </w:rPr>
              <w:t>如欲改採</w:t>
            </w:r>
            <w:r w:rsidRPr="00D64609">
              <w:rPr>
                <w:rFonts w:eastAsia="標楷體"/>
                <w:sz w:val="28"/>
                <w:szCs w:val="28"/>
              </w:rPr>
              <w:t>90</w:t>
            </w:r>
            <w:r w:rsidRPr="00D64609">
              <w:rPr>
                <w:rFonts w:eastAsia="標楷體" w:hint="eastAsia"/>
                <w:sz w:val="28"/>
                <w:szCs w:val="28"/>
              </w:rPr>
              <w:t>天期</w:t>
            </w:r>
            <w:r w:rsidRPr="00D64609">
              <w:rPr>
                <w:rFonts w:eastAsia="標楷體"/>
                <w:sz w:val="28"/>
                <w:szCs w:val="28"/>
              </w:rPr>
              <w:t>TAIBIR</w:t>
            </w:r>
            <w:r w:rsidRPr="00D64609">
              <w:rPr>
                <w:rFonts w:eastAsia="標楷體" w:hint="eastAsia"/>
                <w:sz w:val="28"/>
                <w:szCs w:val="28"/>
              </w:rPr>
              <w:t>期貨商品進行部位避險交易，可能仍需給予市場適應期</w:t>
            </w:r>
            <w:r w:rsidRPr="00392EA1">
              <w:rPr>
                <w:rFonts w:eastAsia="標楷體" w:hint="eastAsia"/>
                <w:sz w:val="28"/>
                <w:szCs w:val="28"/>
              </w:rPr>
              <w:t>；另國內自然人因對利率商品較不熟悉，目前參與交易之意願尚不高。</w:t>
            </w:r>
            <w:r w:rsidRPr="00D64609">
              <w:rPr>
                <w:rFonts w:eastAsia="標楷體" w:hint="eastAsia"/>
                <w:sz w:val="28"/>
                <w:szCs w:val="28"/>
              </w:rPr>
              <w:t>尤以，目前利率市場正處於低波動度及走勢不明之下，暫不易吸引交易人進場參與，故現階段尚未是國內推出</w:t>
            </w:r>
            <w:r w:rsidRPr="00D64609">
              <w:rPr>
                <w:rFonts w:eastAsia="標楷體"/>
                <w:sz w:val="28"/>
                <w:szCs w:val="28"/>
              </w:rPr>
              <w:t>90</w:t>
            </w:r>
            <w:r w:rsidRPr="00D64609">
              <w:rPr>
                <w:rFonts w:eastAsia="標楷體" w:hint="eastAsia"/>
                <w:sz w:val="28"/>
                <w:szCs w:val="28"/>
              </w:rPr>
              <w:t>天期</w:t>
            </w:r>
            <w:r w:rsidRPr="00D64609">
              <w:rPr>
                <w:rFonts w:eastAsia="標楷體"/>
                <w:sz w:val="28"/>
                <w:szCs w:val="28"/>
              </w:rPr>
              <w:t>TAIBIR</w:t>
            </w:r>
            <w:r w:rsidRPr="00D64609">
              <w:rPr>
                <w:rFonts w:eastAsia="標楷體" w:hint="eastAsia"/>
                <w:sz w:val="28"/>
                <w:szCs w:val="28"/>
              </w:rPr>
              <w:t>利率期貨商品之最佳時機。</w:t>
            </w:r>
          </w:p>
          <w:p w:rsidR="009B0EB4" w:rsidRPr="00691BA9" w:rsidRDefault="009B0EB4" w:rsidP="00E23E3C">
            <w:pPr>
              <w:numPr>
                <w:ilvl w:val="0"/>
                <w:numId w:val="12"/>
              </w:numPr>
              <w:spacing w:line="480" w:lineRule="exact"/>
              <w:ind w:rightChars="50" w:right="120"/>
              <w:jc w:val="both"/>
              <w:rPr>
                <w:rFonts w:eastAsia="標楷體"/>
                <w:sz w:val="28"/>
                <w:szCs w:val="28"/>
              </w:rPr>
            </w:pPr>
            <w:r w:rsidRPr="00392EA1">
              <w:rPr>
                <w:rFonts w:eastAsia="標楷體" w:hint="eastAsia"/>
                <w:sz w:val="28"/>
                <w:szCs w:val="28"/>
              </w:rPr>
              <w:t>建議集保結算所仍須對於企業採用</w:t>
            </w:r>
            <w:r w:rsidRPr="00392EA1">
              <w:rPr>
                <w:rFonts w:eastAsia="標楷體"/>
                <w:sz w:val="28"/>
                <w:szCs w:val="28"/>
              </w:rPr>
              <w:t>TAIBIR</w:t>
            </w:r>
            <w:r w:rsidRPr="00392EA1">
              <w:rPr>
                <w:rFonts w:eastAsia="標楷體" w:hint="eastAsia"/>
                <w:sz w:val="28"/>
                <w:szCs w:val="28"/>
              </w:rPr>
              <w:t>指標所可能帶來的效益，應持續進行教育宣導，方能提高企業之使用意願，亦能吸引一般投資人目光。待市場對於</w:t>
            </w:r>
            <w:r w:rsidRPr="00392EA1">
              <w:rPr>
                <w:rFonts w:eastAsia="標楷體"/>
                <w:sz w:val="28"/>
                <w:szCs w:val="28"/>
              </w:rPr>
              <w:t>TAIBIR</w:t>
            </w:r>
            <w:r w:rsidRPr="00392EA1">
              <w:rPr>
                <w:rFonts w:eastAsia="標楷體" w:hint="eastAsia"/>
                <w:sz w:val="28"/>
                <w:szCs w:val="28"/>
              </w:rPr>
              <w:t>利率指標採用更普遍、更熟悉及</w:t>
            </w:r>
            <w:r>
              <w:rPr>
                <w:rFonts w:eastAsia="標楷體" w:hint="eastAsia"/>
                <w:sz w:val="28"/>
                <w:szCs w:val="28"/>
              </w:rPr>
              <w:t>市場</w:t>
            </w:r>
            <w:r w:rsidRPr="00392EA1">
              <w:rPr>
                <w:rFonts w:eastAsia="標楷體" w:hint="eastAsia"/>
                <w:sz w:val="28"/>
                <w:szCs w:val="28"/>
              </w:rPr>
              <w:t>發展更成熟後，再行評估</w:t>
            </w:r>
            <w:r w:rsidRPr="00392EA1">
              <w:rPr>
                <w:rFonts w:eastAsia="標楷體"/>
                <w:sz w:val="28"/>
                <w:szCs w:val="28"/>
              </w:rPr>
              <w:t>90</w:t>
            </w:r>
            <w:r w:rsidRPr="00392EA1">
              <w:rPr>
                <w:rFonts w:eastAsia="標楷體" w:hint="eastAsia"/>
                <w:sz w:val="28"/>
                <w:szCs w:val="28"/>
              </w:rPr>
              <w:t>天期</w:t>
            </w:r>
            <w:r w:rsidRPr="00392EA1">
              <w:rPr>
                <w:rFonts w:eastAsia="標楷體"/>
                <w:sz w:val="28"/>
                <w:szCs w:val="28"/>
              </w:rPr>
              <w:t>TAIBIR</w:t>
            </w:r>
            <w:r w:rsidRPr="00392EA1">
              <w:rPr>
                <w:rFonts w:eastAsia="標楷體" w:hint="eastAsia"/>
                <w:sz w:val="28"/>
                <w:szCs w:val="28"/>
              </w:rPr>
              <w:t>利率期貨上市之可行性。</w:t>
            </w:r>
          </w:p>
        </w:tc>
      </w:tr>
    </w:tbl>
    <w:p w:rsidR="009B0EB4" w:rsidRPr="00691BA9" w:rsidRDefault="009B0EB4" w:rsidP="00BD09D1">
      <w:pPr>
        <w:rPr>
          <w:rFonts w:ascii="標楷體" w:eastAsia="標楷體" w:hAnsi="標楷體"/>
        </w:rPr>
      </w:pPr>
      <w:r w:rsidRPr="00691BA9">
        <w:rPr>
          <w:rFonts w:ascii="標楷體" w:eastAsia="標楷體" w:hAnsi="標楷體" w:hint="eastAsia"/>
        </w:rPr>
        <w:t>附註：一、報告內容提要應包括下列二部分：</w:t>
      </w:r>
    </w:p>
    <w:p w:rsidR="009B0EB4" w:rsidRPr="00691BA9" w:rsidRDefault="009B0EB4" w:rsidP="00BD09D1">
      <w:pPr>
        <w:ind w:left="720"/>
        <w:rPr>
          <w:rFonts w:ascii="標楷體" w:eastAsia="標楷體" w:hAnsi="標楷體"/>
        </w:rPr>
      </w:pPr>
      <w:r w:rsidRPr="00691BA9">
        <w:rPr>
          <w:rFonts w:ascii="標楷體" w:eastAsia="標楷體" w:hAnsi="標楷體" w:hint="eastAsia"/>
        </w:rPr>
        <w:t>（一）研究內容重點</w:t>
      </w:r>
    </w:p>
    <w:p w:rsidR="009B0EB4" w:rsidRPr="00691BA9" w:rsidRDefault="009B0EB4" w:rsidP="00BD09D1">
      <w:pPr>
        <w:ind w:firstLineChars="303" w:firstLine="727"/>
        <w:rPr>
          <w:rFonts w:ascii="標楷體" w:eastAsia="標楷體" w:hAnsi="標楷體"/>
        </w:rPr>
      </w:pPr>
      <w:r w:rsidRPr="00691BA9">
        <w:rPr>
          <w:rFonts w:ascii="標楷體" w:eastAsia="標楷體" w:hAnsi="標楷體" w:hint="eastAsia"/>
        </w:rPr>
        <w:t>（二）結論與建議事項</w:t>
      </w:r>
    </w:p>
    <w:p w:rsidR="009B0EB4" w:rsidRPr="00691BA9" w:rsidRDefault="009B0EB4" w:rsidP="00BD09D1">
      <w:pPr>
        <w:ind w:firstLineChars="297" w:firstLine="713"/>
        <w:rPr>
          <w:rFonts w:ascii="標楷體" w:eastAsia="標楷體" w:hAnsi="標楷體"/>
        </w:rPr>
      </w:pPr>
      <w:r w:rsidRPr="00691BA9">
        <w:rPr>
          <w:rFonts w:ascii="標楷體" w:eastAsia="標楷體" w:hAnsi="標楷體" w:hint="eastAsia"/>
        </w:rPr>
        <w:t>二、本提要表須附電子檔</w:t>
      </w:r>
    </w:p>
    <w:sectPr w:rsidR="009B0EB4" w:rsidRPr="00691BA9" w:rsidSect="001614D7">
      <w:footerReference w:type="even" r:id="rId8"/>
      <w:footerReference w:type="default" r:id="rId9"/>
      <w:pgSz w:w="11906" w:h="16838" w:code="9"/>
      <w:pgMar w:top="1440" w:right="1474" w:bottom="1440" w:left="147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EB4" w:rsidRDefault="009B0EB4">
      <w:r>
        <w:separator/>
      </w:r>
    </w:p>
  </w:endnote>
  <w:endnote w:type="continuationSeparator" w:id="0">
    <w:p w:rsidR="009B0EB4" w:rsidRDefault="009B0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B4" w:rsidRDefault="009B0EB4" w:rsidP="001028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0EB4" w:rsidRDefault="009B0E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B4" w:rsidRDefault="009B0EB4" w:rsidP="001028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0EB4" w:rsidRDefault="009B0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EB4" w:rsidRDefault="009B0EB4">
      <w:r>
        <w:separator/>
      </w:r>
    </w:p>
  </w:footnote>
  <w:footnote w:type="continuationSeparator" w:id="0">
    <w:p w:rsidR="009B0EB4" w:rsidRDefault="009B0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DA"/>
    <w:multiLevelType w:val="hybridMultilevel"/>
    <w:tmpl w:val="5C7469BC"/>
    <w:lvl w:ilvl="0" w:tplc="9DAE9242">
      <w:start w:val="1"/>
      <w:numFmt w:val="taiwaneseCountingThousand"/>
      <w:lvlText w:val="(%1)"/>
      <w:lvlJc w:val="left"/>
      <w:pPr>
        <w:tabs>
          <w:tab w:val="num" w:pos="1283"/>
        </w:tabs>
        <w:ind w:left="1283" w:hanging="720"/>
      </w:pPr>
      <w:rPr>
        <w:rFonts w:ascii="Times New Roman" w:cs="Times New Roman" w:hint="eastAsia"/>
      </w:rPr>
    </w:lvl>
    <w:lvl w:ilvl="1" w:tplc="04090019" w:tentative="1">
      <w:start w:val="1"/>
      <w:numFmt w:val="ideographTraditional"/>
      <w:lvlText w:val="%2、"/>
      <w:lvlJc w:val="left"/>
      <w:pPr>
        <w:tabs>
          <w:tab w:val="num" w:pos="1523"/>
        </w:tabs>
        <w:ind w:left="1523" w:hanging="480"/>
      </w:pPr>
      <w:rPr>
        <w:rFonts w:cs="Times New Roman"/>
      </w:rPr>
    </w:lvl>
    <w:lvl w:ilvl="2" w:tplc="0409001B" w:tentative="1">
      <w:start w:val="1"/>
      <w:numFmt w:val="lowerRoman"/>
      <w:lvlText w:val="%3."/>
      <w:lvlJc w:val="right"/>
      <w:pPr>
        <w:tabs>
          <w:tab w:val="num" w:pos="2003"/>
        </w:tabs>
        <w:ind w:left="2003" w:hanging="480"/>
      </w:pPr>
      <w:rPr>
        <w:rFonts w:cs="Times New Roman"/>
      </w:rPr>
    </w:lvl>
    <w:lvl w:ilvl="3" w:tplc="0409000F" w:tentative="1">
      <w:start w:val="1"/>
      <w:numFmt w:val="decimal"/>
      <w:lvlText w:val="%4."/>
      <w:lvlJc w:val="left"/>
      <w:pPr>
        <w:tabs>
          <w:tab w:val="num" w:pos="2483"/>
        </w:tabs>
        <w:ind w:left="2483" w:hanging="480"/>
      </w:pPr>
      <w:rPr>
        <w:rFonts w:cs="Times New Roman"/>
      </w:rPr>
    </w:lvl>
    <w:lvl w:ilvl="4" w:tplc="04090019" w:tentative="1">
      <w:start w:val="1"/>
      <w:numFmt w:val="ideographTraditional"/>
      <w:lvlText w:val="%5、"/>
      <w:lvlJc w:val="left"/>
      <w:pPr>
        <w:tabs>
          <w:tab w:val="num" w:pos="2963"/>
        </w:tabs>
        <w:ind w:left="2963" w:hanging="480"/>
      </w:pPr>
      <w:rPr>
        <w:rFonts w:cs="Times New Roman"/>
      </w:rPr>
    </w:lvl>
    <w:lvl w:ilvl="5" w:tplc="0409001B" w:tentative="1">
      <w:start w:val="1"/>
      <w:numFmt w:val="lowerRoman"/>
      <w:lvlText w:val="%6."/>
      <w:lvlJc w:val="right"/>
      <w:pPr>
        <w:tabs>
          <w:tab w:val="num" w:pos="3443"/>
        </w:tabs>
        <w:ind w:left="3443" w:hanging="480"/>
      </w:pPr>
      <w:rPr>
        <w:rFonts w:cs="Times New Roman"/>
      </w:rPr>
    </w:lvl>
    <w:lvl w:ilvl="6" w:tplc="0409000F" w:tentative="1">
      <w:start w:val="1"/>
      <w:numFmt w:val="decimal"/>
      <w:lvlText w:val="%7."/>
      <w:lvlJc w:val="left"/>
      <w:pPr>
        <w:tabs>
          <w:tab w:val="num" w:pos="3923"/>
        </w:tabs>
        <w:ind w:left="3923" w:hanging="480"/>
      </w:pPr>
      <w:rPr>
        <w:rFonts w:cs="Times New Roman"/>
      </w:rPr>
    </w:lvl>
    <w:lvl w:ilvl="7" w:tplc="04090019" w:tentative="1">
      <w:start w:val="1"/>
      <w:numFmt w:val="ideographTraditional"/>
      <w:lvlText w:val="%8、"/>
      <w:lvlJc w:val="left"/>
      <w:pPr>
        <w:tabs>
          <w:tab w:val="num" w:pos="4403"/>
        </w:tabs>
        <w:ind w:left="4403" w:hanging="480"/>
      </w:pPr>
      <w:rPr>
        <w:rFonts w:cs="Times New Roman"/>
      </w:rPr>
    </w:lvl>
    <w:lvl w:ilvl="8" w:tplc="0409001B" w:tentative="1">
      <w:start w:val="1"/>
      <w:numFmt w:val="lowerRoman"/>
      <w:lvlText w:val="%9."/>
      <w:lvlJc w:val="right"/>
      <w:pPr>
        <w:tabs>
          <w:tab w:val="num" w:pos="4883"/>
        </w:tabs>
        <w:ind w:left="4883" w:hanging="480"/>
      </w:pPr>
      <w:rPr>
        <w:rFonts w:cs="Times New Roman"/>
      </w:rPr>
    </w:lvl>
  </w:abstractNum>
  <w:abstractNum w:abstractNumId="1">
    <w:nsid w:val="18D26C1C"/>
    <w:multiLevelType w:val="hybridMultilevel"/>
    <w:tmpl w:val="65725282"/>
    <w:lvl w:ilvl="0" w:tplc="0409000F">
      <w:start w:val="1"/>
      <w:numFmt w:val="decimal"/>
      <w:lvlText w:val="%1."/>
      <w:lvlJc w:val="left"/>
      <w:pPr>
        <w:ind w:left="756" w:hanging="480"/>
      </w:pPr>
      <w:rPr>
        <w:rFonts w:cs="Times New Roman"/>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2">
    <w:nsid w:val="2D827DB0"/>
    <w:multiLevelType w:val="hybridMultilevel"/>
    <w:tmpl w:val="D89A0B86"/>
    <w:lvl w:ilvl="0" w:tplc="A11085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4974917"/>
    <w:multiLevelType w:val="hybridMultilevel"/>
    <w:tmpl w:val="C5A4B3B6"/>
    <w:lvl w:ilvl="0" w:tplc="2AA672BA">
      <w:start w:val="1"/>
      <w:numFmt w:val="taiwaneseCountingThousand"/>
      <w:lvlText w:val="%1、"/>
      <w:lvlJc w:val="left"/>
      <w:pPr>
        <w:ind w:left="1008" w:hanging="720"/>
      </w:pPr>
      <w:rPr>
        <w:rFonts w:cs="Times New Roman" w:hint="default"/>
      </w:rPr>
    </w:lvl>
    <w:lvl w:ilvl="1" w:tplc="04090019" w:tentative="1">
      <w:start w:val="1"/>
      <w:numFmt w:val="ideographTraditional"/>
      <w:lvlText w:val="%2、"/>
      <w:lvlJc w:val="left"/>
      <w:pPr>
        <w:ind w:left="1248" w:hanging="480"/>
      </w:pPr>
      <w:rPr>
        <w:rFonts w:cs="Times New Roman"/>
      </w:rPr>
    </w:lvl>
    <w:lvl w:ilvl="2" w:tplc="0409001B" w:tentative="1">
      <w:start w:val="1"/>
      <w:numFmt w:val="lowerRoman"/>
      <w:lvlText w:val="%3."/>
      <w:lvlJc w:val="right"/>
      <w:pPr>
        <w:ind w:left="1728" w:hanging="480"/>
      </w:pPr>
      <w:rPr>
        <w:rFonts w:cs="Times New Roman"/>
      </w:rPr>
    </w:lvl>
    <w:lvl w:ilvl="3" w:tplc="0409000F" w:tentative="1">
      <w:start w:val="1"/>
      <w:numFmt w:val="decimal"/>
      <w:lvlText w:val="%4."/>
      <w:lvlJc w:val="left"/>
      <w:pPr>
        <w:ind w:left="2208" w:hanging="480"/>
      </w:pPr>
      <w:rPr>
        <w:rFonts w:cs="Times New Roman"/>
      </w:rPr>
    </w:lvl>
    <w:lvl w:ilvl="4" w:tplc="04090019" w:tentative="1">
      <w:start w:val="1"/>
      <w:numFmt w:val="ideographTraditional"/>
      <w:lvlText w:val="%5、"/>
      <w:lvlJc w:val="left"/>
      <w:pPr>
        <w:ind w:left="2688" w:hanging="480"/>
      </w:pPr>
      <w:rPr>
        <w:rFonts w:cs="Times New Roman"/>
      </w:rPr>
    </w:lvl>
    <w:lvl w:ilvl="5" w:tplc="0409001B" w:tentative="1">
      <w:start w:val="1"/>
      <w:numFmt w:val="lowerRoman"/>
      <w:lvlText w:val="%6."/>
      <w:lvlJc w:val="right"/>
      <w:pPr>
        <w:ind w:left="3168" w:hanging="480"/>
      </w:pPr>
      <w:rPr>
        <w:rFonts w:cs="Times New Roman"/>
      </w:rPr>
    </w:lvl>
    <w:lvl w:ilvl="6" w:tplc="0409000F" w:tentative="1">
      <w:start w:val="1"/>
      <w:numFmt w:val="decimal"/>
      <w:lvlText w:val="%7."/>
      <w:lvlJc w:val="left"/>
      <w:pPr>
        <w:ind w:left="3648" w:hanging="480"/>
      </w:pPr>
      <w:rPr>
        <w:rFonts w:cs="Times New Roman"/>
      </w:rPr>
    </w:lvl>
    <w:lvl w:ilvl="7" w:tplc="04090019" w:tentative="1">
      <w:start w:val="1"/>
      <w:numFmt w:val="ideographTraditional"/>
      <w:lvlText w:val="%8、"/>
      <w:lvlJc w:val="left"/>
      <w:pPr>
        <w:ind w:left="4128" w:hanging="480"/>
      </w:pPr>
      <w:rPr>
        <w:rFonts w:cs="Times New Roman"/>
      </w:rPr>
    </w:lvl>
    <w:lvl w:ilvl="8" w:tplc="0409001B" w:tentative="1">
      <w:start w:val="1"/>
      <w:numFmt w:val="lowerRoman"/>
      <w:lvlText w:val="%9."/>
      <w:lvlJc w:val="right"/>
      <w:pPr>
        <w:ind w:left="4608" w:hanging="480"/>
      </w:pPr>
      <w:rPr>
        <w:rFonts w:cs="Times New Roman"/>
      </w:rPr>
    </w:lvl>
  </w:abstractNum>
  <w:abstractNum w:abstractNumId="4">
    <w:nsid w:val="3FA31B0B"/>
    <w:multiLevelType w:val="hybridMultilevel"/>
    <w:tmpl w:val="5D307A8C"/>
    <w:lvl w:ilvl="0" w:tplc="2AA672BA">
      <w:start w:val="1"/>
      <w:numFmt w:val="taiwaneseCountingThousand"/>
      <w:lvlText w:val="%1、"/>
      <w:lvlJc w:val="left"/>
      <w:pPr>
        <w:ind w:left="1008"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5F334B7"/>
    <w:multiLevelType w:val="multilevel"/>
    <w:tmpl w:val="DB865FA4"/>
    <w:lvl w:ilvl="0">
      <w:start w:val="1"/>
      <w:numFmt w:val="taiwaneseCountingThousand"/>
      <w:pStyle w:val="a"/>
      <w:suff w:val="nothing"/>
      <w:lvlText w:val="%1、"/>
      <w:lvlJc w:val="left"/>
      <w:pPr>
        <w:ind w:left="1012" w:hanging="652"/>
      </w:pPr>
      <w:rPr>
        <w:rFonts w:cs="Times New Roman"/>
        <w:color w:val="auto"/>
      </w:rPr>
    </w:lvl>
    <w:lvl w:ilvl="1">
      <w:start w:val="1"/>
      <w:numFmt w:val="taiwaneseCountingThousand"/>
      <w:suff w:val="nothing"/>
      <w:lvlText w:val="(%2)"/>
      <w:lvlJc w:val="left"/>
      <w:pPr>
        <w:ind w:left="1389" w:hanging="538"/>
      </w:pPr>
      <w:rPr>
        <w:rFonts w:cs="Times New Roman"/>
      </w:rPr>
    </w:lvl>
    <w:lvl w:ilvl="2">
      <w:start w:val="1"/>
      <w:numFmt w:val="decimal"/>
      <w:suff w:val="nothing"/>
      <w:lvlText w:val="%3、"/>
      <w:lvlJc w:val="left"/>
      <w:pPr>
        <w:ind w:left="1786" w:hanging="482"/>
      </w:pPr>
      <w:rPr>
        <w:rFonts w:cs="Times New Roman"/>
      </w:rPr>
    </w:lvl>
    <w:lvl w:ilvl="3">
      <w:start w:val="1"/>
      <w:numFmt w:val="decimal"/>
      <w:suff w:val="nothing"/>
      <w:lvlText w:val="(%4)"/>
      <w:lvlJc w:val="left"/>
      <w:pPr>
        <w:ind w:left="1956" w:hanging="368"/>
      </w:pPr>
      <w:rPr>
        <w:rFonts w:ascii="Times New Roman" w:eastAsia="標楷體" w:hAnsi="Times New Roman" w:cs="Times New Roman" w:hint="eastAsia"/>
        <w:b w:val="0"/>
        <w:i w:val="0"/>
        <w:sz w:val="32"/>
      </w:rPr>
    </w:lvl>
    <w:lvl w:ilvl="4">
      <w:start w:val="1"/>
      <w:numFmt w:val="none"/>
      <w:lvlText w:val=""/>
      <w:lvlJc w:val="left"/>
      <w:pPr>
        <w:tabs>
          <w:tab w:val="num" w:pos="2551"/>
        </w:tabs>
        <w:ind w:left="2551" w:hanging="850"/>
      </w:pPr>
      <w:rPr>
        <w:rFonts w:cs="Times New Roman"/>
      </w:rPr>
    </w:lvl>
    <w:lvl w:ilvl="5">
      <w:start w:val="1"/>
      <w:numFmt w:val="none"/>
      <w:lvlText w:val=""/>
      <w:lvlJc w:val="left"/>
      <w:pPr>
        <w:tabs>
          <w:tab w:val="num" w:pos="3260"/>
        </w:tabs>
        <w:ind w:left="3260" w:hanging="1134"/>
      </w:pPr>
      <w:rPr>
        <w:rFonts w:cs="Times New Roman"/>
      </w:rPr>
    </w:lvl>
    <w:lvl w:ilvl="6">
      <w:start w:val="1"/>
      <w:numFmt w:val="none"/>
      <w:lvlText w:val=""/>
      <w:lvlJc w:val="left"/>
      <w:pPr>
        <w:tabs>
          <w:tab w:val="num" w:pos="3827"/>
        </w:tabs>
        <w:ind w:left="3827" w:hanging="1276"/>
      </w:pPr>
      <w:rPr>
        <w:rFonts w:cs="Times New Roman"/>
      </w:rPr>
    </w:lvl>
    <w:lvl w:ilvl="7">
      <w:start w:val="1"/>
      <w:numFmt w:val="none"/>
      <w:lvlText w:val=""/>
      <w:lvlJc w:val="left"/>
      <w:pPr>
        <w:tabs>
          <w:tab w:val="num" w:pos="4394"/>
        </w:tabs>
        <w:ind w:left="4394" w:hanging="1418"/>
      </w:pPr>
      <w:rPr>
        <w:rFonts w:cs="Times New Roman"/>
      </w:rPr>
    </w:lvl>
    <w:lvl w:ilvl="8">
      <w:start w:val="1"/>
      <w:numFmt w:val="none"/>
      <w:lvlText w:val=""/>
      <w:lvlJc w:val="left"/>
      <w:pPr>
        <w:tabs>
          <w:tab w:val="num" w:pos="5102"/>
        </w:tabs>
        <w:ind w:left="5102" w:hanging="1700"/>
      </w:pPr>
      <w:rPr>
        <w:rFonts w:cs="Times New Roman"/>
      </w:rPr>
    </w:lvl>
  </w:abstractNum>
  <w:abstractNum w:abstractNumId="6">
    <w:nsid w:val="4D050A7F"/>
    <w:multiLevelType w:val="hybridMultilevel"/>
    <w:tmpl w:val="979CAD12"/>
    <w:lvl w:ilvl="0" w:tplc="66426F2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50C7F7F"/>
    <w:multiLevelType w:val="hybridMultilevel"/>
    <w:tmpl w:val="F6FEF92A"/>
    <w:lvl w:ilvl="0" w:tplc="677A4B24">
      <w:start w:val="1"/>
      <w:numFmt w:val="taiwaneseCountingThousand"/>
      <w:lvlText w:val="(%1)"/>
      <w:lvlJc w:val="left"/>
      <w:pPr>
        <w:tabs>
          <w:tab w:val="num" w:pos="1032"/>
        </w:tabs>
        <w:ind w:left="1032" w:hanging="720"/>
      </w:pPr>
      <w:rPr>
        <w:rFonts w:cs="Times New Roman" w:hint="default"/>
        <w:color w:val="000000"/>
      </w:rPr>
    </w:lvl>
    <w:lvl w:ilvl="1" w:tplc="04090019" w:tentative="1">
      <w:start w:val="1"/>
      <w:numFmt w:val="ideographTraditional"/>
      <w:lvlText w:val="%2、"/>
      <w:lvlJc w:val="left"/>
      <w:pPr>
        <w:tabs>
          <w:tab w:val="num" w:pos="1272"/>
        </w:tabs>
        <w:ind w:left="1272" w:hanging="480"/>
      </w:pPr>
      <w:rPr>
        <w:rFonts w:cs="Times New Roman"/>
      </w:rPr>
    </w:lvl>
    <w:lvl w:ilvl="2" w:tplc="0409001B" w:tentative="1">
      <w:start w:val="1"/>
      <w:numFmt w:val="lowerRoman"/>
      <w:lvlText w:val="%3."/>
      <w:lvlJc w:val="right"/>
      <w:pPr>
        <w:tabs>
          <w:tab w:val="num" w:pos="1752"/>
        </w:tabs>
        <w:ind w:left="1752" w:hanging="480"/>
      </w:pPr>
      <w:rPr>
        <w:rFonts w:cs="Times New Roman"/>
      </w:rPr>
    </w:lvl>
    <w:lvl w:ilvl="3" w:tplc="0409000F" w:tentative="1">
      <w:start w:val="1"/>
      <w:numFmt w:val="decimal"/>
      <w:lvlText w:val="%4."/>
      <w:lvlJc w:val="left"/>
      <w:pPr>
        <w:tabs>
          <w:tab w:val="num" w:pos="2232"/>
        </w:tabs>
        <w:ind w:left="2232" w:hanging="480"/>
      </w:pPr>
      <w:rPr>
        <w:rFonts w:cs="Times New Roman"/>
      </w:rPr>
    </w:lvl>
    <w:lvl w:ilvl="4" w:tplc="04090019" w:tentative="1">
      <w:start w:val="1"/>
      <w:numFmt w:val="ideographTraditional"/>
      <w:lvlText w:val="%5、"/>
      <w:lvlJc w:val="left"/>
      <w:pPr>
        <w:tabs>
          <w:tab w:val="num" w:pos="2712"/>
        </w:tabs>
        <w:ind w:left="2712" w:hanging="480"/>
      </w:pPr>
      <w:rPr>
        <w:rFonts w:cs="Times New Roman"/>
      </w:rPr>
    </w:lvl>
    <w:lvl w:ilvl="5" w:tplc="0409001B" w:tentative="1">
      <w:start w:val="1"/>
      <w:numFmt w:val="lowerRoman"/>
      <w:lvlText w:val="%6."/>
      <w:lvlJc w:val="right"/>
      <w:pPr>
        <w:tabs>
          <w:tab w:val="num" w:pos="3192"/>
        </w:tabs>
        <w:ind w:left="3192" w:hanging="480"/>
      </w:pPr>
      <w:rPr>
        <w:rFonts w:cs="Times New Roman"/>
      </w:rPr>
    </w:lvl>
    <w:lvl w:ilvl="6" w:tplc="0409000F" w:tentative="1">
      <w:start w:val="1"/>
      <w:numFmt w:val="decimal"/>
      <w:lvlText w:val="%7."/>
      <w:lvlJc w:val="left"/>
      <w:pPr>
        <w:tabs>
          <w:tab w:val="num" w:pos="3672"/>
        </w:tabs>
        <w:ind w:left="3672" w:hanging="480"/>
      </w:pPr>
      <w:rPr>
        <w:rFonts w:cs="Times New Roman"/>
      </w:rPr>
    </w:lvl>
    <w:lvl w:ilvl="7" w:tplc="04090019" w:tentative="1">
      <w:start w:val="1"/>
      <w:numFmt w:val="ideographTraditional"/>
      <w:lvlText w:val="%8、"/>
      <w:lvlJc w:val="left"/>
      <w:pPr>
        <w:tabs>
          <w:tab w:val="num" w:pos="4152"/>
        </w:tabs>
        <w:ind w:left="4152" w:hanging="480"/>
      </w:pPr>
      <w:rPr>
        <w:rFonts w:cs="Times New Roman"/>
      </w:rPr>
    </w:lvl>
    <w:lvl w:ilvl="8" w:tplc="0409001B" w:tentative="1">
      <w:start w:val="1"/>
      <w:numFmt w:val="lowerRoman"/>
      <w:lvlText w:val="%9."/>
      <w:lvlJc w:val="right"/>
      <w:pPr>
        <w:tabs>
          <w:tab w:val="num" w:pos="4632"/>
        </w:tabs>
        <w:ind w:left="4632" w:hanging="480"/>
      </w:pPr>
      <w:rPr>
        <w:rFonts w:cs="Times New Roman"/>
      </w:rPr>
    </w:lvl>
  </w:abstractNum>
  <w:abstractNum w:abstractNumId="8">
    <w:nsid w:val="5E7031C4"/>
    <w:multiLevelType w:val="hybridMultilevel"/>
    <w:tmpl w:val="B2284AF2"/>
    <w:lvl w:ilvl="0" w:tplc="A094B6D6">
      <w:start w:val="1"/>
      <w:numFmt w:val="taiwaneseCountingThousand"/>
      <w:lvlText w:val="%1、"/>
      <w:lvlJc w:val="left"/>
      <w:pPr>
        <w:ind w:left="996"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70E4DF0"/>
    <w:multiLevelType w:val="hybridMultilevel"/>
    <w:tmpl w:val="CCF464BE"/>
    <w:lvl w:ilvl="0" w:tplc="A094B6D6">
      <w:start w:val="1"/>
      <w:numFmt w:val="taiwaneseCountingThousand"/>
      <w:lvlText w:val="%1、"/>
      <w:lvlJc w:val="left"/>
      <w:pPr>
        <w:ind w:left="996" w:hanging="720"/>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0">
    <w:nsid w:val="673A6FD5"/>
    <w:multiLevelType w:val="hybridMultilevel"/>
    <w:tmpl w:val="666235D6"/>
    <w:lvl w:ilvl="0" w:tplc="DDBACB88">
      <w:start w:val="1"/>
      <w:numFmt w:val="decimal"/>
      <w:lvlText w:val="%1."/>
      <w:lvlJc w:val="left"/>
      <w:pPr>
        <w:tabs>
          <w:tab w:val="num" w:pos="-88"/>
        </w:tabs>
        <w:ind w:left="960" w:hanging="480"/>
      </w:pPr>
      <w:rPr>
        <w:rFonts w:cs="Times New Roman" w:hint="eastAsia"/>
        <w:sz w:val="28"/>
      </w:rPr>
    </w:lvl>
    <w:lvl w:ilvl="1" w:tplc="04090019" w:tentative="1">
      <w:start w:val="1"/>
      <w:numFmt w:val="ideographTraditional"/>
      <w:lvlText w:val="%2、"/>
      <w:lvlJc w:val="left"/>
      <w:pPr>
        <w:tabs>
          <w:tab w:val="num" w:pos="874"/>
        </w:tabs>
        <w:ind w:left="874" w:hanging="480"/>
      </w:pPr>
      <w:rPr>
        <w:rFonts w:cs="Times New Roman"/>
      </w:rPr>
    </w:lvl>
    <w:lvl w:ilvl="2" w:tplc="0409001B" w:tentative="1">
      <w:start w:val="1"/>
      <w:numFmt w:val="lowerRoman"/>
      <w:lvlText w:val="%3."/>
      <w:lvlJc w:val="right"/>
      <w:pPr>
        <w:tabs>
          <w:tab w:val="num" w:pos="1354"/>
        </w:tabs>
        <w:ind w:left="1354" w:hanging="480"/>
      </w:pPr>
      <w:rPr>
        <w:rFonts w:cs="Times New Roman"/>
      </w:rPr>
    </w:lvl>
    <w:lvl w:ilvl="3" w:tplc="0409000F" w:tentative="1">
      <w:start w:val="1"/>
      <w:numFmt w:val="decimal"/>
      <w:lvlText w:val="%4."/>
      <w:lvlJc w:val="left"/>
      <w:pPr>
        <w:tabs>
          <w:tab w:val="num" w:pos="1834"/>
        </w:tabs>
        <w:ind w:left="1834" w:hanging="480"/>
      </w:pPr>
      <w:rPr>
        <w:rFonts w:cs="Times New Roman"/>
      </w:rPr>
    </w:lvl>
    <w:lvl w:ilvl="4" w:tplc="04090019" w:tentative="1">
      <w:start w:val="1"/>
      <w:numFmt w:val="ideographTraditional"/>
      <w:lvlText w:val="%5、"/>
      <w:lvlJc w:val="left"/>
      <w:pPr>
        <w:tabs>
          <w:tab w:val="num" w:pos="2314"/>
        </w:tabs>
        <w:ind w:left="2314" w:hanging="480"/>
      </w:pPr>
      <w:rPr>
        <w:rFonts w:cs="Times New Roman"/>
      </w:rPr>
    </w:lvl>
    <w:lvl w:ilvl="5" w:tplc="0409001B" w:tentative="1">
      <w:start w:val="1"/>
      <w:numFmt w:val="lowerRoman"/>
      <w:lvlText w:val="%6."/>
      <w:lvlJc w:val="right"/>
      <w:pPr>
        <w:tabs>
          <w:tab w:val="num" w:pos="2794"/>
        </w:tabs>
        <w:ind w:left="2794" w:hanging="480"/>
      </w:pPr>
      <w:rPr>
        <w:rFonts w:cs="Times New Roman"/>
      </w:rPr>
    </w:lvl>
    <w:lvl w:ilvl="6" w:tplc="0409000F" w:tentative="1">
      <w:start w:val="1"/>
      <w:numFmt w:val="decimal"/>
      <w:lvlText w:val="%7."/>
      <w:lvlJc w:val="left"/>
      <w:pPr>
        <w:tabs>
          <w:tab w:val="num" w:pos="3274"/>
        </w:tabs>
        <w:ind w:left="3274" w:hanging="480"/>
      </w:pPr>
      <w:rPr>
        <w:rFonts w:cs="Times New Roman"/>
      </w:rPr>
    </w:lvl>
    <w:lvl w:ilvl="7" w:tplc="04090019" w:tentative="1">
      <w:start w:val="1"/>
      <w:numFmt w:val="ideographTraditional"/>
      <w:lvlText w:val="%8、"/>
      <w:lvlJc w:val="left"/>
      <w:pPr>
        <w:tabs>
          <w:tab w:val="num" w:pos="3754"/>
        </w:tabs>
        <w:ind w:left="3754" w:hanging="480"/>
      </w:pPr>
      <w:rPr>
        <w:rFonts w:cs="Times New Roman"/>
      </w:rPr>
    </w:lvl>
    <w:lvl w:ilvl="8" w:tplc="0409001B" w:tentative="1">
      <w:start w:val="1"/>
      <w:numFmt w:val="lowerRoman"/>
      <w:lvlText w:val="%9."/>
      <w:lvlJc w:val="right"/>
      <w:pPr>
        <w:tabs>
          <w:tab w:val="num" w:pos="4234"/>
        </w:tabs>
        <w:ind w:left="4234" w:hanging="480"/>
      </w:pPr>
      <w:rPr>
        <w:rFonts w:cs="Times New Roman"/>
      </w:rPr>
    </w:lvl>
  </w:abstractNum>
  <w:abstractNum w:abstractNumId="11">
    <w:nsid w:val="7623701F"/>
    <w:multiLevelType w:val="hybridMultilevel"/>
    <w:tmpl w:val="4CF01566"/>
    <w:lvl w:ilvl="0" w:tplc="A094B6D6">
      <w:start w:val="1"/>
      <w:numFmt w:val="taiwaneseCountingThousand"/>
      <w:lvlText w:val="%1、"/>
      <w:lvlJc w:val="left"/>
      <w:pPr>
        <w:ind w:left="1284" w:hanging="720"/>
      </w:pPr>
      <w:rPr>
        <w:rFonts w:cs="Times New Roman" w:hint="default"/>
      </w:rPr>
    </w:lvl>
    <w:lvl w:ilvl="1" w:tplc="04090019" w:tentative="1">
      <w:start w:val="1"/>
      <w:numFmt w:val="ideographTraditional"/>
      <w:lvlText w:val="%2、"/>
      <w:lvlJc w:val="left"/>
      <w:pPr>
        <w:ind w:left="1248" w:hanging="480"/>
      </w:pPr>
      <w:rPr>
        <w:rFonts w:cs="Times New Roman"/>
      </w:rPr>
    </w:lvl>
    <w:lvl w:ilvl="2" w:tplc="0409001B" w:tentative="1">
      <w:start w:val="1"/>
      <w:numFmt w:val="lowerRoman"/>
      <w:lvlText w:val="%3."/>
      <w:lvlJc w:val="right"/>
      <w:pPr>
        <w:ind w:left="1728" w:hanging="480"/>
      </w:pPr>
      <w:rPr>
        <w:rFonts w:cs="Times New Roman"/>
      </w:rPr>
    </w:lvl>
    <w:lvl w:ilvl="3" w:tplc="0409000F" w:tentative="1">
      <w:start w:val="1"/>
      <w:numFmt w:val="decimal"/>
      <w:lvlText w:val="%4."/>
      <w:lvlJc w:val="left"/>
      <w:pPr>
        <w:ind w:left="2208" w:hanging="480"/>
      </w:pPr>
      <w:rPr>
        <w:rFonts w:cs="Times New Roman"/>
      </w:rPr>
    </w:lvl>
    <w:lvl w:ilvl="4" w:tplc="04090019" w:tentative="1">
      <w:start w:val="1"/>
      <w:numFmt w:val="ideographTraditional"/>
      <w:lvlText w:val="%5、"/>
      <w:lvlJc w:val="left"/>
      <w:pPr>
        <w:ind w:left="2688" w:hanging="480"/>
      </w:pPr>
      <w:rPr>
        <w:rFonts w:cs="Times New Roman"/>
      </w:rPr>
    </w:lvl>
    <w:lvl w:ilvl="5" w:tplc="0409001B" w:tentative="1">
      <w:start w:val="1"/>
      <w:numFmt w:val="lowerRoman"/>
      <w:lvlText w:val="%6."/>
      <w:lvlJc w:val="right"/>
      <w:pPr>
        <w:ind w:left="3168" w:hanging="480"/>
      </w:pPr>
      <w:rPr>
        <w:rFonts w:cs="Times New Roman"/>
      </w:rPr>
    </w:lvl>
    <w:lvl w:ilvl="6" w:tplc="0409000F" w:tentative="1">
      <w:start w:val="1"/>
      <w:numFmt w:val="decimal"/>
      <w:lvlText w:val="%7."/>
      <w:lvlJc w:val="left"/>
      <w:pPr>
        <w:ind w:left="3648" w:hanging="480"/>
      </w:pPr>
      <w:rPr>
        <w:rFonts w:cs="Times New Roman"/>
      </w:rPr>
    </w:lvl>
    <w:lvl w:ilvl="7" w:tplc="04090019" w:tentative="1">
      <w:start w:val="1"/>
      <w:numFmt w:val="ideographTraditional"/>
      <w:lvlText w:val="%8、"/>
      <w:lvlJc w:val="left"/>
      <w:pPr>
        <w:ind w:left="4128" w:hanging="480"/>
      </w:pPr>
      <w:rPr>
        <w:rFonts w:cs="Times New Roman"/>
      </w:rPr>
    </w:lvl>
    <w:lvl w:ilvl="8" w:tplc="0409001B" w:tentative="1">
      <w:start w:val="1"/>
      <w:numFmt w:val="lowerRoman"/>
      <w:lvlText w:val="%9."/>
      <w:lvlJc w:val="right"/>
      <w:pPr>
        <w:ind w:left="4608" w:hanging="480"/>
      </w:pPr>
      <w:rPr>
        <w:rFonts w:cs="Times New Roman"/>
      </w:rPr>
    </w:lvl>
  </w:abstractNum>
  <w:num w:numId="1">
    <w:abstractNumId w:val="6"/>
  </w:num>
  <w:num w:numId="2">
    <w:abstractNumId w:val="0"/>
  </w:num>
  <w:num w:numId="3">
    <w:abstractNumId w:val="1"/>
  </w:num>
  <w:num w:numId="4">
    <w:abstractNumId w:val="9"/>
  </w:num>
  <w:num w:numId="5">
    <w:abstractNumId w:val="10"/>
  </w:num>
  <w:num w:numId="6">
    <w:abstractNumId w:val="11"/>
  </w:num>
  <w:num w:numId="7">
    <w:abstractNumId w:val="3"/>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CTIVE" w:val="?x?W???f???????E?Q?~??????s?????i???n??.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0732AD"/>
    <w:rsid w:val="000720F3"/>
    <w:rsid w:val="000732AD"/>
    <w:rsid w:val="000A670F"/>
    <w:rsid w:val="000B24E6"/>
    <w:rsid w:val="000E3776"/>
    <w:rsid w:val="000E7C16"/>
    <w:rsid w:val="000F6707"/>
    <w:rsid w:val="000F6CC3"/>
    <w:rsid w:val="000F7C99"/>
    <w:rsid w:val="0010287D"/>
    <w:rsid w:val="00112002"/>
    <w:rsid w:val="001458A2"/>
    <w:rsid w:val="001614D7"/>
    <w:rsid w:val="00185158"/>
    <w:rsid w:val="001A27EF"/>
    <w:rsid w:val="001D664F"/>
    <w:rsid w:val="001F13D8"/>
    <w:rsid w:val="00212669"/>
    <w:rsid w:val="00215515"/>
    <w:rsid w:val="002555A1"/>
    <w:rsid w:val="0026261C"/>
    <w:rsid w:val="00267793"/>
    <w:rsid w:val="00271C15"/>
    <w:rsid w:val="00287C66"/>
    <w:rsid w:val="0029215C"/>
    <w:rsid w:val="002B4A86"/>
    <w:rsid w:val="002C1AD6"/>
    <w:rsid w:val="002F005C"/>
    <w:rsid w:val="0030258F"/>
    <w:rsid w:val="00335DAC"/>
    <w:rsid w:val="00350C4D"/>
    <w:rsid w:val="00380AC2"/>
    <w:rsid w:val="0039029F"/>
    <w:rsid w:val="00392EA1"/>
    <w:rsid w:val="00396D07"/>
    <w:rsid w:val="003F140B"/>
    <w:rsid w:val="003F35AE"/>
    <w:rsid w:val="00413FE1"/>
    <w:rsid w:val="00416E74"/>
    <w:rsid w:val="00433E68"/>
    <w:rsid w:val="004772B8"/>
    <w:rsid w:val="004907E6"/>
    <w:rsid w:val="004B7670"/>
    <w:rsid w:val="004C6523"/>
    <w:rsid w:val="004D0C2D"/>
    <w:rsid w:val="00557982"/>
    <w:rsid w:val="005604E7"/>
    <w:rsid w:val="00583045"/>
    <w:rsid w:val="005A2A80"/>
    <w:rsid w:val="005A2DB1"/>
    <w:rsid w:val="005D1CC6"/>
    <w:rsid w:val="005E6DF2"/>
    <w:rsid w:val="00607EED"/>
    <w:rsid w:val="006225EC"/>
    <w:rsid w:val="00632616"/>
    <w:rsid w:val="00657A89"/>
    <w:rsid w:val="00657BD8"/>
    <w:rsid w:val="00667C9B"/>
    <w:rsid w:val="00691BA9"/>
    <w:rsid w:val="006C72E7"/>
    <w:rsid w:val="006F1897"/>
    <w:rsid w:val="00706482"/>
    <w:rsid w:val="00724E13"/>
    <w:rsid w:val="00731E27"/>
    <w:rsid w:val="00735E3A"/>
    <w:rsid w:val="007673CE"/>
    <w:rsid w:val="00767980"/>
    <w:rsid w:val="00782001"/>
    <w:rsid w:val="007B21FE"/>
    <w:rsid w:val="007B2350"/>
    <w:rsid w:val="007B321D"/>
    <w:rsid w:val="00884310"/>
    <w:rsid w:val="008A1504"/>
    <w:rsid w:val="008C5FE2"/>
    <w:rsid w:val="008D03EB"/>
    <w:rsid w:val="008D2343"/>
    <w:rsid w:val="008F2841"/>
    <w:rsid w:val="00915FAE"/>
    <w:rsid w:val="00917DE7"/>
    <w:rsid w:val="009940C1"/>
    <w:rsid w:val="009B0EB4"/>
    <w:rsid w:val="009F6321"/>
    <w:rsid w:val="00A06B35"/>
    <w:rsid w:val="00A10E5E"/>
    <w:rsid w:val="00A201E5"/>
    <w:rsid w:val="00A74A64"/>
    <w:rsid w:val="00A75FBD"/>
    <w:rsid w:val="00A92E53"/>
    <w:rsid w:val="00AA6EB9"/>
    <w:rsid w:val="00AA71D5"/>
    <w:rsid w:val="00AB717E"/>
    <w:rsid w:val="00AE3779"/>
    <w:rsid w:val="00AE6E48"/>
    <w:rsid w:val="00B14542"/>
    <w:rsid w:val="00B30E6A"/>
    <w:rsid w:val="00B84DCE"/>
    <w:rsid w:val="00BD09D1"/>
    <w:rsid w:val="00BD3169"/>
    <w:rsid w:val="00BE3CCC"/>
    <w:rsid w:val="00C00855"/>
    <w:rsid w:val="00C348D8"/>
    <w:rsid w:val="00C4304D"/>
    <w:rsid w:val="00C616BD"/>
    <w:rsid w:val="00C7425A"/>
    <w:rsid w:val="00C816B8"/>
    <w:rsid w:val="00C825D5"/>
    <w:rsid w:val="00C87247"/>
    <w:rsid w:val="00C87AE4"/>
    <w:rsid w:val="00CB5D2A"/>
    <w:rsid w:val="00CC150C"/>
    <w:rsid w:val="00CC296A"/>
    <w:rsid w:val="00CD1355"/>
    <w:rsid w:val="00CD47A0"/>
    <w:rsid w:val="00CE06CB"/>
    <w:rsid w:val="00D06CA4"/>
    <w:rsid w:val="00D21ED0"/>
    <w:rsid w:val="00D353B3"/>
    <w:rsid w:val="00D64609"/>
    <w:rsid w:val="00D67D90"/>
    <w:rsid w:val="00DA46C5"/>
    <w:rsid w:val="00DB3550"/>
    <w:rsid w:val="00DF531F"/>
    <w:rsid w:val="00E2108C"/>
    <w:rsid w:val="00E23E3C"/>
    <w:rsid w:val="00E50B49"/>
    <w:rsid w:val="00E55131"/>
    <w:rsid w:val="00E62122"/>
    <w:rsid w:val="00E73A27"/>
    <w:rsid w:val="00EA18A0"/>
    <w:rsid w:val="00EB034D"/>
    <w:rsid w:val="00EB2947"/>
    <w:rsid w:val="00F36939"/>
    <w:rsid w:val="00F3777E"/>
    <w:rsid w:val="00F444FF"/>
    <w:rsid w:val="00F6279E"/>
    <w:rsid w:val="00F90610"/>
    <w:rsid w:val="00FA1221"/>
    <w:rsid w:val="00FA76E9"/>
    <w:rsid w:val="00FA77F5"/>
    <w:rsid w:val="00FB1E52"/>
    <w:rsid w:val="00FC4C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3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5131"/>
    <w:rPr>
      <w:rFonts w:ascii="Cambria" w:hAnsi="Cambria"/>
      <w:sz w:val="18"/>
      <w:szCs w:val="18"/>
    </w:rPr>
  </w:style>
  <w:style w:type="character" w:customStyle="1" w:styleId="BalloonTextChar">
    <w:name w:val="Balloon Text Char"/>
    <w:basedOn w:val="DefaultParagraphFont"/>
    <w:link w:val="BalloonText"/>
    <w:uiPriority w:val="99"/>
    <w:semiHidden/>
    <w:locked/>
    <w:rsid w:val="00E55131"/>
    <w:rPr>
      <w:rFonts w:ascii="Cambria" w:eastAsia="新細明體" w:hAnsi="Cambria" w:cs="Times New Roman"/>
      <w:kern w:val="2"/>
      <w:sz w:val="18"/>
      <w:szCs w:val="18"/>
    </w:rPr>
  </w:style>
  <w:style w:type="paragraph" w:styleId="Header">
    <w:name w:val="header"/>
    <w:basedOn w:val="Normal"/>
    <w:link w:val="HeaderChar"/>
    <w:uiPriority w:val="99"/>
    <w:semiHidden/>
    <w:rsid w:val="00F3693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4304D"/>
    <w:rPr>
      <w:rFonts w:cs="Times New Roman"/>
      <w:sz w:val="20"/>
      <w:szCs w:val="20"/>
    </w:rPr>
  </w:style>
  <w:style w:type="character" w:styleId="PageNumber">
    <w:name w:val="page number"/>
    <w:basedOn w:val="DefaultParagraphFont"/>
    <w:uiPriority w:val="99"/>
    <w:semiHidden/>
    <w:rsid w:val="00F36939"/>
    <w:rPr>
      <w:rFonts w:cs="Times New Roman"/>
    </w:rPr>
  </w:style>
  <w:style w:type="paragraph" w:styleId="Footer">
    <w:name w:val="footer"/>
    <w:basedOn w:val="Normal"/>
    <w:link w:val="FooterChar"/>
    <w:uiPriority w:val="99"/>
    <w:semiHidden/>
    <w:rsid w:val="000732A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732AD"/>
    <w:rPr>
      <w:rFonts w:cs="Times New Roman"/>
      <w:kern w:val="2"/>
    </w:rPr>
  </w:style>
  <w:style w:type="paragraph" w:styleId="HTMLPreformatted">
    <w:name w:val="HTML Preformatted"/>
    <w:basedOn w:val="Normal"/>
    <w:link w:val="HTMLPreformattedChar"/>
    <w:uiPriority w:val="99"/>
    <w:rsid w:val="00350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C4304D"/>
    <w:rPr>
      <w:rFonts w:ascii="Courier New" w:hAnsi="Courier New" w:cs="Courier New"/>
      <w:sz w:val="20"/>
      <w:szCs w:val="20"/>
    </w:rPr>
  </w:style>
  <w:style w:type="paragraph" w:styleId="ListParagraph">
    <w:name w:val="List Paragraph"/>
    <w:basedOn w:val="Normal"/>
    <w:uiPriority w:val="99"/>
    <w:qFormat/>
    <w:rsid w:val="00D06CA4"/>
    <w:pPr>
      <w:ind w:leftChars="200" w:left="480"/>
    </w:pPr>
  </w:style>
  <w:style w:type="paragraph" w:styleId="TOC1">
    <w:name w:val="toc 1"/>
    <w:basedOn w:val="Normal"/>
    <w:next w:val="Normal"/>
    <w:autoRedefine/>
    <w:uiPriority w:val="99"/>
    <w:semiHidden/>
    <w:locked/>
    <w:rsid w:val="000F6CC3"/>
    <w:pPr>
      <w:spacing w:before="360"/>
      <w:ind w:leftChars="-118" w:left="-283" w:rightChars="-260" w:right="-624"/>
    </w:pPr>
    <w:rPr>
      <w:rFonts w:ascii="Arial" w:hAnsi="Arial" w:cs="Arial"/>
      <w:b/>
      <w:bCs/>
      <w:caps/>
    </w:rPr>
  </w:style>
  <w:style w:type="character" w:styleId="Hyperlink">
    <w:name w:val="Hyperlink"/>
    <w:basedOn w:val="DefaultParagraphFont"/>
    <w:uiPriority w:val="99"/>
    <w:rsid w:val="000F6CC3"/>
    <w:rPr>
      <w:rFonts w:cs="Times New Roman"/>
      <w:color w:val="0000FF"/>
      <w:u w:val="single"/>
    </w:rPr>
  </w:style>
  <w:style w:type="paragraph" w:customStyle="1" w:styleId="a">
    <w:name w:val="分項段落"/>
    <w:basedOn w:val="Normal"/>
    <w:uiPriority w:val="99"/>
    <w:rsid w:val="00EB2947"/>
    <w:pPr>
      <w:numPr>
        <w:numId w:val="9"/>
      </w:numPr>
      <w:adjustRightInd w:val="0"/>
      <w:snapToGrid w:val="0"/>
      <w:spacing w:line="480" w:lineRule="exact"/>
      <w:ind w:right="284"/>
      <w:jc w:val="both"/>
    </w:pPr>
    <w:rPr>
      <w:rFonts w:eastAsia="標楷體"/>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194</Words>
  <Characters>1106</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臺灣期貨交易所九十年度研究報告提要表</dc:title>
  <dc:subject/>
  <dc:creator>user</dc:creator>
  <cp:keywords/>
  <dc:description/>
  <cp:lastModifiedBy>fuching</cp:lastModifiedBy>
  <cp:revision>8</cp:revision>
  <cp:lastPrinted>2012-12-13T03:10:00Z</cp:lastPrinted>
  <dcterms:created xsi:type="dcterms:W3CDTF">2012-12-10T02:55:00Z</dcterms:created>
  <dcterms:modified xsi:type="dcterms:W3CDTF">2012-12-13T03:13:00Z</dcterms:modified>
</cp:coreProperties>
</file>