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8A" w:rsidRPr="00320151" w:rsidRDefault="00EC548A" w:rsidP="00EC548A">
      <w:pPr>
        <w:spacing w:before="120" w:line="500" w:lineRule="exact"/>
        <w:rPr>
          <w:rFonts w:ascii="細明體" w:eastAsia="細明體" w:hAnsi="細明體"/>
          <w:b/>
          <w:sz w:val="40"/>
        </w:rPr>
      </w:pPr>
      <w:r w:rsidRPr="00320151">
        <w:rPr>
          <w:rFonts w:ascii="細明體" w:eastAsia="細明體" w:hAnsi="細明體" w:hint="eastAsia"/>
          <w:b/>
          <w:sz w:val="40"/>
        </w:rPr>
        <w:t>出國報告</w:t>
      </w:r>
      <w:proofErr w:type="gramStart"/>
      <w:r w:rsidRPr="00320151">
        <w:rPr>
          <w:rFonts w:ascii="細明體" w:eastAsia="細明體" w:hAnsi="細明體" w:hint="eastAsia"/>
          <w:b/>
          <w:sz w:val="40"/>
        </w:rPr>
        <w:t>（</w:t>
      </w:r>
      <w:proofErr w:type="gramEnd"/>
      <w:r w:rsidRPr="00320151">
        <w:rPr>
          <w:rFonts w:ascii="細明體" w:eastAsia="細明體" w:hAnsi="細明體" w:hint="eastAsia"/>
          <w:b/>
          <w:sz w:val="40"/>
        </w:rPr>
        <w:t>出國類別：會議</w:t>
      </w:r>
      <w:proofErr w:type="gramStart"/>
      <w:r w:rsidRPr="00320151">
        <w:rPr>
          <w:rFonts w:ascii="細明體" w:eastAsia="細明體" w:hAnsi="細明體" w:hint="eastAsia"/>
          <w:b/>
          <w:sz w:val="40"/>
        </w:rPr>
        <w:t>）</w:t>
      </w:r>
      <w:proofErr w:type="gramEnd"/>
    </w:p>
    <w:p w:rsidR="00EC548A" w:rsidRPr="00320151" w:rsidRDefault="00EC548A" w:rsidP="00EC548A">
      <w:pPr>
        <w:jc w:val="both"/>
        <w:rPr>
          <w:rFonts w:eastAsia="標楷體"/>
          <w:szCs w:val="24"/>
        </w:rPr>
      </w:pPr>
    </w:p>
    <w:p w:rsidR="00EC548A" w:rsidRPr="00320151" w:rsidRDefault="00EC548A" w:rsidP="00EC548A">
      <w:pPr>
        <w:jc w:val="both"/>
        <w:rPr>
          <w:rFonts w:eastAsia="標楷體"/>
          <w:szCs w:val="24"/>
        </w:rPr>
      </w:pPr>
    </w:p>
    <w:p w:rsidR="00EC548A" w:rsidRPr="00320151" w:rsidRDefault="00EC548A" w:rsidP="00EC548A">
      <w:pPr>
        <w:jc w:val="both"/>
        <w:rPr>
          <w:rFonts w:eastAsia="標楷體"/>
          <w:szCs w:val="24"/>
        </w:rPr>
      </w:pPr>
    </w:p>
    <w:p w:rsidR="00EC548A" w:rsidRPr="00320151" w:rsidRDefault="00EC548A" w:rsidP="00EC548A">
      <w:pPr>
        <w:jc w:val="both"/>
        <w:rPr>
          <w:rFonts w:eastAsia="標楷體"/>
          <w:szCs w:val="24"/>
        </w:rPr>
      </w:pPr>
    </w:p>
    <w:p w:rsidR="00EC548A" w:rsidRPr="00320151" w:rsidRDefault="00EC548A" w:rsidP="00EC548A">
      <w:pPr>
        <w:jc w:val="both"/>
        <w:rPr>
          <w:rFonts w:eastAsia="標楷體"/>
          <w:szCs w:val="24"/>
        </w:rPr>
      </w:pPr>
    </w:p>
    <w:p w:rsidR="00EC548A" w:rsidRPr="00320151" w:rsidRDefault="00EC548A" w:rsidP="00EC548A">
      <w:pPr>
        <w:jc w:val="both"/>
        <w:rPr>
          <w:rFonts w:eastAsia="標楷體"/>
          <w:szCs w:val="24"/>
        </w:rPr>
      </w:pPr>
    </w:p>
    <w:p w:rsidR="00EC548A" w:rsidRPr="00320151" w:rsidRDefault="00A000E6" w:rsidP="00EC548A">
      <w:pPr>
        <w:pStyle w:val="21"/>
        <w:rPr>
          <w:rFonts w:ascii="細明體" w:eastAsia="細明體" w:hAnsi="細明體"/>
          <w:b/>
          <w:bCs/>
          <w:sz w:val="52"/>
          <w:szCs w:val="52"/>
        </w:rPr>
      </w:pPr>
      <w:r>
        <w:rPr>
          <w:rFonts w:ascii="細明體" w:eastAsia="細明體" w:hAnsi="細明體" w:hint="eastAsia"/>
          <w:b/>
          <w:bCs/>
          <w:sz w:val="52"/>
          <w:szCs w:val="52"/>
        </w:rPr>
        <w:t>出席</w:t>
      </w:r>
      <w:r w:rsidR="00C77635" w:rsidRPr="00A971AA">
        <w:rPr>
          <w:rFonts w:ascii="細明體" w:eastAsia="細明體" w:hAnsi="細明體" w:hint="eastAsia"/>
          <w:b/>
          <w:bCs/>
          <w:sz w:val="52"/>
          <w:szCs w:val="52"/>
        </w:rPr>
        <w:t>第六屆</w:t>
      </w:r>
      <w:proofErr w:type="gramStart"/>
      <w:r w:rsidR="00EC548A" w:rsidRPr="00320151">
        <w:rPr>
          <w:rFonts w:ascii="細明體" w:eastAsia="細明體" w:hAnsi="細明體" w:hint="eastAsia"/>
          <w:b/>
          <w:bCs/>
          <w:sz w:val="52"/>
          <w:szCs w:val="52"/>
        </w:rPr>
        <w:t>臺</w:t>
      </w:r>
      <w:proofErr w:type="gramEnd"/>
      <w:r w:rsidR="00EC548A" w:rsidRPr="00320151">
        <w:rPr>
          <w:rFonts w:ascii="細明體" w:eastAsia="細明體" w:hAnsi="細明體" w:hint="eastAsia"/>
          <w:b/>
          <w:bCs/>
          <w:sz w:val="52"/>
          <w:szCs w:val="52"/>
        </w:rPr>
        <w:t>港</w:t>
      </w:r>
      <w:bookmarkStart w:id="0" w:name="OLE_LINK1"/>
      <w:bookmarkStart w:id="1" w:name="OLE_LINK2"/>
      <w:r w:rsidR="00EC548A" w:rsidRPr="00320151">
        <w:rPr>
          <w:rFonts w:ascii="細明體" w:eastAsia="細明體" w:hAnsi="細明體" w:hint="eastAsia"/>
          <w:b/>
          <w:bCs/>
          <w:sz w:val="52"/>
          <w:szCs w:val="52"/>
        </w:rPr>
        <w:t>證券監理</w:t>
      </w:r>
      <w:r w:rsidR="00EC548A" w:rsidRPr="00320151">
        <w:rPr>
          <w:rFonts w:ascii="細明體" w:eastAsia="細明體" w:hAnsi="細明體"/>
          <w:b/>
          <w:bCs/>
          <w:sz w:val="52"/>
          <w:szCs w:val="52"/>
        </w:rPr>
        <w:br/>
      </w:r>
      <w:r w:rsidR="00EC548A" w:rsidRPr="00320151">
        <w:rPr>
          <w:rFonts w:ascii="細明體" w:eastAsia="細明體" w:hAnsi="細明體" w:hint="eastAsia"/>
          <w:b/>
          <w:bCs/>
          <w:sz w:val="52"/>
          <w:szCs w:val="52"/>
        </w:rPr>
        <w:t>機關加強聯繫與合作會議</w:t>
      </w:r>
      <w:bookmarkEnd w:id="0"/>
      <w:bookmarkEnd w:id="1"/>
      <w:r w:rsidR="00EC548A" w:rsidRPr="00320151">
        <w:rPr>
          <w:rFonts w:ascii="細明體" w:eastAsia="細明體" w:hAnsi="細明體" w:hint="eastAsia"/>
          <w:b/>
          <w:bCs/>
          <w:sz w:val="52"/>
          <w:szCs w:val="52"/>
        </w:rPr>
        <w:t>報告</w:t>
      </w:r>
    </w:p>
    <w:p w:rsidR="00EC548A" w:rsidRPr="00320151" w:rsidRDefault="00EC548A" w:rsidP="00EC548A">
      <w:pPr>
        <w:jc w:val="both"/>
        <w:rPr>
          <w:rFonts w:eastAsia="標楷體"/>
          <w:szCs w:val="24"/>
        </w:rPr>
      </w:pPr>
    </w:p>
    <w:p w:rsidR="00EC548A" w:rsidRPr="00320151" w:rsidRDefault="00EC548A" w:rsidP="00EC548A">
      <w:pPr>
        <w:jc w:val="both"/>
        <w:rPr>
          <w:rFonts w:eastAsia="標楷體"/>
          <w:szCs w:val="24"/>
        </w:rPr>
      </w:pPr>
    </w:p>
    <w:p w:rsidR="00EC548A" w:rsidRDefault="00EC548A" w:rsidP="00EC548A">
      <w:pPr>
        <w:pStyle w:val="a3"/>
        <w:jc w:val="both"/>
        <w:rPr>
          <w:sz w:val="24"/>
          <w:szCs w:val="24"/>
        </w:rPr>
      </w:pPr>
    </w:p>
    <w:p w:rsidR="00EC548A" w:rsidRDefault="00EC548A" w:rsidP="00EC548A"/>
    <w:p w:rsidR="00EC548A" w:rsidRDefault="00EC548A" w:rsidP="00EC548A"/>
    <w:p w:rsidR="00EC548A" w:rsidRDefault="00EC548A" w:rsidP="00EC548A"/>
    <w:p w:rsidR="00EC548A" w:rsidRDefault="00EC548A" w:rsidP="00EC548A"/>
    <w:p w:rsidR="00EC548A" w:rsidRPr="00404795" w:rsidRDefault="00EC548A" w:rsidP="00EC548A"/>
    <w:p w:rsidR="00EC548A" w:rsidRPr="00320151" w:rsidRDefault="00EC548A" w:rsidP="00EC548A">
      <w:pPr>
        <w:snapToGrid w:val="0"/>
        <w:spacing w:beforeLines="50" w:before="180"/>
        <w:ind w:rightChars="10" w:right="24"/>
        <w:jc w:val="center"/>
        <w:rPr>
          <w:rFonts w:ascii="細明體" w:eastAsia="細明體" w:hAnsi="細明體"/>
          <w:sz w:val="28"/>
          <w:szCs w:val="28"/>
        </w:rPr>
      </w:pPr>
      <w:r w:rsidRPr="00320151">
        <w:rPr>
          <w:rFonts w:ascii="細明體" w:eastAsia="細明體" w:hAnsi="細明體" w:hint="eastAsia"/>
          <w:sz w:val="28"/>
          <w:szCs w:val="28"/>
        </w:rPr>
        <w:t>服務機關：金融監督管理委員會</w:t>
      </w:r>
    </w:p>
    <w:p w:rsidR="00EC548A" w:rsidRPr="00320151" w:rsidRDefault="00EC548A" w:rsidP="00EC548A">
      <w:pPr>
        <w:snapToGrid w:val="0"/>
        <w:spacing w:beforeLines="50" w:before="180"/>
        <w:ind w:rightChars="10" w:right="24"/>
        <w:jc w:val="center"/>
        <w:rPr>
          <w:rFonts w:ascii="細明體" w:eastAsia="細明體" w:hAnsi="細明體"/>
          <w:sz w:val="28"/>
          <w:szCs w:val="28"/>
        </w:rPr>
      </w:pPr>
      <w:r w:rsidRPr="00320151">
        <w:rPr>
          <w:rFonts w:ascii="細明體" w:eastAsia="細明體" w:hAnsi="細明體" w:hint="eastAsia"/>
          <w:sz w:val="28"/>
          <w:szCs w:val="28"/>
        </w:rPr>
        <w:t>姓名職稱：</w:t>
      </w:r>
    </w:p>
    <w:p w:rsidR="00EC548A" w:rsidRPr="00320151" w:rsidRDefault="00EC548A" w:rsidP="00EC548A">
      <w:pPr>
        <w:snapToGrid w:val="0"/>
        <w:ind w:left="2" w:rightChars="10" w:right="24"/>
        <w:jc w:val="center"/>
        <w:rPr>
          <w:rFonts w:ascii="細明體" w:eastAsia="細明體" w:hAnsi="細明體"/>
          <w:sz w:val="28"/>
          <w:szCs w:val="28"/>
        </w:rPr>
      </w:pPr>
      <w:r>
        <w:rPr>
          <w:rFonts w:ascii="細明體" w:eastAsia="細明體" w:hAnsi="細明體" w:hint="eastAsia"/>
          <w:sz w:val="28"/>
          <w:szCs w:val="28"/>
        </w:rPr>
        <w:t>黃副主任委員天牧</w:t>
      </w:r>
    </w:p>
    <w:p w:rsidR="00EC548A" w:rsidRPr="00320151" w:rsidRDefault="00EC548A" w:rsidP="00EC548A">
      <w:pPr>
        <w:snapToGrid w:val="0"/>
        <w:ind w:left="2" w:rightChars="10" w:right="24"/>
        <w:jc w:val="center"/>
        <w:rPr>
          <w:rFonts w:ascii="細明體" w:eastAsia="細明體" w:hAnsi="細明體"/>
          <w:sz w:val="28"/>
          <w:szCs w:val="28"/>
        </w:rPr>
      </w:pPr>
      <w:r>
        <w:rPr>
          <w:rFonts w:ascii="細明體" w:eastAsia="細明體" w:hAnsi="細明體" w:hint="eastAsia"/>
          <w:sz w:val="28"/>
          <w:szCs w:val="28"/>
        </w:rPr>
        <w:t>證券期貨局吳局長裕群</w:t>
      </w:r>
    </w:p>
    <w:p w:rsidR="00EC548A" w:rsidRPr="00320151" w:rsidRDefault="00EC548A" w:rsidP="00EC548A">
      <w:pPr>
        <w:snapToGrid w:val="0"/>
        <w:ind w:left="2" w:rightChars="10" w:right="24"/>
        <w:jc w:val="center"/>
        <w:rPr>
          <w:rFonts w:ascii="細明體" w:eastAsia="細明體" w:hAnsi="細明體"/>
          <w:sz w:val="28"/>
          <w:szCs w:val="28"/>
        </w:rPr>
      </w:pPr>
      <w:proofErr w:type="gramStart"/>
      <w:r w:rsidRPr="00320151">
        <w:rPr>
          <w:rFonts w:ascii="細明體" w:eastAsia="細明體" w:hAnsi="細明體" w:hint="eastAsia"/>
          <w:sz w:val="28"/>
          <w:szCs w:val="28"/>
        </w:rPr>
        <w:t>蔡</w:t>
      </w:r>
      <w:proofErr w:type="gramEnd"/>
      <w:r w:rsidRPr="00320151">
        <w:rPr>
          <w:rFonts w:ascii="細明體" w:eastAsia="細明體" w:hAnsi="細明體" w:hint="eastAsia"/>
          <w:sz w:val="28"/>
          <w:szCs w:val="28"/>
        </w:rPr>
        <w:t>組長麗玲</w:t>
      </w:r>
    </w:p>
    <w:p w:rsidR="00EC548A" w:rsidRPr="00320151" w:rsidRDefault="00EC548A" w:rsidP="00EC548A">
      <w:pPr>
        <w:snapToGrid w:val="0"/>
        <w:ind w:left="2" w:rightChars="10" w:right="24"/>
        <w:jc w:val="center"/>
        <w:rPr>
          <w:rFonts w:ascii="細明體" w:eastAsia="細明體" w:hAnsi="細明體"/>
          <w:sz w:val="28"/>
          <w:szCs w:val="28"/>
        </w:rPr>
      </w:pPr>
      <w:proofErr w:type="gramStart"/>
      <w:r>
        <w:rPr>
          <w:rFonts w:ascii="細明體" w:eastAsia="細明體" w:hAnsi="細明體" w:hint="eastAsia"/>
          <w:sz w:val="28"/>
          <w:szCs w:val="28"/>
        </w:rPr>
        <w:t>高副組長</w:t>
      </w:r>
      <w:proofErr w:type="gramEnd"/>
      <w:r>
        <w:rPr>
          <w:rFonts w:ascii="細明體" w:eastAsia="細明體" w:hAnsi="細明體" w:hint="eastAsia"/>
          <w:sz w:val="28"/>
          <w:szCs w:val="28"/>
        </w:rPr>
        <w:t>晶萍</w:t>
      </w:r>
    </w:p>
    <w:p w:rsidR="00EC548A" w:rsidRPr="00320151" w:rsidRDefault="00EC548A" w:rsidP="00EC548A">
      <w:pPr>
        <w:snapToGrid w:val="0"/>
        <w:ind w:left="2" w:rightChars="10" w:right="24"/>
        <w:jc w:val="center"/>
        <w:rPr>
          <w:rFonts w:ascii="細明體" w:eastAsia="細明體" w:hAnsi="細明體"/>
          <w:sz w:val="28"/>
          <w:szCs w:val="28"/>
        </w:rPr>
      </w:pPr>
      <w:r>
        <w:rPr>
          <w:rFonts w:ascii="細明體" w:eastAsia="細明體" w:hAnsi="細明體" w:hint="eastAsia"/>
          <w:sz w:val="28"/>
          <w:szCs w:val="28"/>
        </w:rPr>
        <w:t>李</w:t>
      </w:r>
      <w:r w:rsidR="008C00BB">
        <w:rPr>
          <w:rFonts w:ascii="細明體" w:eastAsia="細明體" w:hAnsi="細明體" w:hint="eastAsia"/>
          <w:sz w:val="28"/>
          <w:szCs w:val="28"/>
        </w:rPr>
        <w:t>簡任</w:t>
      </w:r>
      <w:r>
        <w:rPr>
          <w:rFonts w:ascii="細明體" w:eastAsia="細明體" w:hAnsi="細明體" w:hint="eastAsia"/>
          <w:sz w:val="28"/>
          <w:szCs w:val="28"/>
        </w:rPr>
        <w:t>稽核秀玲</w:t>
      </w:r>
    </w:p>
    <w:p w:rsidR="00EC548A" w:rsidRPr="00320151" w:rsidRDefault="00EC548A" w:rsidP="00EC548A">
      <w:pPr>
        <w:snapToGrid w:val="0"/>
        <w:ind w:left="2" w:rightChars="10" w:right="24"/>
        <w:jc w:val="center"/>
        <w:rPr>
          <w:rFonts w:ascii="細明體" w:eastAsia="細明體" w:hAnsi="細明體"/>
          <w:sz w:val="28"/>
          <w:szCs w:val="28"/>
        </w:rPr>
      </w:pPr>
      <w:r>
        <w:rPr>
          <w:rFonts w:ascii="細明體" w:eastAsia="細明體" w:hAnsi="細明體" w:hint="eastAsia"/>
          <w:sz w:val="28"/>
          <w:szCs w:val="28"/>
        </w:rPr>
        <w:t>李科長明機</w:t>
      </w:r>
    </w:p>
    <w:p w:rsidR="00EC548A" w:rsidRPr="00320151" w:rsidRDefault="00EC548A" w:rsidP="00EC548A">
      <w:pPr>
        <w:snapToGrid w:val="0"/>
        <w:spacing w:beforeLines="50" w:before="180"/>
        <w:ind w:rightChars="10" w:right="24"/>
        <w:jc w:val="center"/>
        <w:rPr>
          <w:rFonts w:ascii="細明體" w:eastAsia="細明體" w:hAnsi="細明體"/>
          <w:sz w:val="28"/>
          <w:szCs w:val="28"/>
        </w:rPr>
      </w:pPr>
      <w:r w:rsidRPr="00320151">
        <w:rPr>
          <w:rFonts w:ascii="細明體" w:eastAsia="細明體" w:hAnsi="細明體" w:hint="eastAsia"/>
          <w:sz w:val="28"/>
          <w:szCs w:val="28"/>
        </w:rPr>
        <w:t>派赴</w:t>
      </w:r>
      <w:r w:rsidR="00976104" w:rsidRPr="00976104">
        <w:rPr>
          <w:rFonts w:ascii="細明體" w:eastAsia="細明體" w:hAnsi="細明體" w:hint="eastAsia"/>
          <w:sz w:val="28"/>
          <w:szCs w:val="28"/>
        </w:rPr>
        <w:t>國家</w:t>
      </w:r>
      <w:r w:rsidRPr="00320151">
        <w:rPr>
          <w:rFonts w:ascii="細明體" w:eastAsia="細明體" w:hAnsi="細明體" w:hint="eastAsia"/>
          <w:sz w:val="28"/>
          <w:szCs w:val="28"/>
        </w:rPr>
        <w:t>：香港</w:t>
      </w:r>
    </w:p>
    <w:p w:rsidR="00EC548A" w:rsidRPr="00320151" w:rsidRDefault="00EC548A" w:rsidP="00EC548A">
      <w:pPr>
        <w:snapToGrid w:val="0"/>
        <w:spacing w:beforeLines="50" w:before="180"/>
        <w:ind w:rightChars="10" w:right="24"/>
        <w:jc w:val="center"/>
        <w:rPr>
          <w:rFonts w:ascii="細明體" w:eastAsia="細明體" w:hAnsi="細明體"/>
          <w:sz w:val="28"/>
          <w:szCs w:val="28"/>
        </w:rPr>
      </w:pPr>
      <w:r w:rsidRPr="00320151">
        <w:rPr>
          <w:rFonts w:ascii="細明體" w:eastAsia="細明體" w:hAnsi="細明體" w:hint="eastAsia"/>
          <w:sz w:val="28"/>
          <w:szCs w:val="28"/>
        </w:rPr>
        <w:t>出國期間：</w:t>
      </w:r>
      <w:r>
        <w:rPr>
          <w:rFonts w:ascii="細明體" w:eastAsia="細明體" w:hAnsi="細明體"/>
          <w:sz w:val="28"/>
          <w:szCs w:val="28"/>
        </w:rPr>
        <w:t>10</w:t>
      </w:r>
      <w:r>
        <w:rPr>
          <w:rFonts w:ascii="細明體" w:eastAsia="細明體" w:hAnsi="細明體" w:hint="eastAsia"/>
          <w:sz w:val="28"/>
          <w:szCs w:val="28"/>
        </w:rPr>
        <w:t>3</w:t>
      </w:r>
      <w:r w:rsidRPr="00320151">
        <w:rPr>
          <w:rFonts w:ascii="細明體" w:eastAsia="細明體" w:hAnsi="細明體" w:hint="eastAsia"/>
          <w:sz w:val="28"/>
          <w:szCs w:val="28"/>
        </w:rPr>
        <w:t>年</w:t>
      </w:r>
      <w:r w:rsidRPr="00320151">
        <w:rPr>
          <w:rFonts w:ascii="細明體" w:eastAsia="細明體" w:hAnsi="細明體"/>
          <w:sz w:val="28"/>
          <w:szCs w:val="28"/>
        </w:rPr>
        <w:t>12</w:t>
      </w:r>
      <w:r w:rsidRPr="00320151">
        <w:rPr>
          <w:rFonts w:ascii="細明體" w:eastAsia="細明體" w:hAnsi="細明體" w:hint="eastAsia"/>
          <w:sz w:val="28"/>
          <w:szCs w:val="28"/>
        </w:rPr>
        <w:t>月</w:t>
      </w:r>
      <w:r>
        <w:rPr>
          <w:rFonts w:ascii="細明體" w:eastAsia="細明體" w:hAnsi="細明體" w:hint="eastAsia"/>
          <w:sz w:val="28"/>
          <w:szCs w:val="28"/>
        </w:rPr>
        <w:t>11</w:t>
      </w:r>
      <w:r w:rsidRPr="00320151">
        <w:rPr>
          <w:rFonts w:ascii="細明體" w:eastAsia="細明體" w:hAnsi="細明體" w:hint="eastAsia"/>
          <w:sz w:val="28"/>
          <w:szCs w:val="28"/>
        </w:rPr>
        <w:t>日至</w:t>
      </w:r>
      <w:r w:rsidRPr="00320151">
        <w:rPr>
          <w:rFonts w:ascii="細明體" w:eastAsia="細明體" w:hAnsi="細明體"/>
          <w:sz w:val="28"/>
          <w:szCs w:val="28"/>
        </w:rPr>
        <w:t>12</w:t>
      </w:r>
      <w:r w:rsidRPr="00320151">
        <w:rPr>
          <w:rFonts w:ascii="細明體" w:eastAsia="細明體" w:hAnsi="細明體" w:hint="eastAsia"/>
          <w:sz w:val="28"/>
          <w:szCs w:val="28"/>
        </w:rPr>
        <w:t>月</w:t>
      </w:r>
      <w:r>
        <w:rPr>
          <w:rFonts w:ascii="細明體" w:eastAsia="細明體" w:hAnsi="細明體" w:hint="eastAsia"/>
          <w:sz w:val="28"/>
          <w:szCs w:val="28"/>
        </w:rPr>
        <w:t>12</w:t>
      </w:r>
      <w:r w:rsidRPr="00320151">
        <w:rPr>
          <w:rFonts w:ascii="細明體" w:eastAsia="細明體" w:hAnsi="細明體" w:hint="eastAsia"/>
          <w:sz w:val="28"/>
          <w:szCs w:val="28"/>
        </w:rPr>
        <w:t>日</w:t>
      </w:r>
    </w:p>
    <w:p w:rsidR="00EC548A" w:rsidRPr="001F4E2B" w:rsidRDefault="00EC548A" w:rsidP="00EC548A">
      <w:pPr>
        <w:snapToGrid w:val="0"/>
        <w:spacing w:beforeLines="50" w:before="180"/>
        <w:ind w:rightChars="10" w:right="24"/>
        <w:jc w:val="center"/>
        <w:rPr>
          <w:rFonts w:ascii="細明體" w:eastAsia="細明體" w:hAnsi="細明體"/>
          <w:sz w:val="28"/>
          <w:szCs w:val="28"/>
        </w:rPr>
      </w:pPr>
      <w:r w:rsidRPr="00320151">
        <w:rPr>
          <w:rFonts w:ascii="細明體" w:eastAsia="細明體" w:hAnsi="細明體" w:hint="eastAsia"/>
          <w:sz w:val="28"/>
          <w:szCs w:val="28"/>
        </w:rPr>
        <w:t>報告日期：</w:t>
      </w:r>
      <w:r>
        <w:rPr>
          <w:rFonts w:ascii="細明體" w:eastAsia="細明體" w:hAnsi="細明體"/>
          <w:sz w:val="28"/>
          <w:szCs w:val="28"/>
        </w:rPr>
        <w:t>10</w:t>
      </w:r>
      <w:r w:rsidR="003F5DFD">
        <w:rPr>
          <w:rFonts w:ascii="細明體" w:eastAsia="細明體" w:hAnsi="細明體" w:hint="eastAsia"/>
          <w:sz w:val="28"/>
          <w:szCs w:val="28"/>
        </w:rPr>
        <w:t>4</w:t>
      </w:r>
      <w:r w:rsidRPr="001F4E2B">
        <w:rPr>
          <w:rFonts w:ascii="細明體" w:eastAsia="細明體" w:hAnsi="細明體" w:hint="eastAsia"/>
          <w:sz w:val="28"/>
          <w:szCs w:val="28"/>
        </w:rPr>
        <w:t>年</w:t>
      </w:r>
      <w:r w:rsidR="003F5DFD">
        <w:rPr>
          <w:rFonts w:ascii="細明體" w:eastAsia="細明體" w:hAnsi="細明體" w:hint="eastAsia"/>
          <w:sz w:val="28"/>
          <w:szCs w:val="28"/>
        </w:rPr>
        <w:t>1</w:t>
      </w:r>
      <w:r w:rsidRPr="001F4E2B">
        <w:rPr>
          <w:rFonts w:ascii="細明體" w:eastAsia="細明體" w:hAnsi="細明體" w:hint="eastAsia"/>
          <w:sz w:val="28"/>
          <w:szCs w:val="28"/>
        </w:rPr>
        <w:t>月</w:t>
      </w:r>
      <w:r w:rsidR="00F331D6">
        <w:rPr>
          <w:rFonts w:ascii="細明體" w:eastAsia="細明體" w:hAnsi="細明體" w:hint="eastAsia"/>
          <w:sz w:val="28"/>
          <w:szCs w:val="28"/>
        </w:rPr>
        <w:t>15日</w:t>
      </w:r>
      <w:bookmarkStart w:id="2" w:name="_GoBack"/>
      <w:bookmarkEnd w:id="2"/>
    </w:p>
    <w:p w:rsidR="00514980" w:rsidRDefault="00514980"/>
    <w:p w:rsidR="00EC548A" w:rsidRDefault="00EC548A"/>
    <w:p w:rsidR="00EC548A" w:rsidRDefault="00EC548A"/>
    <w:p w:rsidR="00EC548A" w:rsidRDefault="00EC548A"/>
    <w:p w:rsidR="00EC548A" w:rsidRDefault="00EC548A"/>
    <w:sdt>
      <w:sdtPr>
        <w:rPr>
          <w:rFonts w:ascii="Times New Roman" w:eastAsia="新細明體" w:hAnsi="Times New Roman" w:cs="Times New Roman"/>
          <w:b w:val="0"/>
          <w:bCs w:val="0"/>
          <w:color w:val="auto"/>
          <w:kern w:val="2"/>
          <w:sz w:val="24"/>
          <w:szCs w:val="20"/>
          <w:lang w:val="zh-TW"/>
        </w:rPr>
        <w:id w:val="-1177648659"/>
        <w:docPartObj>
          <w:docPartGallery w:val="Table of Contents"/>
          <w:docPartUnique/>
        </w:docPartObj>
      </w:sdtPr>
      <w:sdtEndPr/>
      <w:sdtContent>
        <w:p w:rsidR="001F4E2B" w:rsidRDefault="001F4E2B" w:rsidP="001F4E2B">
          <w:pPr>
            <w:pStyle w:val="ae"/>
          </w:pPr>
          <w:r>
            <w:rPr>
              <w:lang w:val="zh-TW"/>
            </w:rPr>
            <w:t>目錄</w:t>
          </w:r>
        </w:p>
        <w:p w:rsidR="009B21D0" w:rsidRDefault="001F4E2B">
          <w:pPr>
            <w:pStyle w:val="12"/>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08301450" w:history="1">
            <w:r w:rsidR="009B21D0" w:rsidRPr="00ED5748">
              <w:rPr>
                <w:rStyle w:val="a5"/>
                <w:rFonts w:hint="eastAsia"/>
                <w:noProof/>
              </w:rPr>
              <w:t>第一章</w:t>
            </w:r>
            <w:r w:rsidR="009B21D0">
              <w:rPr>
                <w:rFonts w:asciiTheme="minorHAnsi" w:eastAsiaTheme="minorEastAsia" w:hAnsiTheme="minorHAnsi" w:cstheme="minorBidi"/>
                <w:noProof/>
                <w:szCs w:val="22"/>
              </w:rPr>
              <w:tab/>
            </w:r>
            <w:r w:rsidR="009B21D0" w:rsidRPr="00ED5748">
              <w:rPr>
                <w:rStyle w:val="a5"/>
                <w:rFonts w:hint="eastAsia"/>
                <w:noProof/>
              </w:rPr>
              <w:t>前言</w:t>
            </w:r>
            <w:r w:rsidR="009B21D0">
              <w:rPr>
                <w:noProof/>
                <w:webHidden/>
              </w:rPr>
              <w:tab/>
            </w:r>
            <w:r w:rsidR="009B21D0">
              <w:rPr>
                <w:noProof/>
                <w:webHidden/>
              </w:rPr>
              <w:fldChar w:fldCharType="begin"/>
            </w:r>
            <w:r w:rsidR="009B21D0">
              <w:rPr>
                <w:noProof/>
                <w:webHidden/>
              </w:rPr>
              <w:instrText xml:space="preserve"> PAGEREF _Toc408301450 \h </w:instrText>
            </w:r>
            <w:r w:rsidR="009B21D0">
              <w:rPr>
                <w:noProof/>
                <w:webHidden/>
              </w:rPr>
            </w:r>
            <w:r w:rsidR="009B21D0">
              <w:rPr>
                <w:noProof/>
                <w:webHidden/>
              </w:rPr>
              <w:fldChar w:fldCharType="separate"/>
            </w:r>
            <w:r w:rsidR="004D66A5">
              <w:rPr>
                <w:noProof/>
                <w:webHidden/>
              </w:rPr>
              <w:t>1</w:t>
            </w:r>
            <w:r w:rsidR="009B21D0">
              <w:rPr>
                <w:noProof/>
                <w:webHidden/>
              </w:rPr>
              <w:fldChar w:fldCharType="end"/>
            </w:r>
          </w:hyperlink>
        </w:p>
        <w:p w:rsidR="009B21D0" w:rsidRDefault="00445B86">
          <w:pPr>
            <w:pStyle w:val="12"/>
            <w:rPr>
              <w:rFonts w:asciiTheme="minorHAnsi" w:eastAsiaTheme="minorEastAsia" w:hAnsiTheme="minorHAnsi" w:cstheme="minorBidi"/>
              <w:noProof/>
              <w:szCs w:val="22"/>
            </w:rPr>
          </w:pPr>
          <w:hyperlink w:anchor="_Toc408301451" w:history="1">
            <w:r w:rsidR="009B21D0" w:rsidRPr="00ED5748">
              <w:rPr>
                <w:rStyle w:val="a5"/>
                <w:rFonts w:hint="eastAsia"/>
                <w:noProof/>
              </w:rPr>
              <w:t>第二章</w:t>
            </w:r>
            <w:r w:rsidR="009B21D0">
              <w:rPr>
                <w:rFonts w:asciiTheme="minorHAnsi" w:eastAsiaTheme="minorEastAsia" w:hAnsiTheme="minorHAnsi" w:cstheme="minorBidi"/>
                <w:noProof/>
                <w:szCs w:val="22"/>
              </w:rPr>
              <w:tab/>
            </w:r>
            <w:r w:rsidR="009B21D0" w:rsidRPr="00ED5748">
              <w:rPr>
                <w:rStyle w:val="a5"/>
                <w:rFonts w:hint="eastAsia"/>
                <w:noProof/>
              </w:rPr>
              <w:t>香港證監會簡介</w:t>
            </w:r>
            <w:r w:rsidR="009B21D0">
              <w:rPr>
                <w:noProof/>
                <w:webHidden/>
              </w:rPr>
              <w:tab/>
            </w:r>
            <w:r w:rsidR="001A3418">
              <w:rPr>
                <w:rFonts w:hint="eastAsia"/>
                <w:noProof/>
                <w:webHidden/>
              </w:rPr>
              <w:t>1</w:t>
            </w:r>
          </w:hyperlink>
        </w:p>
        <w:p w:rsidR="009B21D0" w:rsidRDefault="00445B86">
          <w:pPr>
            <w:pStyle w:val="24"/>
            <w:rPr>
              <w:rFonts w:asciiTheme="minorHAnsi" w:eastAsiaTheme="minorEastAsia" w:hAnsiTheme="minorHAnsi" w:cstheme="minorBidi"/>
              <w:noProof/>
              <w:szCs w:val="22"/>
            </w:rPr>
          </w:pPr>
          <w:hyperlink w:anchor="_Toc408301452" w:history="1">
            <w:r w:rsidR="009B21D0" w:rsidRPr="00ED5748">
              <w:rPr>
                <w:rStyle w:val="a5"/>
                <w:rFonts w:hint="eastAsia"/>
                <w:noProof/>
              </w:rPr>
              <w:t>一、歷史背景</w:t>
            </w:r>
            <w:r w:rsidR="009B21D0">
              <w:rPr>
                <w:noProof/>
                <w:webHidden/>
              </w:rPr>
              <w:tab/>
            </w:r>
            <w:r w:rsidR="001A3418">
              <w:rPr>
                <w:rFonts w:hint="eastAsia"/>
                <w:noProof/>
                <w:webHidden/>
              </w:rPr>
              <w:t>2</w:t>
            </w:r>
          </w:hyperlink>
        </w:p>
        <w:p w:rsidR="009B21D0" w:rsidRDefault="00445B86">
          <w:pPr>
            <w:pStyle w:val="24"/>
            <w:rPr>
              <w:rFonts w:asciiTheme="minorHAnsi" w:eastAsiaTheme="minorEastAsia" w:hAnsiTheme="minorHAnsi" w:cstheme="minorBidi"/>
              <w:noProof/>
              <w:szCs w:val="22"/>
            </w:rPr>
          </w:pPr>
          <w:hyperlink w:anchor="_Toc408301453" w:history="1">
            <w:r w:rsidR="009B21D0" w:rsidRPr="00ED5748">
              <w:rPr>
                <w:rStyle w:val="a5"/>
                <w:rFonts w:hint="eastAsia"/>
                <w:noProof/>
              </w:rPr>
              <w:t>二、監管對象</w:t>
            </w:r>
            <w:r w:rsidR="009B21D0">
              <w:rPr>
                <w:noProof/>
                <w:webHidden/>
              </w:rPr>
              <w:tab/>
            </w:r>
            <w:r w:rsidR="001A3418">
              <w:rPr>
                <w:rFonts w:hint="eastAsia"/>
                <w:noProof/>
                <w:webHidden/>
              </w:rPr>
              <w:t>3</w:t>
            </w:r>
          </w:hyperlink>
        </w:p>
        <w:p w:rsidR="009B21D0" w:rsidRDefault="00445B86">
          <w:pPr>
            <w:pStyle w:val="24"/>
            <w:rPr>
              <w:rFonts w:asciiTheme="minorHAnsi" w:eastAsiaTheme="minorEastAsia" w:hAnsiTheme="minorHAnsi" w:cstheme="minorBidi"/>
              <w:noProof/>
              <w:szCs w:val="22"/>
            </w:rPr>
          </w:pPr>
          <w:hyperlink w:anchor="_Toc408301454" w:history="1">
            <w:r w:rsidR="009B21D0" w:rsidRPr="00ED5748">
              <w:rPr>
                <w:rStyle w:val="a5"/>
                <w:rFonts w:hint="eastAsia"/>
                <w:noProof/>
              </w:rPr>
              <w:t>三、組織架構</w:t>
            </w:r>
            <w:r w:rsidR="009B21D0">
              <w:rPr>
                <w:noProof/>
                <w:webHidden/>
              </w:rPr>
              <w:tab/>
            </w:r>
            <w:r w:rsidR="009B21D0">
              <w:rPr>
                <w:noProof/>
                <w:webHidden/>
              </w:rPr>
              <w:fldChar w:fldCharType="begin"/>
            </w:r>
            <w:r w:rsidR="009B21D0">
              <w:rPr>
                <w:noProof/>
                <w:webHidden/>
              </w:rPr>
              <w:instrText xml:space="preserve"> PAGEREF _Toc408301454 \h </w:instrText>
            </w:r>
            <w:r w:rsidR="009B21D0">
              <w:rPr>
                <w:noProof/>
                <w:webHidden/>
              </w:rPr>
            </w:r>
            <w:r w:rsidR="009B21D0">
              <w:rPr>
                <w:noProof/>
                <w:webHidden/>
              </w:rPr>
              <w:fldChar w:fldCharType="separate"/>
            </w:r>
            <w:r w:rsidR="004D66A5">
              <w:rPr>
                <w:noProof/>
                <w:webHidden/>
              </w:rPr>
              <w:t>6</w:t>
            </w:r>
            <w:r w:rsidR="009B21D0">
              <w:rPr>
                <w:noProof/>
                <w:webHidden/>
              </w:rPr>
              <w:fldChar w:fldCharType="end"/>
            </w:r>
          </w:hyperlink>
        </w:p>
        <w:p w:rsidR="009B21D0" w:rsidRDefault="00445B86">
          <w:pPr>
            <w:pStyle w:val="12"/>
            <w:rPr>
              <w:rFonts w:asciiTheme="minorHAnsi" w:eastAsiaTheme="minorEastAsia" w:hAnsiTheme="minorHAnsi" w:cstheme="minorBidi"/>
              <w:noProof/>
              <w:szCs w:val="22"/>
            </w:rPr>
          </w:pPr>
          <w:hyperlink w:anchor="_Toc408301455" w:history="1">
            <w:r w:rsidR="009B21D0" w:rsidRPr="00ED5748">
              <w:rPr>
                <w:rStyle w:val="a5"/>
                <w:rFonts w:eastAsia="細明體" w:hAnsi="細明體" w:hint="eastAsia"/>
                <w:noProof/>
              </w:rPr>
              <w:t>第三章</w:t>
            </w:r>
            <w:r w:rsidR="009B21D0">
              <w:rPr>
                <w:rFonts w:asciiTheme="minorHAnsi" w:eastAsiaTheme="minorEastAsia" w:hAnsiTheme="minorHAnsi" w:cstheme="minorBidi"/>
                <w:noProof/>
                <w:szCs w:val="22"/>
              </w:rPr>
              <w:tab/>
            </w:r>
            <w:r w:rsidR="009B21D0" w:rsidRPr="00ED5748">
              <w:rPr>
                <w:rStyle w:val="a5"/>
                <w:rFonts w:eastAsia="細明體" w:hAnsi="細明體" w:hint="eastAsia"/>
                <w:noProof/>
                <w:spacing w:val="-8"/>
              </w:rPr>
              <w:t>第六屆臺港證券監理機關加強聯繫與合作會議</w:t>
            </w:r>
            <w:r w:rsidR="009B21D0">
              <w:rPr>
                <w:noProof/>
                <w:webHidden/>
              </w:rPr>
              <w:tab/>
            </w:r>
            <w:r w:rsidR="009B21D0">
              <w:rPr>
                <w:noProof/>
                <w:webHidden/>
              </w:rPr>
              <w:fldChar w:fldCharType="begin"/>
            </w:r>
            <w:r w:rsidR="009B21D0">
              <w:rPr>
                <w:noProof/>
                <w:webHidden/>
              </w:rPr>
              <w:instrText xml:space="preserve"> PAGEREF _Toc408301455 \h </w:instrText>
            </w:r>
            <w:r w:rsidR="009B21D0">
              <w:rPr>
                <w:noProof/>
                <w:webHidden/>
              </w:rPr>
            </w:r>
            <w:r w:rsidR="009B21D0">
              <w:rPr>
                <w:noProof/>
                <w:webHidden/>
              </w:rPr>
              <w:fldChar w:fldCharType="separate"/>
            </w:r>
            <w:r w:rsidR="004D66A5">
              <w:rPr>
                <w:noProof/>
                <w:webHidden/>
              </w:rPr>
              <w:t>7</w:t>
            </w:r>
            <w:r w:rsidR="009B21D0">
              <w:rPr>
                <w:noProof/>
                <w:webHidden/>
              </w:rPr>
              <w:fldChar w:fldCharType="end"/>
            </w:r>
          </w:hyperlink>
        </w:p>
        <w:p w:rsidR="009B21D0" w:rsidRDefault="00445B86">
          <w:pPr>
            <w:pStyle w:val="24"/>
            <w:rPr>
              <w:rFonts w:asciiTheme="minorHAnsi" w:eastAsiaTheme="minorEastAsia" w:hAnsiTheme="minorHAnsi" w:cstheme="minorBidi"/>
              <w:noProof/>
              <w:szCs w:val="22"/>
            </w:rPr>
          </w:pPr>
          <w:hyperlink w:anchor="_Toc408301456" w:history="1">
            <w:r w:rsidR="009B21D0" w:rsidRPr="00ED5748">
              <w:rPr>
                <w:rStyle w:val="a5"/>
                <w:rFonts w:hint="eastAsia"/>
                <w:noProof/>
              </w:rPr>
              <w:t>第一節</w:t>
            </w:r>
            <w:r w:rsidR="009B21D0">
              <w:rPr>
                <w:rFonts w:asciiTheme="minorHAnsi" w:eastAsiaTheme="minorEastAsia" w:hAnsiTheme="minorHAnsi" w:cstheme="minorBidi"/>
                <w:noProof/>
                <w:szCs w:val="22"/>
              </w:rPr>
              <w:tab/>
            </w:r>
            <w:r w:rsidR="009B21D0" w:rsidRPr="00ED5748">
              <w:rPr>
                <w:rStyle w:val="a5"/>
                <w:rFonts w:hint="eastAsia"/>
                <w:noProof/>
              </w:rPr>
              <w:t>議程安排</w:t>
            </w:r>
            <w:r w:rsidR="009B21D0">
              <w:rPr>
                <w:noProof/>
                <w:webHidden/>
              </w:rPr>
              <w:tab/>
            </w:r>
            <w:r w:rsidR="009B21D0">
              <w:rPr>
                <w:noProof/>
                <w:webHidden/>
              </w:rPr>
              <w:fldChar w:fldCharType="begin"/>
            </w:r>
            <w:r w:rsidR="009B21D0">
              <w:rPr>
                <w:noProof/>
                <w:webHidden/>
              </w:rPr>
              <w:instrText xml:space="preserve"> PAGEREF _Toc408301456 \h </w:instrText>
            </w:r>
            <w:r w:rsidR="009B21D0">
              <w:rPr>
                <w:noProof/>
                <w:webHidden/>
              </w:rPr>
            </w:r>
            <w:r w:rsidR="009B21D0">
              <w:rPr>
                <w:noProof/>
                <w:webHidden/>
              </w:rPr>
              <w:fldChar w:fldCharType="separate"/>
            </w:r>
            <w:r w:rsidR="004D66A5">
              <w:rPr>
                <w:noProof/>
                <w:webHidden/>
              </w:rPr>
              <w:t>7</w:t>
            </w:r>
            <w:r w:rsidR="009B21D0">
              <w:rPr>
                <w:noProof/>
                <w:webHidden/>
              </w:rPr>
              <w:fldChar w:fldCharType="end"/>
            </w:r>
          </w:hyperlink>
        </w:p>
        <w:p w:rsidR="009B21D0" w:rsidRDefault="00445B86">
          <w:pPr>
            <w:pStyle w:val="24"/>
            <w:rPr>
              <w:rFonts w:asciiTheme="minorHAnsi" w:eastAsiaTheme="minorEastAsia" w:hAnsiTheme="minorHAnsi" w:cstheme="minorBidi"/>
              <w:noProof/>
              <w:szCs w:val="22"/>
            </w:rPr>
          </w:pPr>
          <w:hyperlink w:anchor="_Toc408301457" w:history="1">
            <w:r w:rsidR="009B21D0" w:rsidRPr="00ED5748">
              <w:rPr>
                <w:rStyle w:val="a5"/>
                <w:rFonts w:hint="eastAsia"/>
                <w:noProof/>
              </w:rPr>
              <w:t>第二節</w:t>
            </w:r>
            <w:r w:rsidR="009B21D0">
              <w:rPr>
                <w:rFonts w:asciiTheme="minorHAnsi" w:eastAsiaTheme="minorEastAsia" w:hAnsiTheme="minorHAnsi" w:cstheme="minorBidi"/>
                <w:noProof/>
                <w:szCs w:val="22"/>
              </w:rPr>
              <w:tab/>
            </w:r>
            <w:r w:rsidR="009B21D0" w:rsidRPr="00ED5748">
              <w:rPr>
                <w:rStyle w:val="a5"/>
                <w:rFonts w:hint="eastAsia"/>
                <w:noProof/>
              </w:rPr>
              <w:t>各項交流議題</w:t>
            </w:r>
            <w:r w:rsidR="009B21D0">
              <w:rPr>
                <w:noProof/>
                <w:webHidden/>
              </w:rPr>
              <w:tab/>
            </w:r>
            <w:r w:rsidR="009B21D0">
              <w:rPr>
                <w:noProof/>
                <w:webHidden/>
              </w:rPr>
              <w:fldChar w:fldCharType="begin"/>
            </w:r>
            <w:r w:rsidR="009B21D0">
              <w:rPr>
                <w:noProof/>
                <w:webHidden/>
              </w:rPr>
              <w:instrText xml:space="preserve"> PAGEREF _Toc408301457 \h </w:instrText>
            </w:r>
            <w:r w:rsidR="009B21D0">
              <w:rPr>
                <w:noProof/>
                <w:webHidden/>
              </w:rPr>
            </w:r>
            <w:r w:rsidR="009B21D0">
              <w:rPr>
                <w:noProof/>
                <w:webHidden/>
              </w:rPr>
              <w:fldChar w:fldCharType="separate"/>
            </w:r>
            <w:r w:rsidR="004D66A5">
              <w:rPr>
                <w:noProof/>
                <w:webHidden/>
              </w:rPr>
              <w:t>8</w:t>
            </w:r>
            <w:r w:rsidR="009B21D0">
              <w:rPr>
                <w:noProof/>
                <w:webHidden/>
              </w:rPr>
              <w:fldChar w:fldCharType="end"/>
            </w:r>
          </w:hyperlink>
        </w:p>
        <w:p w:rsidR="009B21D0" w:rsidRDefault="00445B86">
          <w:pPr>
            <w:pStyle w:val="32"/>
            <w:rPr>
              <w:rFonts w:asciiTheme="minorHAnsi" w:eastAsiaTheme="minorEastAsia" w:hAnsiTheme="minorHAnsi" w:cstheme="minorBidi"/>
              <w:noProof/>
              <w:szCs w:val="22"/>
            </w:rPr>
          </w:pPr>
          <w:hyperlink w:anchor="_Toc408301458" w:history="1">
            <w:r w:rsidR="009B21D0" w:rsidRPr="00ED5748">
              <w:rPr>
                <w:rStyle w:val="a5"/>
                <w:rFonts w:hint="eastAsia"/>
                <w:noProof/>
              </w:rPr>
              <w:t>一、</w:t>
            </w:r>
            <w:r w:rsidR="009B21D0">
              <w:rPr>
                <w:rFonts w:asciiTheme="minorHAnsi" w:eastAsiaTheme="minorEastAsia" w:hAnsiTheme="minorHAnsi" w:cstheme="minorBidi"/>
                <w:noProof/>
                <w:szCs w:val="22"/>
              </w:rPr>
              <w:tab/>
            </w:r>
            <w:r w:rsidR="009B21D0" w:rsidRPr="00ED5748">
              <w:rPr>
                <w:rStyle w:val="a5"/>
                <w:rFonts w:hint="eastAsia"/>
                <w:noProof/>
              </w:rPr>
              <w:t>雙方代表致詞</w:t>
            </w:r>
            <w:r w:rsidR="009B21D0">
              <w:rPr>
                <w:noProof/>
                <w:webHidden/>
              </w:rPr>
              <w:tab/>
            </w:r>
            <w:r w:rsidR="009B21D0">
              <w:rPr>
                <w:noProof/>
                <w:webHidden/>
              </w:rPr>
              <w:fldChar w:fldCharType="begin"/>
            </w:r>
            <w:r w:rsidR="009B21D0">
              <w:rPr>
                <w:noProof/>
                <w:webHidden/>
              </w:rPr>
              <w:instrText xml:space="preserve"> PAGEREF _Toc408301458 \h </w:instrText>
            </w:r>
            <w:r w:rsidR="009B21D0">
              <w:rPr>
                <w:noProof/>
                <w:webHidden/>
              </w:rPr>
            </w:r>
            <w:r w:rsidR="009B21D0">
              <w:rPr>
                <w:noProof/>
                <w:webHidden/>
              </w:rPr>
              <w:fldChar w:fldCharType="separate"/>
            </w:r>
            <w:r w:rsidR="004D66A5">
              <w:rPr>
                <w:noProof/>
                <w:webHidden/>
              </w:rPr>
              <w:t>8</w:t>
            </w:r>
            <w:r w:rsidR="009B21D0">
              <w:rPr>
                <w:noProof/>
                <w:webHidden/>
              </w:rPr>
              <w:fldChar w:fldCharType="end"/>
            </w:r>
          </w:hyperlink>
        </w:p>
        <w:p w:rsidR="009B21D0" w:rsidRDefault="00445B86">
          <w:pPr>
            <w:pStyle w:val="32"/>
            <w:rPr>
              <w:rFonts w:asciiTheme="minorHAnsi" w:eastAsiaTheme="minorEastAsia" w:hAnsiTheme="minorHAnsi" w:cstheme="minorBidi"/>
              <w:noProof/>
              <w:szCs w:val="22"/>
            </w:rPr>
          </w:pPr>
          <w:hyperlink w:anchor="_Toc408301459" w:history="1">
            <w:r w:rsidR="009B21D0" w:rsidRPr="00ED5748">
              <w:rPr>
                <w:rStyle w:val="a5"/>
                <w:rFonts w:ascii="新細明體" w:hAnsi="新細明體" w:hint="eastAsia"/>
                <w:noProof/>
              </w:rPr>
              <w:t>二、</w:t>
            </w:r>
            <w:r w:rsidR="009B21D0">
              <w:rPr>
                <w:rFonts w:asciiTheme="minorHAnsi" w:eastAsiaTheme="minorEastAsia" w:hAnsiTheme="minorHAnsi" w:cstheme="minorBidi"/>
                <w:noProof/>
                <w:szCs w:val="22"/>
              </w:rPr>
              <w:tab/>
            </w:r>
            <w:r w:rsidR="009B21D0" w:rsidRPr="00ED5748">
              <w:rPr>
                <w:rStyle w:val="a5"/>
                <w:rFonts w:ascii="新細明體" w:hAnsi="新細明體" w:hint="eastAsia"/>
                <w:noProof/>
              </w:rPr>
              <w:t>交流議題</w:t>
            </w:r>
            <w:r w:rsidR="009B21D0" w:rsidRPr="00ED5748">
              <w:rPr>
                <w:rStyle w:val="a5"/>
                <w:rFonts w:ascii="新細明體" w:hAnsi="新細明體"/>
                <w:noProof/>
              </w:rPr>
              <w:t>1 :</w:t>
            </w:r>
            <w:r w:rsidR="009B21D0" w:rsidRPr="00ED5748">
              <w:rPr>
                <w:rStyle w:val="a5"/>
                <w:rFonts w:ascii="新細明體" w:hAnsi="新細明體" w:hint="eastAsia"/>
                <w:noProof/>
              </w:rPr>
              <w:t>上市公司辦理現金增資發行普通股之相關規範</w:t>
            </w:r>
            <w:r w:rsidR="009B21D0">
              <w:rPr>
                <w:noProof/>
                <w:webHidden/>
              </w:rPr>
              <w:tab/>
            </w:r>
            <w:r w:rsidR="00EE2A23">
              <w:rPr>
                <w:rFonts w:hint="eastAsia"/>
                <w:noProof/>
                <w:webHidden/>
              </w:rPr>
              <w:t>9</w:t>
            </w:r>
          </w:hyperlink>
        </w:p>
        <w:p w:rsidR="009B21D0" w:rsidRDefault="00445B86">
          <w:pPr>
            <w:pStyle w:val="32"/>
            <w:rPr>
              <w:rFonts w:asciiTheme="minorHAnsi" w:eastAsiaTheme="minorEastAsia" w:hAnsiTheme="minorHAnsi" w:cstheme="minorBidi"/>
              <w:noProof/>
              <w:szCs w:val="22"/>
            </w:rPr>
          </w:pPr>
          <w:hyperlink w:anchor="_Toc408301460" w:history="1">
            <w:r w:rsidR="009B21D0" w:rsidRPr="00ED5748">
              <w:rPr>
                <w:rStyle w:val="a5"/>
                <w:rFonts w:ascii="新細明體" w:hAnsi="新細明體" w:hint="eastAsia"/>
                <w:noProof/>
              </w:rPr>
              <w:t>三、</w:t>
            </w:r>
            <w:r w:rsidR="009B21D0">
              <w:rPr>
                <w:rFonts w:asciiTheme="minorHAnsi" w:eastAsiaTheme="minorEastAsia" w:hAnsiTheme="minorHAnsi" w:cstheme="minorBidi"/>
                <w:noProof/>
                <w:szCs w:val="22"/>
              </w:rPr>
              <w:tab/>
            </w:r>
            <w:r w:rsidR="009B21D0" w:rsidRPr="00ED5748">
              <w:rPr>
                <w:rStyle w:val="a5"/>
                <w:rFonts w:ascii="新細明體" w:hAnsi="新細明體" w:hint="eastAsia"/>
                <w:noProof/>
              </w:rPr>
              <w:t>交流議題</w:t>
            </w:r>
            <w:r w:rsidR="009B21D0" w:rsidRPr="00ED5748">
              <w:rPr>
                <w:rStyle w:val="a5"/>
                <w:rFonts w:ascii="新細明體" w:hAnsi="新細明體"/>
                <w:noProof/>
              </w:rPr>
              <w:t>2 :</w:t>
            </w:r>
            <w:r w:rsidR="009B21D0" w:rsidRPr="00ED5748">
              <w:rPr>
                <w:rStyle w:val="a5"/>
                <w:rFonts w:ascii="新細明體" w:hAnsi="新細明體" w:hint="eastAsia"/>
                <w:noProof/>
              </w:rPr>
              <w:t>清盤中的停牌上市公司財務報告之資訊交流</w:t>
            </w:r>
            <w:r w:rsidR="009B21D0">
              <w:rPr>
                <w:noProof/>
                <w:webHidden/>
              </w:rPr>
              <w:tab/>
            </w:r>
            <w:r w:rsidR="00EE2A23">
              <w:rPr>
                <w:rFonts w:hint="eastAsia"/>
                <w:noProof/>
                <w:webHidden/>
              </w:rPr>
              <w:t>11</w:t>
            </w:r>
          </w:hyperlink>
        </w:p>
        <w:p w:rsidR="009B21D0" w:rsidRDefault="00445B86">
          <w:pPr>
            <w:pStyle w:val="32"/>
            <w:rPr>
              <w:rFonts w:asciiTheme="minorHAnsi" w:eastAsiaTheme="minorEastAsia" w:hAnsiTheme="minorHAnsi" w:cstheme="minorBidi"/>
              <w:noProof/>
              <w:szCs w:val="22"/>
            </w:rPr>
          </w:pPr>
          <w:hyperlink w:anchor="_Toc408301461" w:history="1">
            <w:r w:rsidR="009B21D0" w:rsidRPr="00ED5748">
              <w:rPr>
                <w:rStyle w:val="a5"/>
                <w:rFonts w:ascii="新細明體" w:hAnsi="新細明體" w:hint="eastAsia"/>
                <w:noProof/>
              </w:rPr>
              <w:t>四、</w:t>
            </w:r>
            <w:r w:rsidR="009B21D0">
              <w:rPr>
                <w:rFonts w:asciiTheme="minorHAnsi" w:eastAsiaTheme="minorEastAsia" w:hAnsiTheme="minorHAnsi" w:cstheme="minorBidi"/>
                <w:noProof/>
                <w:szCs w:val="22"/>
              </w:rPr>
              <w:tab/>
            </w:r>
            <w:r w:rsidR="009B21D0" w:rsidRPr="00ED5748">
              <w:rPr>
                <w:rStyle w:val="a5"/>
                <w:rFonts w:ascii="新細明體" w:hAnsi="新細明體" w:hint="eastAsia"/>
                <w:noProof/>
              </w:rPr>
              <w:t>交流議題</w:t>
            </w:r>
            <w:r w:rsidR="009B21D0" w:rsidRPr="00ED5748">
              <w:rPr>
                <w:rStyle w:val="a5"/>
                <w:rFonts w:ascii="新細明體" w:hAnsi="新細明體"/>
                <w:noProof/>
              </w:rPr>
              <w:t>3 :</w:t>
            </w:r>
            <w:r w:rsidR="009B21D0" w:rsidRPr="00ED5748">
              <w:rPr>
                <w:rStyle w:val="a5"/>
                <w:rFonts w:ascii="新細明體" w:hAnsi="新細明體" w:hint="eastAsia"/>
                <w:noProof/>
              </w:rPr>
              <w:t>專業投資者制度之修訂之考量原因</w:t>
            </w:r>
            <w:r w:rsidR="009B21D0">
              <w:rPr>
                <w:noProof/>
                <w:webHidden/>
              </w:rPr>
              <w:tab/>
            </w:r>
            <w:r w:rsidR="009B21D0">
              <w:rPr>
                <w:noProof/>
                <w:webHidden/>
              </w:rPr>
              <w:fldChar w:fldCharType="begin"/>
            </w:r>
            <w:r w:rsidR="009B21D0">
              <w:rPr>
                <w:noProof/>
                <w:webHidden/>
              </w:rPr>
              <w:instrText xml:space="preserve"> PAGEREF _Toc408301461 \h </w:instrText>
            </w:r>
            <w:r w:rsidR="009B21D0">
              <w:rPr>
                <w:noProof/>
                <w:webHidden/>
              </w:rPr>
            </w:r>
            <w:r w:rsidR="009B21D0">
              <w:rPr>
                <w:noProof/>
                <w:webHidden/>
              </w:rPr>
              <w:fldChar w:fldCharType="separate"/>
            </w:r>
            <w:r w:rsidR="004D66A5">
              <w:rPr>
                <w:noProof/>
                <w:webHidden/>
              </w:rPr>
              <w:t>13</w:t>
            </w:r>
            <w:r w:rsidR="009B21D0">
              <w:rPr>
                <w:noProof/>
                <w:webHidden/>
              </w:rPr>
              <w:fldChar w:fldCharType="end"/>
            </w:r>
          </w:hyperlink>
        </w:p>
        <w:p w:rsidR="009B21D0" w:rsidRDefault="00445B86">
          <w:pPr>
            <w:pStyle w:val="32"/>
            <w:rPr>
              <w:rFonts w:asciiTheme="minorHAnsi" w:eastAsiaTheme="minorEastAsia" w:hAnsiTheme="minorHAnsi" w:cstheme="minorBidi"/>
              <w:noProof/>
              <w:szCs w:val="22"/>
            </w:rPr>
          </w:pPr>
          <w:hyperlink w:anchor="_Toc408301462" w:history="1">
            <w:r w:rsidR="009B21D0" w:rsidRPr="00ED5748">
              <w:rPr>
                <w:rStyle w:val="a5"/>
                <w:rFonts w:ascii="新細明體" w:hAnsi="新細明體" w:hint="eastAsia"/>
                <w:noProof/>
              </w:rPr>
              <w:t>五、</w:t>
            </w:r>
            <w:r w:rsidR="009B21D0">
              <w:rPr>
                <w:rFonts w:asciiTheme="minorHAnsi" w:eastAsiaTheme="minorEastAsia" w:hAnsiTheme="minorHAnsi" w:cstheme="minorBidi"/>
                <w:noProof/>
                <w:szCs w:val="22"/>
              </w:rPr>
              <w:tab/>
            </w:r>
            <w:r w:rsidR="009B21D0" w:rsidRPr="00ED5748">
              <w:rPr>
                <w:rStyle w:val="a5"/>
                <w:rFonts w:ascii="新細明體" w:hAnsi="新細明體" w:hint="eastAsia"/>
                <w:noProof/>
              </w:rPr>
              <w:t>交流議題</w:t>
            </w:r>
            <w:r w:rsidR="009B21D0" w:rsidRPr="00ED5748">
              <w:rPr>
                <w:rStyle w:val="a5"/>
                <w:rFonts w:ascii="新細明體" w:hAnsi="新細明體"/>
                <w:noProof/>
              </w:rPr>
              <w:t>4 :</w:t>
            </w:r>
            <w:r w:rsidR="009B21D0" w:rsidRPr="00ED5748">
              <w:rPr>
                <w:rStyle w:val="a5"/>
                <w:rFonts w:ascii="新細明體" w:hAnsi="新細明體" w:hint="eastAsia"/>
                <w:noProof/>
              </w:rPr>
              <w:t>創櫃板簡介</w:t>
            </w:r>
            <w:r w:rsidR="009B21D0">
              <w:rPr>
                <w:noProof/>
                <w:webHidden/>
              </w:rPr>
              <w:tab/>
            </w:r>
            <w:r w:rsidR="009B21D0">
              <w:rPr>
                <w:noProof/>
                <w:webHidden/>
              </w:rPr>
              <w:fldChar w:fldCharType="begin"/>
            </w:r>
            <w:r w:rsidR="009B21D0">
              <w:rPr>
                <w:noProof/>
                <w:webHidden/>
              </w:rPr>
              <w:instrText xml:space="preserve"> PAGEREF _Toc408301462 \h </w:instrText>
            </w:r>
            <w:r w:rsidR="009B21D0">
              <w:rPr>
                <w:noProof/>
                <w:webHidden/>
              </w:rPr>
            </w:r>
            <w:r w:rsidR="009B21D0">
              <w:rPr>
                <w:noProof/>
                <w:webHidden/>
              </w:rPr>
              <w:fldChar w:fldCharType="separate"/>
            </w:r>
            <w:r w:rsidR="004D66A5">
              <w:rPr>
                <w:noProof/>
                <w:webHidden/>
              </w:rPr>
              <w:t>15</w:t>
            </w:r>
            <w:r w:rsidR="009B21D0">
              <w:rPr>
                <w:noProof/>
                <w:webHidden/>
              </w:rPr>
              <w:fldChar w:fldCharType="end"/>
            </w:r>
          </w:hyperlink>
        </w:p>
        <w:p w:rsidR="009B21D0" w:rsidRDefault="00445B86">
          <w:pPr>
            <w:pStyle w:val="12"/>
            <w:rPr>
              <w:rFonts w:asciiTheme="minorHAnsi" w:eastAsiaTheme="minorEastAsia" w:hAnsiTheme="minorHAnsi" w:cstheme="minorBidi"/>
              <w:noProof/>
              <w:szCs w:val="22"/>
            </w:rPr>
          </w:pPr>
          <w:hyperlink w:anchor="_Toc408301466" w:history="1">
            <w:r w:rsidR="009B21D0" w:rsidRPr="00ED5748">
              <w:rPr>
                <w:rStyle w:val="a5"/>
                <w:rFonts w:hint="eastAsia"/>
                <w:noProof/>
              </w:rPr>
              <w:t>第</w:t>
            </w:r>
            <w:r w:rsidR="00973A83">
              <w:rPr>
                <w:rStyle w:val="a5"/>
                <w:rFonts w:hint="eastAsia"/>
                <w:noProof/>
              </w:rPr>
              <w:t>四</w:t>
            </w:r>
            <w:r w:rsidR="009B21D0" w:rsidRPr="00ED5748">
              <w:rPr>
                <w:rStyle w:val="a5"/>
                <w:rFonts w:hint="eastAsia"/>
                <w:noProof/>
              </w:rPr>
              <w:t>章</w:t>
            </w:r>
            <w:r w:rsidR="00973A83">
              <w:rPr>
                <w:rStyle w:val="a5"/>
                <w:rFonts w:hint="eastAsia"/>
                <w:noProof/>
              </w:rPr>
              <w:t xml:space="preserve"> </w:t>
            </w:r>
            <w:r w:rsidR="009B21D0" w:rsidRPr="00ED5748">
              <w:rPr>
                <w:rStyle w:val="a5"/>
                <w:rFonts w:hint="eastAsia"/>
                <w:noProof/>
              </w:rPr>
              <w:t>心得與建議</w:t>
            </w:r>
            <w:r w:rsidR="009B21D0">
              <w:rPr>
                <w:noProof/>
                <w:webHidden/>
              </w:rPr>
              <w:tab/>
            </w:r>
            <w:r w:rsidR="00EE2A23">
              <w:rPr>
                <w:rFonts w:hint="eastAsia"/>
                <w:noProof/>
                <w:webHidden/>
              </w:rPr>
              <w:t>17</w:t>
            </w:r>
          </w:hyperlink>
        </w:p>
        <w:p w:rsidR="009B21D0" w:rsidRDefault="00445B86">
          <w:pPr>
            <w:pStyle w:val="12"/>
            <w:rPr>
              <w:rFonts w:asciiTheme="minorHAnsi" w:eastAsiaTheme="minorEastAsia" w:hAnsiTheme="minorHAnsi" w:cstheme="minorBidi"/>
              <w:noProof/>
              <w:szCs w:val="22"/>
            </w:rPr>
          </w:pPr>
          <w:hyperlink w:anchor="_Toc408301467" w:history="1">
            <w:r w:rsidR="009B21D0" w:rsidRPr="00ED5748">
              <w:rPr>
                <w:rStyle w:val="a5"/>
                <w:rFonts w:hint="eastAsia"/>
                <w:noProof/>
              </w:rPr>
              <w:t>附錄一</w:t>
            </w:r>
            <w:r w:rsidR="009B21D0" w:rsidRPr="00ED5748">
              <w:rPr>
                <w:rStyle w:val="a5"/>
                <w:noProof/>
              </w:rPr>
              <w:t xml:space="preserve">  </w:t>
            </w:r>
            <w:r w:rsidR="009B21D0" w:rsidRPr="00ED5748">
              <w:rPr>
                <w:rStyle w:val="a5"/>
                <w:rFonts w:hint="eastAsia"/>
                <w:noProof/>
              </w:rPr>
              <w:t>香港證監會組織</w:t>
            </w:r>
          </w:hyperlink>
        </w:p>
        <w:p w:rsidR="009B21D0" w:rsidRDefault="00445B86">
          <w:pPr>
            <w:pStyle w:val="12"/>
            <w:rPr>
              <w:rStyle w:val="a5"/>
              <w:noProof/>
            </w:rPr>
          </w:pPr>
          <w:hyperlink w:anchor="_Toc408301468" w:history="1">
            <w:r w:rsidR="009B21D0" w:rsidRPr="00ED5748">
              <w:rPr>
                <w:rStyle w:val="a5"/>
                <w:rFonts w:hint="eastAsia"/>
                <w:noProof/>
              </w:rPr>
              <w:t>附錄二</w:t>
            </w:r>
            <w:r w:rsidR="009B21D0" w:rsidRPr="00ED5748">
              <w:rPr>
                <w:rStyle w:val="a5"/>
                <w:noProof/>
              </w:rPr>
              <w:t xml:space="preserve">  </w:t>
            </w:r>
            <w:r w:rsidR="009B21D0" w:rsidRPr="00ED5748">
              <w:rPr>
                <w:rStyle w:val="a5"/>
                <w:rFonts w:hint="eastAsia"/>
                <w:noProof/>
              </w:rPr>
              <w:t>香港證監期貨架構市場與概況</w:t>
            </w:r>
          </w:hyperlink>
        </w:p>
        <w:p w:rsidR="0088178D" w:rsidRDefault="0088178D" w:rsidP="0088178D">
          <w:pPr>
            <w:rPr>
              <w:noProof/>
            </w:rPr>
          </w:pPr>
          <w:r>
            <w:rPr>
              <w:rFonts w:hint="eastAsia"/>
              <w:noProof/>
            </w:rPr>
            <w:t>附錄三</w:t>
          </w:r>
          <w:r>
            <w:rPr>
              <w:rFonts w:hint="eastAsia"/>
              <w:noProof/>
            </w:rPr>
            <w:t xml:space="preserve">  2014</w:t>
          </w:r>
          <w:r>
            <w:rPr>
              <w:rFonts w:hint="eastAsia"/>
              <w:noProof/>
            </w:rPr>
            <w:t>年臺港證券監理機關加強聯繫與合作會議議題簡報</w:t>
          </w:r>
        </w:p>
        <w:p w:rsidR="001F4E2B" w:rsidRDefault="001F4E2B" w:rsidP="001F4E2B">
          <w:pPr>
            <w:rPr>
              <w:lang w:val="zh-TW"/>
            </w:rPr>
          </w:pPr>
          <w:r>
            <w:rPr>
              <w:b/>
              <w:bCs/>
              <w:lang w:val="zh-TW"/>
            </w:rPr>
            <w:fldChar w:fldCharType="end"/>
          </w:r>
        </w:p>
      </w:sdtContent>
    </w:sdt>
    <w:p w:rsidR="00FC14B6" w:rsidRPr="001F4E2B" w:rsidRDefault="00FC14B6">
      <w:pPr>
        <w:widowControl/>
        <w:rPr>
          <w:b/>
          <w:sz w:val="32"/>
          <w:szCs w:val="32"/>
        </w:rPr>
        <w:sectPr w:rsidR="00FC14B6" w:rsidRPr="001F4E2B" w:rsidSect="00CE0B2F">
          <w:footerReference w:type="default" r:id="rId9"/>
          <w:pgSz w:w="11906" w:h="16838"/>
          <w:pgMar w:top="1440" w:right="1416" w:bottom="1440" w:left="1800" w:header="851" w:footer="992" w:gutter="0"/>
          <w:pgNumType w:start="1"/>
          <w:cols w:space="425"/>
          <w:docGrid w:type="lines" w:linePitch="360"/>
        </w:sectPr>
      </w:pPr>
    </w:p>
    <w:p w:rsidR="00EC548A" w:rsidRPr="00FC14B6" w:rsidRDefault="008D38CC" w:rsidP="00FC14B6">
      <w:pPr>
        <w:pStyle w:val="1"/>
        <w:ind w:leftChars="-3" w:left="1277"/>
      </w:pPr>
      <w:r w:rsidRPr="00FC14B6">
        <w:rPr>
          <w:rFonts w:hint="eastAsia"/>
        </w:rPr>
        <w:lastRenderedPageBreak/>
        <w:t xml:space="preserve">  </w:t>
      </w:r>
      <w:bookmarkStart w:id="3" w:name="_Toc408301450"/>
      <w:r w:rsidR="00EC548A" w:rsidRPr="00FC14B6">
        <w:rPr>
          <w:rFonts w:hint="eastAsia"/>
        </w:rPr>
        <w:t>前言</w:t>
      </w:r>
      <w:bookmarkEnd w:id="3"/>
    </w:p>
    <w:p w:rsidR="00EC548A" w:rsidRPr="006E02C1" w:rsidRDefault="00EC548A" w:rsidP="00736108">
      <w:pPr>
        <w:widowControl/>
        <w:spacing w:before="100" w:beforeAutospacing="1" w:after="100" w:afterAutospacing="1" w:line="460" w:lineRule="atLeast"/>
        <w:ind w:firstLine="539"/>
        <w:jc w:val="both"/>
        <w:textAlignment w:val="baseline"/>
        <w:rPr>
          <w:rFonts w:eastAsia="細明體" w:cs="細明體"/>
          <w:kern w:val="0"/>
          <w:szCs w:val="24"/>
        </w:rPr>
      </w:pPr>
      <w:r w:rsidRPr="006E02C1">
        <w:rPr>
          <w:rFonts w:eastAsia="細明體" w:hAnsi="細明體" w:cs="細明體" w:hint="eastAsia"/>
          <w:kern w:val="0"/>
          <w:szCs w:val="24"/>
        </w:rPr>
        <w:t>本案緣</w:t>
      </w:r>
      <w:r w:rsidR="001724BA">
        <w:rPr>
          <w:rFonts w:eastAsia="細明體" w:hAnsi="細明體" w:cs="細明體" w:hint="eastAsia"/>
          <w:kern w:val="0"/>
          <w:szCs w:val="24"/>
        </w:rPr>
        <w:t>於</w:t>
      </w:r>
      <w:r w:rsidRPr="006E02C1">
        <w:rPr>
          <w:rFonts w:eastAsia="細明體" w:hAnsi="細明體" w:cs="細明體" w:hint="eastAsia"/>
          <w:kern w:val="0"/>
          <w:szCs w:val="24"/>
        </w:rPr>
        <w:t>本會李前副主任委員紀珠與香港證券及期貨事務監察委員會（</w:t>
      </w:r>
      <w:r w:rsidRPr="006E02C1">
        <w:rPr>
          <w:rFonts w:eastAsia="細明體" w:cs="細明體"/>
          <w:kern w:val="0"/>
          <w:szCs w:val="24"/>
        </w:rPr>
        <w:t>Securities and Futures Commission, SFC</w:t>
      </w:r>
      <w:r w:rsidRPr="006E02C1">
        <w:rPr>
          <w:rFonts w:eastAsia="細明體" w:hAnsi="細明體" w:cs="細明體" w:hint="eastAsia"/>
          <w:kern w:val="0"/>
          <w:szCs w:val="24"/>
        </w:rPr>
        <w:t>）（以下簡稱香港證監會）前主席方正</w:t>
      </w:r>
      <w:r w:rsidR="00976104" w:rsidRPr="006E02C1">
        <w:rPr>
          <w:rFonts w:eastAsia="細明體" w:hAnsi="細明體" w:cs="細明體" w:hint="eastAsia"/>
          <w:kern w:val="0"/>
          <w:szCs w:val="24"/>
        </w:rPr>
        <w:t>與</w:t>
      </w:r>
      <w:r w:rsidRPr="006E02C1">
        <w:rPr>
          <w:rFonts w:eastAsia="細明體" w:hAnsi="細明體" w:cs="細明體" w:hint="eastAsia"/>
          <w:kern w:val="0"/>
          <w:szCs w:val="24"/>
        </w:rPr>
        <w:t>副行政總裁張灼華之積極促成下，本會與香港證監會建立定期性之對話平台，自</w:t>
      </w:r>
      <w:r w:rsidRPr="006E02C1">
        <w:rPr>
          <w:rFonts w:eastAsia="細明體" w:cs="細明體"/>
          <w:kern w:val="0"/>
          <w:szCs w:val="24"/>
        </w:rPr>
        <w:t>98</w:t>
      </w:r>
      <w:r w:rsidRPr="006E02C1">
        <w:rPr>
          <w:rFonts w:eastAsia="細明體" w:hAnsi="細明體" w:cs="細明體" w:hint="eastAsia"/>
          <w:kern w:val="0"/>
          <w:szCs w:val="24"/>
        </w:rPr>
        <w:t>年起每年舉辦一次「</w:t>
      </w:r>
      <w:proofErr w:type="gramStart"/>
      <w:r w:rsidRPr="006E02C1">
        <w:rPr>
          <w:rFonts w:eastAsia="細明體" w:hAnsi="細明體" w:cs="細明體" w:hint="eastAsia"/>
          <w:kern w:val="0"/>
          <w:szCs w:val="24"/>
        </w:rPr>
        <w:t>臺</w:t>
      </w:r>
      <w:proofErr w:type="gramEnd"/>
      <w:r w:rsidRPr="006E02C1">
        <w:rPr>
          <w:rFonts w:eastAsia="細明體" w:hAnsi="細明體" w:cs="細明體" w:hint="eastAsia"/>
          <w:kern w:val="0"/>
          <w:szCs w:val="24"/>
        </w:rPr>
        <w:t>港證券監理機關加強聯繫與合作會議」。</w:t>
      </w:r>
    </w:p>
    <w:p w:rsidR="00EC548A" w:rsidRPr="006E02C1" w:rsidRDefault="00EC548A" w:rsidP="00736108">
      <w:pPr>
        <w:widowControl/>
        <w:spacing w:before="100" w:beforeAutospacing="1" w:after="100" w:afterAutospacing="1" w:line="460" w:lineRule="atLeast"/>
        <w:ind w:firstLine="539"/>
        <w:jc w:val="both"/>
        <w:textAlignment w:val="baseline"/>
        <w:rPr>
          <w:rFonts w:eastAsia="細明體" w:hAnsi="細明體" w:cs="細明體"/>
          <w:kern w:val="0"/>
          <w:szCs w:val="24"/>
        </w:rPr>
      </w:pPr>
      <w:r w:rsidRPr="006E02C1">
        <w:rPr>
          <w:rFonts w:eastAsia="細明體" w:hAnsi="細明體" w:cs="細明體" w:hint="eastAsia"/>
          <w:kern w:val="0"/>
          <w:szCs w:val="24"/>
        </w:rPr>
        <w:t>本次「</w:t>
      </w:r>
      <w:proofErr w:type="gramStart"/>
      <w:r w:rsidRPr="006E02C1">
        <w:rPr>
          <w:rFonts w:eastAsia="細明體" w:hAnsi="細明體" w:cs="細明體" w:hint="eastAsia"/>
          <w:kern w:val="0"/>
          <w:szCs w:val="24"/>
        </w:rPr>
        <w:t>臺</w:t>
      </w:r>
      <w:proofErr w:type="gramEnd"/>
      <w:r w:rsidRPr="006E02C1">
        <w:rPr>
          <w:rFonts w:eastAsia="細明體" w:hAnsi="細明體" w:cs="細明體" w:hint="eastAsia"/>
          <w:kern w:val="0"/>
          <w:szCs w:val="24"/>
        </w:rPr>
        <w:t>港證券監理機關加強聯繫與合作會議」為</w:t>
      </w:r>
      <w:proofErr w:type="gramStart"/>
      <w:r w:rsidRPr="006E02C1">
        <w:rPr>
          <w:rFonts w:eastAsia="細明體" w:hAnsi="細明體" w:cs="細明體" w:hint="eastAsia"/>
          <w:kern w:val="0"/>
          <w:szCs w:val="24"/>
        </w:rPr>
        <w:t>第</w:t>
      </w:r>
      <w:r w:rsidR="00F5401C" w:rsidRPr="006E02C1">
        <w:rPr>
          <w:rFonts w:eastAsia="細明體" w:hAnsi="細明體" w:cs="細明體" w:hint="eastAsia"/>
          <w:kern w:val="0"/>
          <w:szCs w:val="24"/>
        </w:rPr>
        <w:t>六</w:t>
      </w:r>
      <w:r w:rsidRPr="006E02C1">
        <w:rPr>
          <w:rFonts w:eastAsia="細明體" w:hAnsi="細明體" w:cs="細明體" w:hint="eastAsia"/>
          <w:kern w:val="0"/>
          <w:szCs w:val="24"/>
        </w:rPr>
        <w:t>屆並輪</w:t>
      </w:r>
      <w:proofErr w:type="gramEnd"/>
      <w:r w:rsidRPr="006E02C1">
        <w:rPr>
          <w:rFonts w:eastAsia="細明體" w:hAnsi="細明體" w:cs="細明體" w:hint="eastAsia"/>
          <w:kern w:val="0"/>
          <w:szCs w:val="24"/>
        </w:rPr>
        <w:t>由香港證監會主辦，</w:t>
      </w:r>
      <w:r w:rsidRPr="00C7119B">
        <w:rPr>
          <w:rFonts w:eastAsia="細明體" w:hAnsi="細明體" w:cs="細明體" w:hint="eastAsia"/>
          <w:kern w:val="0"/>
          <w:szCs w:val="24"/>
        </w:rPr>
        <w:t>本會</w:t>
      </w:r>
      <w:r w:rsidR="00526CA7" w:rsidRPr="00C7119B">
        <w:rPr>
          <w:rFonts w:eastAsia="細明體" w:hAnsi="細明體" w:cs="細明體" w:hint="eastAsia"/>
          <w:kern w:val="0"/>
          <w:szCs w:val="24"/>
        </w:rPr>
        <w:t>由黃副主</w:t>
      </w:r>
      <w:r w:rsidR="004363CB" w:rsidRPr="00C7119B">
        <w:rPr>
          <w:rFonts w:eastAsia="細明體" w:hAnsi="細明體" w:cs="細明體" w:hint="eastAsia"/>
          <w:kern w:val="0"/>
          <w:szCs w:val="24"/>
        </w:rPr>
        <w:t>任</w:t>
      </w:r>
      <w:r w:rsidR="00526CA7" w:rsidRPr="00C7119B">
        <w:rPr>
          <w:rFonts w:eastAsia="細明體" w:hAnsi="細明體" w:cs="細明體" w:hint="eastAsia"/>
          <w:kern w:val="0"/>
          <w:szCs w:val="24"/>
        </w:rPr>
        <w:t>委</w:t>
      </w:r>
      <w:r w:rsidR="004363CB" w:rsidRPr="00C7119B">
        <w:rPr>
          <w:rFonts w:eastAsia="細明體" w:hAnsi="細明體" w:cs="細明體" w:hint="eastAsia"/>
          <w:kern w:val="0"/>
          <w:szCs w:val="24"/>
        </w:rPr>
        <w:t>員</w:t>
      </w:r>
      <w:proofErr w:type="gramStart"/>
      <w:r w:rsidR="00526CA7" w:rsidRPr="00C7119B">
        <w:rPr>
          <w:rFonts w:eastAsia="細明體" w:hAnsi="細明體" w:cs="細明體" w:hint="eastAsia"/>
          <w:kern w:val="0"/>
          <w:szCs w:val="24"/>
        </w:rPr>
        <w:t>天牧</w:t>
      </w:r>
      <w:r w:rsidR="00C7119B" w:rsidRPr="00C7119B">
        <w:rPr>
          <w:rFonts w:eastAsia="細明體" w:hAnsi="細明體" w:cs="細明體" w:hint="eastAsia"/>
          <w:kern w:val="0"/>
          <w:szCs w:val="24"/>
        </w:rPr>
        <w:t>偕</w:t>
      </w:r>
      <w:proofErr w:type="gramEnd"/>
      <w:r w:rsidR="00C7119B" w:rsidRPr="00C7119B">
        <w:rPr>
          <w:rFonts w:eastAsia="細明體" w:hAnsi="細明體" w:cs="細明體" w:hint="eastAsia"/>
          <w:kern w:val="0"/>
          <w:szCs w:val="24"/>
        </w:rPr>
        <w:t>證券期貨局</w:t>
      </w:r>
      <w:proofErr w:type="gramStart"/>
      <w:r w:rsidR="00C7119B" w:rsidRPr="00C7119B">
        <w:rPr>
          <w:rFonts w:eastAsia="細明體" w:hAnsi="細明體" w:cs="細明體" w:hint="eastAsia"/>
          <w:kern w:val="0"/>
          <w:szCs w:val="24"/>
        </w:rPr>
        <w:t>吳局長裕群</w:t>
      </w:r>
      <w:r w:rsidR="00526CA7" w:rsidRPr="00C7119B">
        <w:rPr>
          <w:rFonts w:eastAsia="細明體" w:hAnsi="細明體" w:cs="細明體" w:hint="eastAsia"/>
          <w:kern w:val="0"/>
          <w:szCs w:val="24"/>
        </w:rPr>
        <w:t>率團</w:t>
      </w:r>
      <w:proofErr w:type="gramEnd"/>
      <w:r w:rsidR="00526CA7" w:rsidRPr="006E02C1">
        <w:rPr>
          <w:rFonts w:eastAsia="細明體" w:hAnsi="細明體" w:cs="細明體" w:hint="eastAsia"/>
          <w:kern w:val="0"/>
          <w:szCs w:val="24"/>
        </w:rPr>
        <w:t>，並</w:t>
      </w:r>
      <w:r w:rsidRPr="006E02C1">
        <w:rPr>
          <w:rFonts w:eastAsia="細明體" w:hAnsi="細明體" w:cs="細明體" w:hint="eastAsia"/>
          <w:kern w:val="0"/>
          <w:szCs w:val="24"/>
        </w:rPr>
        <w:t>投信投顧組</w:t>
      </w:r>
      <w:proofErr w:type="gramStart"/>
      <w:r w:rsidRPr="006E02C1">
        <w:rPr>
          <w:rFonts w:eastAsia="細明體" w:hAnsi="細明體" w:cs="細明體" w:hint="eastAsia"/>
          <w:kern w:val="0"/>
          <w:szCs w:val="24"/>
        </w:rPr>
        <w:t>蔡</w:t>
      </w:r>
      <w:proofErr w:type="gramEnd"/>
      <w:r w:rsidRPr="006E02C1">
        <w:rPr>
          <w:rFonts w:eastAsia="細明體" w:hAnsi="細明體" w:cs="細明體" w:hint="eastAsia"/>
          <w:kern w:val="0"/>
          <w:szCs w:val="24"/>
        </w:rPr>
        <w:t>組長麗玲、證券發行組</w:t>
      </w:r>
      <w:proofErr w:type="gramStart"/>
      <w:r w:rsidRPr="006E02C1">
        <w:rPr>
          <w:rFonts w:eastAsia="細明體" w:hAnsi="細明體" w:cs="細明體" w:hint="eastAsia"/>
          <w:kern w:val="0"/>
          <w:szCs w:val="24"/>
        </w:rPr>
        <w:t>高副組長晶萍</w:t>
      </w:r>
      <w:proofErr w:type="gramEnd"/>
      <w:r w:rsidRPr="006E02C1">
        <w:rPr>
          <w:rFonts w:eastAsia="細明體" w:hAnsi="細明體" w:cs="細明體" w:hint="eastAsia"/>
          <w:kern w:val="0"/>
          <w:szCs w:val="24"/>
        </w:rPr>
        <w:t>、會計審計組李</w:t>
      </w:r>
      <w:r w:rsidR="008C00BB" w:rsidRPr="006E02C1">
        <w:rPr>
          <w:rFonts w:eastAsia="細明體" w:hAnsi="細明體" w:cs="細明體" w:hint="eastAsia"/>
          <w:kern w:val="0"/>
          <w:szCs w:val="24"/>
        </w:rPr>
        <w:t>簡任</w:t>
      </w:r>
      <w:r w:rsidRPr="006E02C1">
        <w:rPr>
          <w:rFonts w:eastAsia="細明體" w:hAnsi="細明體" w:cs="細明體" w:hint="eastAsia"/>
          <w:kern w:val="0"/>
          <w:szCs w:val="24"/>
        </w:rPr>
        <w:t>稽核秀玲及證券商管理組</w:t>
      </w:r>
      <w:proofErr w:type="gramStart"/>
      <w:r w:rsidRPr="006E02C1">
        <w:rPr>
          <w:rFonts w:eastAsia="細明體" w:hAnsi="細明體" w:cs="細明體" w:hint="eastAsia"/>
          <w:kern w:val="0"/>
          <w:szCs w:val="24"/>
        </w:rPr>
        <w:t>李科長明機等</w:t>
      </w:r>
      <w:proofErr w:type="gramEnd"/>
      <w:r w:rsidRPr="006E02C1">
        <w:rPr>
          <w:rFonts w:eastAsia="細明體" w:hAnsi="細明體" w:cs="細明體" w:hint="eastAsia"/>
          <w:kern w:val="0"/>
          <w:szCs w:val="24"/>
        </w:rPr>
        <w:t>人員隨同赴港；本屆討論重點</w:t>
      </w:r>
      <w:r w:rsidR="00F5401C" w:rsidRPr="006E02C1">
        <w:rPr>
          <w:rFonts w:eastAsia="細明體" w:hAnsi="細明體" w:cs="細明體" w:hint="eastAsia"/>
          <w:kern w:val="0"/>
          <w:szCs w:val="24"/>
        </w:rPr>
        <w:t>包括</w:t>
      </w:r>
      <w:r w:rsidRPr="006E02C1">
        <w:rPr>
          <w:rFonts w:eastAsia="細明體" w:hAnsi="細明體" w:cs="細明體" w:hint="eastAsia"/>
          <w:kern w:val="0"/>
          <w:szCs w:val="24"/>
        </w:rPr>
        <w:t>上市公司辦理現金增資發行普通股之規範、清盤中之停牌上市公司財務報</w:t>
      </w:r>
      <w:r w:rsidR="00AE0727" w:rsidRPr="006E02C1">
        <w:rPr>
          <w:rFonts w:eastAsia="細明體" w:hAnsi="細明體" w:cs="細明體" w:hint="eastAsia"/>
          <w:kern w:val="0"/>
          <w:szCs w:val="24"/>
        </w:rPr>
        <w:t>告之監理</w:t>
      </w:r>
      <w:r w:rsidR="00F5401C" w:rsidRPr="006E02C1">
        <w:rPr>
          <w:rFonts w:eastAsia="細明體" w:hAnsi="細明體" w:cs="細明體" w:hint="eastAsia"/>
          <w:kern w:val="0"/>
          <w:szCs w:val="24"/>
        </w:rPr>
        <w:t>，以及</w:t>
      </w:r>
      <w:r w:rsidR="00AE0727" w:rsidRPr="006E02C1">
        <w:rPr>
          <w:rFonts w:eastAsia="細明體" w:hAnsi="細明體" w:cs="細明體" w:hint="eastAsia"/>
          <w:kern w:val="0"/>
          <w:szCs w:val="24"/>
        </w:rPr>
        <w:t>專業投資者制度等議題，雙方針對上開議題相關規範之</w:t>
      </w:r>
      <w:r w:rsidRPr="006E02C1">
        <w:rPr>
          <w:rFonts w:eastAsia="細明體" w:hAnsi="細明體" w:cs="細明體" w:hint="eastAsia"/>
          <w:kern w:val="0"/>
          <w:szCs w:val="24"/>
        </w:rPr>
        <w:t>監理方式</w:t>
      </w:r>
      <w:r w:rsidR="00AE0727" w:rsidRPr="006E02C1">
        <w:rPr>
          <w:rFonts w:eastAsia="細明體" w:hAnsi="細明體" w:cs="細明體" w:hint="eastAsia"/>
          <w:kern w:val="0"/>
          <w:szCs w:val="24"/>
        </w:rPr>
        <w:t>互相</w:t>
      </w:r>
      <w:r w:rsidR="008E46E6" w:rsidRPr="006E02C1">
        <w:rPr>
          <w:rFonts w:eastAsia="細明體" w:hAnsi="細明體" w:cs="細明體" w:hint="eastAsia"/>
          <w:kern w:val="0"/>
          <w:szCs w:val="24"/>
        </w:rPr>
        <w:t>交流</w:t>
      </w:r>
      <w:r w:rsidRPr="006E02C1">
        <w:rPr>
          <w:rFonts w:eastAsia="細明體" w:hAnsi="細明體" w:cs="細明體" w:hint="eastAsia"/>
          <w:kern w:val="0"/>
          <w:szCs w:val="24"/>
        </w:rPr>
        <w:t>。</w:t>
      </w:r>
    </w:p>
    <w:p w:rsidR="00EC548A" w:rsidRPr="00401986" w:rsidRDefault="00EC548A" w:rsidP="00736108">
      <w:pPr>
        <w:widowControl/>
        <w:spacing w:before="100" w:beforeAutospacing="1" w:after="100" w:afterAutospacing="1" w:line="460" w:lineRule="atLeast"/>
        <w:ind w:firstLine="539"/>
        <w:jc w:val="both"/>
        <w:textAlignment w:val="baseline"/>
        <w:rPr>
          <w:rFonts w:eastAsia="細明體" w:hAnsi="細明體" w:cs="細明體"/>
          <w:kern w:val="0"/>
          <w:szCs w:val="24"/>
        </w:rPr>
      </w:pPr>
      <w:r w:rsidRPr="00A97357">
        <w:rPr>
          <w:rFonts w:eastAsia="細明體" w:hAnsi="細明體" w:cs="細明體" w:hint="eastAsia"/>
          <w:kern w:val="0"/>
          <w:szCs w:val="24"/>
        </w:rPr>
        <w:t>本報告共</w:t>
      </w:r>
      <w:r w:rsidRPr="00FF3F51">
        <w:rPr>
          <w:rFonts w:eastAsia="細明體" w:hAnsi="細明體" w:cs="細明體" w:hint="eastAsia"/>
          <w:kern w:val="0"/>
          <w:szCs w:val="24"/>
        </w:rPr>
        <w:t>計</w:t>
      </w:r>
      <w:r w:rsidR="00954BF0">
        <w:rPr>
          <w:rFonts w:eastAsia="細明體" w:hAnsi="細明體" w:cs="細明體" w:hint="eastAsia"/>
          <w:kern w:val="0"/>
          <w:szCs w:val="24"/>
        </w:rPr>
        <w:t>四</w:t>
      </w:r>
      <w:r w:rsidRPr="00FF3F51">
        <w:rPr>
          <w:rFonts w:eastAsia="細明體" w:hAnsi="細明體" w:cs="細明體" w:hint="eastAsia"/>
          <w:kern w:val="0"/>
          <w:szCs w:val="24"/>
        </w:rPr>
        <w:t>章：</w:t>
      </w:r>
      <w:proofErr w:type="gramStart"/>
      <w:r w:rsidRPr="00FF3F51">
        <w:rPr>
          <w:rFonts w:eastAsia="細明體" w:hAnsi="細明體" w:cs="細明體" w:hint="eastAsia"/>
          <w:kern w:val="0"/>
          <w:szCs w:val="24"/>
        </w:rPr>
        <w:t>首章為</w:t>
      </w:r>
      <w:proofErr w:type="gramEnd"/>
      <w:r w:rsidRPr="00FF3F51">
        <w:rPr>
          <w:rFonts w:eastAsia="細明體" w:hAnsi="細明體" w:cs="細明體" w:hint="eastAsia"/>
          <w:kern w:val="0"/>
          <w:szCs w:val="24"/>
        </w:rPr>
        <w:t>前言，就此次</w:t>
      </w:r>
      <w:proofErr w:type="gramStart"/>
      <w:r w:rsidR="000468C5">
        <w:rPr>
          <w:rFonts w:eastAsia="細明體" w:hAnsi="細明體" w:cs="細明體" w:hint="eastAsia"/>
          <w:kern w:val="0"/>
          <w:szCs w:val="24"/>
        </w:rPr>
        <w:t>臺</w:t>
      </w:r>
      <w:proofErr w:type="gramEnd"/>
      <w:r w:rsidR="000468C5">
        <w:rPr>
          <w:rFonts w:eastAsia="細明體" w:hAnsi="細明體" w:cs="細明體" w:hint="eastAsia"/>
          <w:kern w:val="0"/>
          <w:szCs w:val="24"/>
        </w:rPr>
        <w:t>港雙方協商會議</w:t>
      </w:r>
      <w:r w:rsidRPr="00A97357">
        <w:rPr>
          <w:rFonts w:eastAsia="細明體" w:hAnsi="細明體" w:cs="細明體" w:hint="eastAsia"/>
          <w:kern w:val="0"/>
          <w:szCs w:val="24"/>
        </w:rPr>
        <w:t>作概略性介紹；第二</w:t>
      </w:r>
      <w:proofErr w:type="gramStart"/>
      <w:r w:rsidRPr="00A97357">
        <w:rPr>
          <w:rFonts w:eastAsia="細明體" w:hAnsi="細明體" w:cs="細明體" w:hint="eastAsia"/>
          <w:kern w:val="0"/>
          <w:szCs w:val="24"/>
        </w:rPr>
        <w:t>章為香港證監</w:t>
      </w:r>
      <w:proofErr w:type="gramEnd"/>
      <w:r w:rsidRPr="00A97357">
        <w:rPr>
          <w:rFonts w:eastAsia="細明體" w:hAnsi="細明體" w:cs="細明體" w:hint="eastAsia"/>
          <w:kern w:val="0"/>
          <w:szCs w:val="24"/>
        </w:rPr>
        <w:t>會介紹</w:t>
      </w:r>
      <w:r w:rsidRPr="00401986">
        <w:rPr>
          <w:rFonts w:eastAsia="細明體" w:hAnsi="細明體" w:cs="細明體" w:hint="eastAsia"/>
          <w:kern w:val="0"/>
          <w:szCs w:val="24"/>
        </w:rPr>
        <w:t>；第三章為本次</w:t>
      </w:r>
      <w:proofErr w:type="gramStart"/>
      <w:r w:rsidRPr="00401986">
        <w:rPr>
          <w:rFonts w:eastAsia="細明體" w:hAnsi="細明體" w:cs="細明體" w:hint="eastAsia"/>
          <w:kern w:val="0"/>
          <w:szCs w:val="24"/>
        </w:rPr>
        <w:t>臺</w:t>
      </w:r>
      <w:proofErr w:type="gramEnd"/>
      <w:r w:rsidRPr="00401986">
        <w:rPr>
          <w:rFonts w:eastAsia="細明體" w:hAnsi="細明體" w:cs="細明體" w:hint="eastAsia"/>
          <w:kern w:val="0"/>
          <w:szCs w:val="24"/>
        </w:rPr>
        <w:t>港證券監理機關加強聯繫與合作會議之會議</w:t>
      </w:r>
      <w:r w:rsidR="001724BA">
        <w:rPr>
          <w:rFonts w:eastAsia="細明體" w:hAnsi="細明體" w:cs="細明體" w:hint="eastAsia"/>
          <w:kern w:val="0"/>
          <w:szCs w:val="24"/>
        </w:rPr>
        <w:t>重點</w:t>
      </w:r>
      <w:r w:rsidR="001A3418">
        <w:rPr>
          <w:rFonts w:eastAsia="細明體" w:hAnsi="細明體" w:cs="細明體" w:hint="eastAsia"/>
          <w:kern w:val="0"/>
          <w:szCs w:val="24"/>
        </w:rPr>
        <w:t>；</w:t>
      </w:r>
      <w:r w:rsidR="002C3EEF">
        <w:rPr>
          <w:rFonts w:eastAsia="細明體" w:hAnsi="細明體" w:cs="細明體" w:hint="eastAsia"/>
          <w:kern w:val="0"/>
          <w:szCs w:val="24"/>
        </w:rPr>
        <w:t>第</w:t>
      </w:r>
      <w:r w:rsidR="00042FB0">
        <w:rPr>
          <w:rFonts w:eastAsia="細明體" w:hAnsi="細明體" w:cs="細明體" w:hint="eastAsia"/>
          <w:kern w:val="0"/>
          <w:szCs w:val="24"/>
        </w:rPr>
        <w:t>四</w:t>
      </w:r>
      <w:r w:rsidR="002C3EEF">
        <w:rPr>
          <w:rFonts w:eastAsia="細明體" w:hAnsi="細明體" w:cs="細明體" w:hint="eastAsia"/>
          <w:kern w:val="0"/>
          <w:szCs w:val="24"/>
        </w:rPr>
        <w:t>章為</w:t>
      </w:r>
      <w:r w:rsidR="0033577E">
        <w:rPr>
          <w:rFonts w:eastAsia="細明體" w:hAnsi="細明體" w:cs="細明體" w:hint="eastAsia"/>
          <w:kern w:val="0"/>
          <w:szCs w:val="24"/>
        </w:rPr>
        <w:t>心得</w:t>
      </w:r>
      <w:r w:rsidR="002C3EEF">
        <w:rPr>
          <w:rFonts w:eastAsia="細明體" w:hAnsi="細明體" w:cs="細明體" w:hint="eastAsia"/>
          <w:kern w:val="0"/>
          <w:szCs w:val="24"/>
        </w:rPr>
        <w:t>與建議。</w:t>
      </w:r>
    </w:p>
    <w:p w:rsidR="00201FBC" w:rsidRDefault="00201FBC" w:rsidP="00EC548A">
      <w:pPr>
        <w:rPr>
          <w:b/>
          <w:szCs w:val="24"/>
        </w:rPr>
      </w:pPr>
    </w:p>
    <w:p w:rsidR="0087609B" w:rsidRPr="0087609B" w:rsidRDefault="0087609B" w:rsidP="00EC548A">
      <w:pPr>
        <w:rPr>
          <w:b/>
          <w:szCs w:val="24"/>
        </w:rPr>
      </w:pPr>
    </w:p>
    <w:p w:rsidR="00EC548A" w:rsidRDefault="008D38CC" w:rsidP="008D38CC">
      <w:pPr>
        <w:pStyle w:val="1"/>
        <w:ind w:left="993" w:hanging="993"/>
      </w:pPr>
      <w:r>
        <w:rPr>
          <w:rFonts w:hint="eastAsia"/>
        </w:rPr>
        <w:t xml:space="preserve">  </w:t>
      </w:r>
      <w:bookmarkStart w:id="4" w:name="_Toc408301451"/>
      <w:r w:rsidR="00EC548A" w:rsidRPr="00EC548A">
        <w:rPr>
          <w:rFonts w:hint="eastAsia"/>
        </w:rPr>
        <w:t>香港證監會</w:t>
      </w:r>
      <w:r w:rsidR="00940669">
        <w:rPr>
          <w:rFonts w:hint="eastAsia"/>
        </w:rPr>
        <w:t>簡介</w:t>
      </w:r>
      <w:bookmarkEnd w:id="4"/>
    </w:p>
    <w:p w:rsidR="00385CBB" w:rsidRDefault="00B6733D" w:rsidP="00CE0B2F">
      <w:pPr>
        <w:pStyle w:val="a9"/>
        <w:spacing w:line="440" w:lineRule="exact"/>
        <w:ind w:leftChars="57" w:left="1558" w:hangingChars="592" w:hanging="1421"/>
        <w:rPr>
          <w:rFonts w:ascii="新細明體" w:hAnsi="新細明體"/>
          <w:color w:val="000000"/>
          <w:kern w:val="0"/>
          <w:szCs w:val="24"/>
          <w:lang w:val="zh-CN"/>
        </w:rPr>
      </w:pPr>
      <w:r>
        <w:rPr>
          <w:noProof/>
        </w:rPr>
        <mc:AlternateContent>
          <mc:Choice Requires="wps">
            <w:drawing>
              <wp:anchor distT="0" distB="0" distL="114300" distR="114300" simplePos="0" relativeHeight="251658240" behindDoc="0" locked="0" layoutInCell="1" allowOverlap="1" wp14:anchorId="201DB0A3" wp14:editId="2E0E2D64">
                <wp:simplePos x="0" y="0"/>
                <wp:positionH relativeFrom="column">
                  <wp:posOffset>3270885</wp:posOffset>
                </wp:positionH>
                <wp:positionV relativeFrom="paragraph">
                  <wp:posOffset>60960</wp:posOffset>
                </wp:positionV>
                <wp:extent cx="2122170" cy="5334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83" w:rsidRPr="00846756" w:rsidRDefault="00973A83" w:rsidP="00514980">
                            <w:pPr>
                              <w:rPr>
                                <w:rFonts w:ascii="新細明體"/>
                              </w:rPr>
                            </w:pPr>
                            <w:r w:rsidRPr="00846756">
                              <w:rPr>
                                <w:rFonts w:ascii="新細明體" w:hAnsi="新細明體" w:hint="eastAsia"/>
                                <w:bCs/>
                              </w:rPr>
                              <w:t>參考資料來源：香港證監會</w:t>
                            </w:r>
                          </w:p>
                          <w:p w:rsidR="00973A83" w:rsidRPr="00386DB9" w:rsidRDefault="00973A83" w:rsidP="004B35DC">
                            <w:pPr>
                              <w:ind w:leftChars="200" w:left="1740" w:hangingChars="525" w:hanging="1260"/>
                              <w:rPr>
                                <w:rFonts w:ascii="新細明體"/>
                              </w:rPr>
                            </w:pPr>
                            <w:r w:rsidRPr="00386DB9">
                              <w:rPr>
                                <w:rFonts w:ascii="新細明體" w:hAnsi="新細明體"/>
                              </w:rPr>
                              <w:t xml:space="preserve">          </w:t>
                            </w:r>
                            <w:r w:rsidRPr="00386DB9">
                              <w:rPr>
                                <w:rFonts w:ascii="新細明體" w:hAnsi="新細明體" w:hint="eastAsia"/>
                              </w:rPr>
                              <w:t>香港交易所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文字方塊 1" o:spid="_x0000_s1026" type="#_x0000_t202" style="position:absolute;left:0;text-align:left;margin-left:257.55pt;margin-top:4.8pt;width:167.1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" filled="f" stroked="f">
                <v:textbox>
                  <w:txbxContent>
                    <w:p w:rsidR="00973A83" w:rsidRPr="00846756" w:rsidRDefault="00973A83" w:rsidP="00514980">
                      <w:pPr>
                        <w:rPr>
                          <w:rFonts w:ascii="新細明體"/>
                        </w:rPr>
                      </w:pPr>
                      <w:r w:rsidRPr="00846756">
                        <w:rPr>
                          <w:rFonts w:ascii="新細明體" w:hAnsi="新細明體" w:hint="eastAsia"/>
                          <w:bCs/>
                        </w:rPr>
                        <w:t>參考資料來源：香港證監會</w:t>
                      </w:r>
                    </w:p>
                    <w:p w:rsidR="00973A83" w:rsidRPr="00386DB9" w:rsidRDefault="00973A83" w:rsidP="004B35DC">
                      <w:pPr>
                        <w:ind w:leftChars="200" w:left="1740" w:hangingChars="525" w:hanging="1260"/>
                        <w:rPr>
                          <w:rFonts w:ascii="新細明體"/>
                        </w:rPr>
                      </w:pPr>
                      <w:r w:rsidRPr="00386DB9">
                        <w:rPr>
                          <w:rFonts w:ascii="新細明體" w:hAnsi="新細明體"/>
                        </w:rPr>
                        <w:t xml:space="preserve">          </w:t>
                      </w:r>
                      <w:r w:rsidRPr="00386DB9">
                        <w:rPr>
                          <w:rFonts w:ascii="新細明體" w:hAnsi="新細明體" w:hint="eastAsia"/>
                        </w:rPr>
                        <w:t>香港交易所</w:t>
                      </w:r>
                    </w:p>
                  </w:txbxContent>
                </v:textbox>
              </v:shape>
            </w:pict>
          </mc:Fallback>
        </mc:AlternateContent>
      </w:r>
      <w:r w:rsidR="00EC548A">
        <w:rPr>
          <w:rFonts w:ascii="新細明體" w:hAnsi="新細明體" w:hint="eastAsia"/>
          <w:color w:val="000000"/>
          <w:kern w:val="0"/>
          <w:szCs w:val="24"/>
          <w:lang w:val="zh-CN"/>
        </w:rPr>
        <w:t xml:space="preserve"> </w:t>
      </w:r>
    </w:p>
    <w:p w:rsidR="00B6733D" w:rsidRDefault="00B6733D" w:rsidP="00CE0B2F">
      <w:pPr>
        <w:pStyle w:val="a9"/>
        <w:spacing w:line="440" w:lineRule="exact"/>
        <w:ind w:leftChars="57" w:left="1558" w:hangingChars="592" w:hanging="1421"/>
        <w:rPr>
          <w:rFonts w:ascii="新細明體" w:hAnsi="新細明體"/>
          <w:color w:val="000000"/>
          <w:kern w:val="0"/>
          <w:szCs w:val="24"/>
          <w:lang w:val="zh-CN"/>
        </w:rPr>
      </w:pPr>
    </w:p>
    <w:p w:rsidR="00EC548A" w:rsidRPr="00D21AD5" w:rsidRDefault="00EC548A" w:rsidP="00CE0B2F">
      <w:pPr>
        <w:pStyle w:val="a9"/>
        <w:spacing w:line="440" w:lineRule="exact"/>
        <w:ind w:leftChars="57" w:left="1558" w:hangingChars="592" w:hanging="1421"/>
        <w:rPr>
          <w:rFonts w:ascii="新細明體" w:hAnsi="新細明體"/>
          <w:szCs w:val="24"/>
        </w:rPr>
      </w:pPr>
      <w:r>
        <w:rPr>
          <w:rFonts w:ascii="新細明體" w:hAnsi="新細明體" w:hint="eastAsia"/>
          <w:color w:val="000000"/>
          <w:kern w:val="0"/>
          <w:szCs w:val="24"/>
          <w:lang w:val="zh-CN"/>
        </w:rPr>
        <w:t xml:space="preserve"> </w:t>
      </w:r>
      <w:r w:rsidRPr="00D21AD5">
        <w:rPr>
          <w:rFonts w:ascii="新細明體" w:hAnsi="新細明體"/>
          <w:color w:val="000000"/>
          <w:kern w:val="0"/>
          <w:szCs w:val="24"/>
          <w:lang w:val="zh-CN"/>
        </w:rPr>
        <w:t>機關全名</w:t>
      </w:r>
      <w:r w:rsidRPr="00D21AD5">
        <w:rPr>
          <w:rFonts w:ascii="新細明體" w:hAnsi="新細明體"/>
          <w:color w:val="000000"/>
          <w:kern w:val="0"/>
          <w:szCs w:val="24"/>
        </w:rPr>
        <w:t>：</w:t>
      </w:r>
      <w:r w:rsidRPr="00D21AD5">
        <w:rPr>
          <w:rFonts w:ascii="新細明體" w:hAnsi="新細明體"/>
          <w:szCs w:val="24"/>
        </w:rPr>
        <w:t>香港證券及期貨事務監察委員會（</w:t>
      </w:r>
      <w:r w:rsidRPr="00D21AD5">
        <w:rPr>
          <w:rFonts w:ascii="新細明體" w:hAnsi="新細明體"/>
          <w:b/>
          <w:szCs w:val="24"/>
        </w:rPr>
        <w:t>Securities and Futures Commission, SFC</w:t>
      </w:r>
      <w:r w:rsidRPr="00D21AD5">
        <w:rPr>
          <w:rFonts w:ascii="新細明體" w:hAnsi="新細明體"/>
          <w:szCs w:val="24"/>
        </w:rPr>
        <w:t>）</w:t>
      </w:r>
    </w:p>
    <w:p w:rsidR="00EC548A" w:rsidRPr="00D21AD5" w:rsidRDefault="00385CBB" w:rsidP="00CE0B2F">
      <w:pPr>
        <w:spacing w:line="440" w:lineRule="exact"/>
        <w:jc w:val="both"/>
        <w:rPr>
          <w:rFonts w:ascii="新細明體" w:hAnsi="新細明體"/>
          <w:szCs w:val="24"/>
        </w:rPr>
      </w:pPr>
      <w:r>
        <w:rPr>
          <w:rFonts w:ascii="新細明體" w:hAnsi="新細明體" w:hint="eastAsia"/>
          <w:noProof/>
          <w:szCs w:val="24"/>
        </w:rPr>
        <w:drawing>
          <wp:anchor distT="0" distB="0" distL="114300" distR="114300" simplePos="0" relativeHeight="251659264" behindDoc="0" locked="0" layoutInCell="1" allowOverlap="1" wp14:anchorId="70F01670" wp14:editId="4599C0F8">
            <wp:simplePos x="0" y="0"/>
            <wp:positionH relativeFrom="column">
              <wp:posOffset>4616450</wp:posOffset>
            </wp:positionH>
            <wp:positionV relativeFrom="paragraph">
              <wp:posOffset>97790</wp:posOffset>
            </wp:positionV>
            <wp:extent cx="466725" cy="1028700"/>
            <wp:effectExtent l="0" t="0" r="952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8A">
        <w:rPr>
          <w:rFonts w:ascii="新細明體" w:hAnsi="新細明體" w:hint="eastAsia"/>
          <w:szCs w:val="24"/>
        </w:rPr>
        <w:t xml:space="preserve">   </w:t>
      </w:r>
      <w:r w:rsidR="00EC548A" w:rsidRPr="00D21AD5">
        <w:rPr>
          <w:rFonts w:ascii="新細明體" w:hAnsi="新細明體"/>
          <w:szCs w:val="24"/>
        </w:rPr>
        <w:t>電    話：</w:t>
      </w:r>
      <w:r w:rsidR="00EC548A" w:rsidRPr="00D21AD5">
        <w:rPr>
          <w:rFonts w:ascii="新細明體" w:hAnsi="新細明體" w:hint="eastAsia"/>
          <w:szCs w:val="24"/>
        </w:rPr>
        <w:t>(</w:t>
      </w:r>
      <w:r w:rsidR="00EC548A" w:rsidRPr="00D21AD5">
        <w:rPr>
          <w:rFonts w:ascii="新細明體" w:hAnsi="新細明體"/>
          <w:szCs w:val="24"/>
        </w:rPr>
        <w:t>852</w:t>
      </w:r>
      <w:r w:rsidR="00EC548A" w:rsidRPr="00D21AD5">
        <w:rPr>
          <w:rFonts w:ascii="新細明體" w:hAnsi="新細明體" w:hint="eastAsia"/>
          <w:szCs w:val="24"/>
        </w:rPr>
        <w:t>)2231</w:t>
      </w:r>
      <w:r w:rsidR="00EC548A" w:rsidRPr="00D21AD5">
        <w:rPr>
          <w:rFonts w:ascii="新細明體" w:hAnsi="新細明體"/>
          <w:szCs w:val="24"/>
        </w:rPr>
        <w:t>-</w:t>
      </w:r>
      <w:r w:rsidR="00EC548A" w:rsidRPr="00D21AD5">
        <w:rPr>
          <w:rFonts w:ascii="新細明體" w:hAnsi="新細明體" w:hint="eastAsia"/>
          <w:szCs w:val="24"/>
        </w:rPr>
        <w:t>1222</w:t>
      </w:r>
    </w:p>
    <w:p w:rsidR="00EC548A" w:rsidRPr="00D21AD5" w:rsidRDefault="00EC548A" w:rsidP="00CE0B2F">
      <w:pPr>
        <w:spacing w:line="440" w:lineRule="exact"/>
        <w:jc w:val="both"/>
        <w:rPr>
          <w:rFonts w:ascii="新細明體" w:hAnsi="新細明體"/>
          <w:szCs w:val="24"/>
        </w:rPr>
      </w:pPr>
      <w:r>
        <w:rPr>
          <w:rFonts w:ascii="新細明體" w:hAnsi="新細明體" w:hint="eastAsia"/>
          <w:szCs w:val="24"/>
        </w:rPr>
        <w:t xml:space="preserve">   </w:t>
      </w:r>
      <w:r w:rsidRPr="00D21AD5">
        <w:rPr>
          <w:rFonts w:ascii="新細明體" w:hAnsi="新細明體"/>
          <w:szCs w:val="24"/>
        </w:rPr>
        <w:t>地    址：</w:t>
      </w:r>
      <w:r w:rsidRPr="00D21AD5">
        <w:rPr>
          <w:rFonts w:ascii="新細明體" w:hAnsi="新細明體"/>
          <w:bCs/>
          <w:szCs w:val="24"/>
        </w:rPr>
        <w:t>香港中環</w:t>
      </w:r>
      <w:r w:rsidRPr="00D21AD5">
        <w:rPr>
          <w:rFonts w:ascii="新細明體" w:hAnsi="新細明體" w:hint="eastAsia"/>
          <w:bCs/>
          <w:szCs w:val="24"/>
        </w:rPr>
        <w:t>皇后大</w:t>
      </w:r>
      <w:r w:rsidRPr="00D21AD5">
        <w:rPr>
          <w:rFonts w:ascii="新細明體" w:hAnsi="新細明體"/>
          <w:bCs/>
          <w:szCs w:val="24"/>
        </w:rPr>
        <w:t>道中</w:t>
      </w:r>
      <w:r w:rsidRPr="00D21AD5">
        <w:rPr>
          <w:rFonts w:ascii="新細明體" w:hAnsi="新細明體" w:hint="eastAsia"/>
          <w:bCs/>
          <w:szCs w:val="24"/>
        </w:rPr>
        <w:t>2</w:t>
      </w:r>
      <w:r w:rsidRPr="00D21AD5">
        <w:rPr>
          <w:rFonts w:ascii="新細明體" w:hAnsi="新細明體"/>
          <w:bCs/>
          <w:szCs w:val="24"/>
        </w:rPr>
        <w:t>號</w:t>
      </w:r>
      <w:r w:rsidRPr="00D21AD5">
        <w:rPr>
          <w:rFonts w:ascii="新細明體" w:hAnsi="新細明體" w:hint="eastAsia"/>
          <w:bCs/>
          <w:szCs w:val="24"/>
        </w:rPr>
        <w:t>長江集團中心35</w:t>
      </w:r>
      <w:r w:rsidRPr="00D21AD5">
        <w:rPr>
          <w:rFonts w:ascii="新細明體" w:hAnsi="新細明體"/>
          <w:bCs/>
          <w:szCs w:val="24"/>
        </w:rPr>
        <w:t>樓</w:t>
      </w:r>
    </w:p>
    <w:p w:rsidR="00EC548A" w:rsidRPr="00D21AD5" w:rsidRDefault="00EC548A" w:rsidP="00CE0B2F">
      <w:pPr>
        <w:spacing w:line="440" w:lineRule="exact"/>
        <w:jc w:val="both"/>
        <w:rPr>
          <w:rFonts w:ascii="新細明體" w:hAnsi="新細明體"/>
          <w:bCs/>
          <w:szCs w:val="24"/>
        </w:rPr>
      </w:pPr>
      <w:r>
        <w:rPr>
          <w:rFonts w:ascii="新細明體" w:hAnsi="新細明體" w:hint="eastAsia"/>
          <w:szCs w:val="24"/>
        </w:rPr>
        <w:t xml:space="preserve">   </w:t>
      </w:r>
    </w:p>
    <w:p w:rsidR="00EC548A" w:rsidRDefault="00EC548A" w:rsidP="00CE0B2F">
      <w:pPr>
        <w:rPr>
          <w:rFonts w:eastAsia="細明體" w:hAnsi="細明體"/>
          <w:b/>
          <w:bCs/>
          <w:kern w:val="52"/>
          <w:sz w:val="28"/>
          <w:szCs w:val="28"/>
        </w:rPr>
      </w:pPr>
    </w:p>
    <w:p w:rsidR="00EC548A" w:rsidRDefault="00EC548A" w:rsidP="00736108">
      <w:pPr>
        <w:widowControl/>
        <w:spacing w:before="100" w:beforeAutospacing="1" w:after="100" w:afterAutospacing="1" w:line="460" w:lineRule="atLeast"/>
        <w:ind w:firstLine="539"/>
        <w:jc w:val="both"/>
        <w:textAlignment w:val="baseline"/>
        <w:rPr>
          <w:rFonts w:eastAsia="細明體" w:hAnsi="細明體" w:cs="細明體"/>
          <w:kern w:val="0"/>
          <w:szCs w:val="24"/>
        </w:rPr>
      </w:pPr>
      <w:r w:rsidRPr="00320151">
        <w:rPr>
          <w:rFonts w:eastAsia="細明體" w:hAnsi="細明體" w:cs="細明體" w:hint="eastAsia"/>
          <w:kern w:val="0"/>
          <w:szCs w:val="24"/>
        </w:rPr>
        <w:t>香港證券及期貨事務監察委員會（</w:t>
      </w:r>
      <w:r w:rsidRPr="00320151">
        <w:rPr>
          <w:rFonts w:eastAsia="細明體" w:hAnsi="細明體" w:cs="細明體"/>
          <w:kern w:val="0"/>
          <w:szCs w:val="24"/>
        </w:rPr>
        <w:t>Securities and Futures Commission, SFC</w:t>
      </w:r>
      <w:r w:rsidRPr="00320151">
        <w:rPr>
          <w:rFonts w:eastAsia="細明體" w:hAnsi="細明體" w:cs="細明體" w:hint="eastAsia"/>
          <w:kern w:val="0"/>
          <w:szCs w:val="24"/>
        </w:rPr>
        <w:t>）（以下稱證監會）是香港金融市場的四家監管機構之</w:t>
      </w:r>
      <w:proofErr w:type="gramStart"/>
      <w:r w:rsidRPr="00320151">
        <w:rPr>
          <w:rFonts w:eastAsia="細明體" w:hAnsi="細明體" w:cs="細明體" w:hint="eastAsia"/>
          <w:kern w:val="0"/>
          <w:szCs w:val="24"/>
        </w:rPr>
        <w:t>一</w:t>
      </w:r>
      <w:proofErr w:type="gramEnd"/>
      <w:r w:rsidRPr="00320151">
        <w:rPr>
          <w:rFonts w:eastAsia="細明體" w:hAnsi="細明體" w:cs="細明體" w:hint="eastAsia"/>
          <w:kern w:val="0"/>
          <w:szCs w:val="24"/>
        </w:rPr>
        <w:t>；這四家機構分別負責監管不同</w:t>
      </w:r>
      <w:r w:rsidRPr="00320151">
        <w:rPr>
          <w:rFonts w:eastAsia="細明體" w:hAnsi="細明體" w:cs="細明體" w:hint="eastAsia"/>
          <w:kern w:val="0"/>
          <w:szCs w:val="24"/>
        </w:rPr>
        <w:lastRenderedPageBreak/>
        <w:t>的金融及投資領域，同時亦緊密合作，確保市場參與者秉持優良操守，並遏止金融罪行及失當行為。</w:t>
      </w:r>
    </w:p>
    <w:p w:rsidR="00B6733D" w:rsidRPr="00320151" w:rsidRDefault="00B6733D" w:rsidP="00883ED0">
      <w:pPr>
        <w:widowControl/>
        <w:spacing w:before="100" w:beforeAutospacing="1" w:after="100" w:afterAutospacing="1" w:line="440" w:lineRule="atLeast"/>
        <w:ind w:firstLine="539"/>
        <w:jc w:val="both"/>
        <w:textAlignment w:val="baseline"/>
        <w:rPr>
          <w:rFonts w:eastAsia="細明體" w:hAnsi="細明體" w:cs="細明體"/>
          <w:kern w:val="0"/>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43"/>
        <w:gridCol w:w="1795"/>
        <w:gridCol w:w="5962"/>
      </w:tblGrid>
      <w:tr w:rsidR="00EC548A" w:rsidRPr="00320151" w:rsidTr="00514980">
        <w:trPr>
          <w:tblHeader/>
          <w:tblCellSpacing w:w="15" w:type="dxa"/>
        </w:trPr>
        <w:tc>
          <w:tcPr>
            <w:tcW w:w="1000" w:type="dxa"/>
            <w:vAlign w:val="center"/>
          </w:tcPr>
          <w:p w:rsidR="00EC548A" w:rsidRPr="00320151" w:rsidRDefault="00EC548A" w:rsidP="00CE0B2F">
            <w:pPr>
              <w:widowControl/>
              <w:spacing w:before="100" w:beforeAutospacing="1" w:after="100" w:afterAutospacing="1" w:line="400" w:lineRule="atLeast"/>
              <w:jc w:val="center"/>
              <w:rPr>
                <w:rFonts w:eastAsia="細明體"/>
                <w:b/>
                <w:kern w:val="0"/>
                <w:szCs w:val="24"/>
              </w:rPr>
            </w:pPr>
            <w:r w:rsidRPr="00320151">
              <w:rPr>
                <w:rFonts w:eastAsia="細明體" w:hAnsi="細明體" w:cs="細明體" w:hint="eastAsia"/>
                <w:b/>
                <w:kern w:val="0"/>
                <w:szCs w:val="24"/>
              </w:rPr>
              <w:t>界別</w:t>
            </w:r>
          </w:p>
        </w:tc>
        <w:tc>
          <w:tcPr>
            <w:tcW w:w="1770" w:type="dxa"/>
            <w:vAlign w:val="center"/>
          </w:tcPr>
          <w:p w:rsidR="00EC548A" w:rsidRPr="00320151" w:rsidRDefault="00EC548A" w:rsidP="00CE0B2F">
            <w:pPr>
              <w:widowControl/>
              <w:spacing w:before="100" w:beforeAutospacing="1" w:after="100" w:afterAutospacing="1" w:line="400" w:lineRule="atLeast"/>
              <w:jc w:val="center"/>
              <w:rPr>
                <w:rFonts w:eastAsia="細明體"/>
                <w:b/>
                <w:kern w:val="0"/>
                <w:szCs w:val="24"/>
              </w:rPr>
            </w:pPr>
            <w:r w:rsidRPr="00320151">
              <w:rPr>
                <w:rFonts w:eastAsia="細明體" w:hAnsi="細明體" w:cs="細明體" w:hint="eastAsia"/>
                <w:b/>
                <w:kern w:val="0"/>
                <w:szCs w:val="24"/>
              </w:rPr>
              <w:t>監管機構</w:t>
            </w:r>
          </w:p>
        </w:tc>
        <w:tc>
          <w:tcPr>
            <w:tcW w:w="5938" w:type="dxa"/>
            <w:vAlign w:val="center"/>
          </w:tcPr>
          <w:p w:rsidR="00EC548A" w:rsidRPr="00320151" w:rsidRDefault="00EC548A" w:rsidP="00CE0B2F">
            <w:pPr>
              <w:widowControl/>
              <w:spacing w:before="100" w:beforeAutospacing="1" w:after="100" w:afterAutospacing="1" w:line="400" w:lineRule="atLeast"/>
              <w:jc w:val="center"/>
              <w:rPr>
                <w:rFonts w:eastAsia="細明體"/>
                <w:b/>
                <w:kern w:val="0"/>
                <w:szCs w:val="24"/>
              </w:rPr>
            </w:pPr>
            <w:r w:rsidRPr="00320151">
              <w:rPr>
                <w:rFonts w:eastAsia="細明體" w:hAnsi="細明體" w:cs="細明體" w:hint="eastAsia"/>
                <w:b/>
                <w:kern w:val="0"/>
                <w:szCs w:val="24"/>
              </w:rPr>
              <w:t>主要職責</w:t>
            </w:r>
          </w:p>
        </w:tc>
      </w:tr>
      <w:tr w:rsidR="00EC548A" w:rsidRPr="00320151" w:rsidTr="00514980">
        <w:trPr>
          <w:tblCellSpacing w:w="15" w:type="dxa"/>
        </w:trPr>
        <w:tc>
          <w:tcPr>
            <w:tcW w:w="1000"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證券及期貨</w:t>
            </w:r>
          </w:p>
        </w:tc>
        <w:tc>
          <w:tcPr>
            <w:tcW w:w="1770"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證監會</w:t>
            </w:r>
          </w:p>
        </w:tc>
        <w:tc>
          <w:tcPr>
            <w:tcW w:w="5938" w:type="dxa"/>
            <w:vAlign w:val="center"/>
          </w:tcPr>
          <w:p w:rsidR="00EC548A" w:rsidRPr="00320151" w:rsidRDefault="00EC548A" w:rsidP="00955810">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監管證券及期貨市場</w:t>
            </w:r>
          </w:p>
        </w:tc>
      </w:tr>
      <w:tr w:rsidR="00EC548A" w:rsidRPr="00320151" w:rsidTr="00514980">
        <w:trPr>
          <w:tblCellSpacing w:w="15" w:type="dxa"/>
        </w:trPr>
        <w:tc>
          <w:tcPr>
            <w:tcW w:w="1000"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銀行業</w:t>
            </w:r>
          </w:p>
        </w:tc>
        <w:tc>
          <w:tcPr>
            <w:tcW w:w="1770" w:type="dxa"/>
            <w:vAlign w:val="center"/>
          </w:tcPr>
          <w:p w:rsidR="00EC548A" w:rsidRPr="00320151" w:rsidRDefault="00445B86" w:rsidP="00CE0B2F">
            <w:pPr>
              <w:widowControl/>
              <w:spacing w:before="100" w:beforeAutospacing="1" w:after="100" w:afterAutospacing="1" w:line="400" w:lineRule="atLeast"/>
              <w:jc w:val="both"/>
              <w:rPr>
                <w:rFonts w:eastAsia="細明體" w:cs="細明體"/>
                <w:kern w:val="0"/>
                <w:szCs w:val="24"/>
              </w:rPr>
            </w:pPr>
            <w:hyperlink r:id="rId11" w:tgtFrame="_blank" w:history="1">
              <w:r w:rsidR="00EC548A" w:rsidRPr="00320151">
                <w:rPr>
                  <w:rFonts w:eastAsia="細明體" w:hAnsi="細明體" w:cs="細明體" w:hint="eastAsia"/>
                  <w:kern w:val="0"/>
                  <w:szCs w:val="24"/>
                </w:rPr>
                <w:t>香港金融管理局</w:t>
              </w:r>
            </w:hyperlink>
          </w:p>
        </w:tc>
        <w:tc>
          <w:tcPr>
            <w:tcW w:w="5938"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監管金融機構</w:t>
            </w:r>
            <w:r w:rsidRPr="00320151">
              <w:rPr>
                <w:rFonts w:eastAsia="細明體" w:cs="Verdana"/>
                <w:kern w:val="0"/>
                <w:szCs w:val="24"/>
              </w:rPr>
              <w:t>(</w:t>
            </w:r>
            <w:r w:rsidRPr="00320151">
              <w:rPr>
                <w:rFonts w:eastAsia="細明體" w:hAnsi="細明體" w:cs="細明體" w:hint="eastAsia"/>
                <w:kern w:val="0"/>
                <w:szCs w:val="24"/>
              </w:rPr>
              <w:t>包括銀行、接受存款公司及放</w:t>
            </w:r>
            <w:r w:rsidR="0033577E">
              <w:rPr>
                <w:rFonts w:eastAsia="細明體" w:hAnsi="細明體" w:cs="細明體" w:hint="eastAsia"/>
                <w:kern w:val="0"/>
                <w:szCs w:val="24"/>
              </w:rPr>
              <w:t>款</w:t>
            </w:r>
            <w:r w:rsidRPr="00320151">
              <w:rPr>
                <w:rFonts w:eastAsia="細明體" w:hAnsi="細明體" w:cs="細明體" w:hint="eastAsia"/>
                <w:kern w:val="0"/>
                <w:szCs w:val="24"/>
              </w:rPr>
              <w:t>人</w:t>
            </w:r>
            <w:r w:rsidRPr="00320151">
              <w:rPr>
                <w:rFonts w:eastAsia="細明體" w:cs="Verdana"/>
                <w:kern w:val="0"/>
                <w:szCs w:val="24"/>
              </w:rPr>
              <w:t>)</w:t>
            </w:r>
            <w:r w:rsidRPr="00320151">
              <w:rPr>
                <w:rFonts w:eastAsia="細明體" w:hAnsi="細明體" w:cs="細明體" w:hint="eastAsia"/>
                <w:kern w:val="0"/>
                <w:szCs w:val="24"/>
              </w:rPr>
              <w:t>，並透過外匯基金管理及貨幣政策操作來維持港元匯率穩定。</w:t>
            </w:r>
          </w:p>
        </w:tc>
      </w:tr>
      <w:tr w:rsidR="00EC548A" w:rsidRPr="00320151" w:rsidTr="00514980">
        <w:trPr>
          <w:tblCellSpacing w:w="15" w:type="dxa"/>
        </w:trPr>
        <w:tc>
          <w:tcPr>
            <w:tcW w:w="1000"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保險業</w:t>
            </w:r>
          </w:p>
        </w:tc>
        <w:tc>
          <w:tcPr>
            <w:tcW w:w="1770" w:type="dxa"/>
            <w:vAlign w:val="center"/>
          </w:tcPr>
          <w:p w:rsidR="00EC548A" w:rsidRPr="00320151" w:rsidRDefault="00445B86" w:rsidP="00CE0B2F">
            <w:pPr>
              <w:widowControl/>
              <w:spacing w:before="100" w:beforeAutospacing="1" w:after="100" w:afterAutospacing="1" w:line="400" w:lineRule="atLeast"/>
              <w:jc w:val="both"/>
              <w:rPr>
                <w:rFonts w:eastAsia="細明體" w:cs="細明體"/>
                <w:kern w:val="0"/>
                <w:szCs w:val="24"/>
              </w:rPr>
            </w:pPr>
            <w:hyperlink r:id="rId12" w:tgtFrame="_blank" w:history="1">
              <w:r w:rsidR="00EC548A" w:rsidRPr="00320151">
                <w:rPr>
                  <w:rFonts w:eastAsia="細明體" w:hAnsi="細明體" w:cs="細明體" w:hint="eastAsia"/>
                  <w:kern w:val="0"/>
                  <w:szCs w:val="24"/>
                </w:rPr>
                <w:t>保險業監理處（保監處）</w:t>
              </w:r>
            </w:hyperlink>
          </w:p>
        </w:tc>
        <w:tc>
          <w:tcPr>
            <w:tcW w:w="5938"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保險業監督是保險業的主要監管機構，已授權保監處</w:t>
            </w:r>
            <w:proofErr w:type="gramStart"/>
            <w:r w:rsidRPr="00320151">
              <w:rPr>
                <w:rFonts w:eastAsia="細明體" w:hAnsi="細明體" w:cs="細明體" w:hint="eastAsia"/>
                <w:kern w:val="0"/>
                <w:szCs w:val="24"/>
              </w:rPr>
              <w:t>規</w:t>
            </w:r>
            <w:proofErr w:type="gramEnd"/>
            <w:r w:rsidRPr="00320151">
              <w:rPr>
                <w:rFonts w:eastAsia="細明體" w:hAnsi="細明體" w:cs="細明體" w:hint="eastAsia"/>
                <w:kern w:val="0"/>
                <w:szCs w:val="24"/>
              </w:rPr>
              <w:t>管保險公司及中介人，而業界組成的自律監管組織亦會協助進行監察工作。</w:t>
            </w:r>
          </w:p>
        </w:tc>
      </w:tr>
      <w:tr w:rsidR="00EC548A" w:rsidRPr="00320151" w:rsidTr="00514980">
        <w:trPr>
          <w:tblCellSpacing w:w="15" w:type="dxa"/>
        </w:trPr>
        <w:tc>
          <w:tcPr>
            <w:tcW w:w="1000"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強制性公積金計劃</w:t>
            </w:r>
          </w:p>
        </w:tc>
        <w:tc>
          <w:tcPr>
            <w:tcW w:w="1770" w:type="dxa"/>
            <w:vAlign w:val="center"/>
          </w:tcPr>
          <w:p w:rsidR="00EC548A" w:rsidRPr="00320151" w:rsidRDefault="00445B86" w:rsidP="00CE0B2F">
            <w:pPr>
              <w:widowControl/>
              <w:spacing w:before="100" w:beforeAutospacing="1" w:after="100" w:afterAutospacing="1" w:line="400" w:lineRule="atLeast"/>
              <w:jc w:val="both"/>
              <w:rPr>
                <w:rFonts w:eastAsia="細明體" w:cs="細明體"/>
                <w:kern w:val="0"/>
                <w:szCs w:val="24"/>
              </w:rPr>
            </w:pPr>
            <w:hyperlink r:id="rId13" w:tgtFrame="_blank" w:history="1">
              <w:r w:rsidR="00EC548A" w:rsidRPr="00320151">
                <w:rPr>
                  <w:rFonts w:eastAsia="細明體" w:hAnsi="細明體" w:cs="細明體" w:hint="eastAsia"/>
                  <w:kern w:val="0"/>
                  <w:szCs w:val="24"/>
                </w:rPr>
                <w:t>強制性公積金計劃管理局</w:t>
              </w:r>
            </w:hyperlink>
          </w:p>
        </w:tc>
        <w:tc>
          <w:tcPr>
            <w:tcW w:w="5938" w:type="dxa"/>
            <w:vAlign w:val="center"/>
          </w:tcPr>
          <w:p w:rsidR="00EC548A" w:rsidRPr="00320151" w:rsidRDefault="00EC548A" w:rsidP="00CE0B2F">
            <w:pPr>
              <w:widowControl/>
              <w:spacing w:before="100" w:beforeAutospacing="1" w:after="100" w:afterAutospacing="1" w:line="400" w:lineRule="atLeast"/>
              <w:jc w:val="both"/>
              <w:rPr>
                <w:rFonts w:eastAsia="細明體"/>
                <w:kern w:val="0"/>
                <w:szCs w:val="24"/>
              </w:rPr>
            </w:pPr>
            <w:r w:rsidRPr="00320151">
              <w:rPr>
                <w:rFonts w:eastAsia="細明體" w:hAnsi="細明體" w:cs="細明體" w:hint="eastAsia"/>
                <w:kern w:val="0"/>
                <w:szCs w:val="24"/>
              </w:rPr>
              <w:t>監管及監督公積金計劃的運作</w:t>
            </w:r>
          </w:p>
        </w:tc>
      </w:tr>
    </w:tbl>
    <w:p w:rsidR="00EC548A" w:rsidRDefault="00EC548A" w:rsidP="00CE0B2F">
      <w:pPr>
        <w:rPr>
          <w:rFonts w:eastAsia="細明體" w:hAnsi="細明體"/>
          <w:b/>
          <w:bCs/>
          <w:kern w:val="52"/>
          <w:sz w:val="28"/>
          <w:szCs w:val="28"/>
        </w:rPr>
      </w:pPr>
    </w:p>
    <w:p w:rsidR="00B6733D" w:rsidRDefault="00B6733D" w:rsidP="00CE0B2F">
      <w:pPr>
        <w:rPr>
          <w:rFonts w:eastAsia="細明體" w:hAnsi="細明體"/>
          <w:b/>
          <w:bCs/>
          <w:kern w:val="52"/>
          <w:sz w:val="28"/>
          <w:szCs w:val="28"/>
        </w:rPr>
      </w:pPr>
    </w:p>
    <w:p w:rsidR="00B6733D" w:rsidRDefault="00B6733D" w:rsidP="00CE0B2F">
      <w:pPr>
        <w:rPr>
          <w:rFonts w:eastAsia="細明體" w:hAnsi="細明體"/>
          <w:b/>
          <w:bCs/>
          <w:kern w:val="52"/>
          <w:sz w:val="28"/>
          <w:szCs w:val="28"/>
        </w:rPr>
      </w:pPr>
    </w:p>
    <w:p w:rsidR="00B6733D" w:rsidRDefault="00B6733D" w:rsidP="00CE0B2F">
      <w:pPr>
        <w:rPr>
          <w:rFonts w:eastAsia="細明體" w:hAnsi="細明體"/>
          <w:b/>
          <w:bCs/>
          <w:kern w:val="52"/>
          <w:sz w:val="28"/>
          <w:szCs w:val="28"/>
        </w:rPr>
      </w:pPr>
    </w:p>
    <w:p w:rsidR="00B6733D" w:rsidRDefault="00B6733D" w:rsidP="00CE0B2F">
      <w:pPr>
        <w:rPr>
          <w:rFonts w:eastAsia="細明體" w:hAnsi="細明體"/>
          <w:b/>
          <w:bCs/>
          <w:kern w:val="52"/>
          <w:sz w:val="28"/>
          <w:szCs w:val="28"/>
        </w:rPr>
      </w:pPr>
    </w:p>
    <w:p w:rsidR="00B6733D" w:rsidRDefault="00B6733D" w:rsidP="00CE0B2F">
      <w:pPr>
        <w:rPr>
          <w:rFonts w:eastAsia="細明體" w:hAnsi="細明體"/>
          <w:b/>
          <w:bCs/>
          <w:kern w:val="52"/>
          <w:sz w:val="28"/>
          <w:szCs w:val="28"/>
        </w:rPr>
      </w:pPr>
    </w:p>
    <w:p w:rsidR="00EC548A" w:rsidRDefault="0033577E" w:rsidP="00940669">
      <w:pPr>
        <w:pStyle w:val="23"/>
      </w:pPr>
      <w:bookmarkStart w:id="5" w:name="_Toc408301452"/>
      <w:r>
        <w:rPr>
          <w:rFonts w:hint="eastAsia"/>
        </w:rPr>
        <w:t>一、</w:t>
      </w:r>
      <w:r w:rsidR="00EC548A" w:rsidRPr="00EC548A">
        <w:rPr>
          <w:rFonts w:hint="eastAsia"/>
        </w:rPr>
        <w:t>歷史背景</w:t>
      </w:r>
      <w:bookmarkEnd w:id="5"/>
    </w:p>
    <w:p w:rsidR="00EC548A" w:rsidRPr="00736108" w:rsidRDefault="00EC548A" w:rsidP="00736108">
      <w:pPr>
        <w:widowControl/>
        <w:spacing w:before="100" w:beforeAutospacing="1" w:after="100" w:afterAutospacing="1" w:line="460" w:lineRule="exact"/>
        <w:ind w:firstLine="539"/>
        <w:jc w:val="both"/>
        <w:textAlignment w:val="baseline"/>
        <w:rPr>
          <w:rFonts w:ascii="新細明體" w:hAnsi="新細明體" w:cs="細明體"/>
          <w:kern w:val="0"/>
          <w:szCs w:val="24"/>
        </w:rPr>
      </w:pPr>
      <w:r w:rsidRPr="00736108">
        <w:rPr>
          <w:rFonts w:ascii="新細明體" w:hAnsi="新細明體" w:cs="細明體" w:hint="eastAsia"/>
          <w:kern w:val="0"/>
          <w:szCs w:val="24"/>
        </w:rPr>
        <w:t>證監會是獨立法定機構，負責</w:t>
      </w:r>
      <w:r w:rsidR="002707AE" w:rsidRPr="00736108">
        <w:rPr>
          <w:rFonts w:ascii="新細明體" w:hAnsi="新細明體" w:cs="細明體" w:hint="eastAsia"/>
          <w:kern w:val="0"/>
          <w:szCs w:val="24"/>
        </w:rPr>
        <w:t>管理</w:t>
      </w:r>
      <w:r w:rsidRPr="00736108">
        <w:rPr>
          <w:rFonts w:ascii="新細明體" w:hAnsi="新細明體" w:cs="細明體" w:hint="eastAsia"/>
          <w:kern w:val="0"/>
          <w:szCs w:val="24"/>
        </w:rPr>
        <w:t>香港的證券及期貨市場，並致力確保市場穩</w:t>
      </w:r>
      <w:r w:rsidR="001724BA" w:rsidRPr="00736108">
        <w:rPr>
          <w:rFonts w:ascii="新細明體" w:hAnsi="新細明體" w:cs="細明體" w:hint="eastAsia"/>
          <w:kern w:val="0"/>
          <w:szCs w:val="24"/>
        </w:rPr>
        <w:t>定</w:t>
      </w:r>
      <w:r w:rsidRPr="00736108">
        <w:rPr>
          <w:rFonts w:ascii="新細明體" w:hAnsi="新細明體" w:cs="細明體" w:hint="eastAsia"/>
          <w:kern w:val="0"/>
          <w:szCs w:val="24"/>
        </w:rPr>
        <w:t>發展。</w:t>
      </w:r>
    </w:p>
    <w:p w:rsidR="00EC548A" w:rsidRPr="00736108" w:rsidRDefault="00EC548A" w:rsidP="00736108">
      <w:pPr>
        <w:widowControl/>
        <w:spacing w:before="100" w:beforeAutospacing="1" w:after="100" w:afterAutospacing="1" w:line="460" w:lineRule="exact"/>
        <w:ind w:firstLine="539"/>
        <w:jc w:val="both"/>
        <w:textAlignment w:val="baseline"/>
        <w:rPr>
          <w:rFonts w:ascii="新細明體" w:hAnsi="新細明體" w:cs="細明體"/>
          <w:kern w:val="0"/>
          <w:szCs w:val="24"/>
        </w:rPr>
      </w:pPr>
      <w:r w:rsidRPr="00736108">
        <w:rPr>
          <w:rFonts w:ascii="新細明體" w:hAnsi="新細明體" w:cs="細明體" w:hint="eastAsia"/>
          <w:kern w:val="0"/>
          <w:szCs w:val="24"/>
        </w:rPr>
        <w:t>證監會的成立</w:t>
      </w:r>
      <w:r w:rsidR="002707AE" w:rsidRPr="00736108">
        <w:rPr>
          <w:rFonts w:ascii="新細明體" w:hAnsi="新細明體" w:cs="細明體" w:hint="eastAsia"/>
          <w:kern w:val="0"/>
          <w:szCs w:val="24"/>
        </w:rPr>
        <w:t>可</w:t>
      </w:r>
      <w:r w:rsidRPr="00736108">
        <w:rPr>
          <w:rFonts w:ascii="新細明體" w:hAnsi="新細明體" w:cs="細明體" w:hint="eastAsia"/>
          <w:kern w:val="0"/>
          <w:szCs w:val="24"/>
        </w:rPr>
        <w:t>回溯至</w:t>
      </w:r>
      <w:proofErr w:type="gramStart"/>
      <w:r w:rsidRPr="00736108">
        <w:rPr>
          <w:rFonts w:ascii="新細明體" w:hAnsi="新細明體" w:cs="細明體"/>
          <w:kern w:val="0"/>
          <w:szCs w:val="24"/>
        </w:rPr>
        <w:t>1970</w:t>
      </w:r>
      <w:proofErr w:type="gramEnd"/>
      <w:r w:rsidRPr="00736108">
        <w:rPr>
          <w:rFonts w:ascii="新細明體" w:hAnsi="新細明體" w:cs="細明體" w:hint="eastAsia"/>
          <w:kern w:val="0"/>
          <w:szCs w:val="24"/>
        </w:rPr>
        <w:t>年代，</w:t>
      </w:r>
      <w:r w:rsidR="002707AE" w:rsidRPr="00736108">
        <w:rPr>
          <w:rFonts w:ascii="新細明體" w:hAnsi="新細明體" w:cs="細明體" w:hint="eastAsia"/>
          <w:kern w:val="0"/>
          <w:szCs w:val="24"/>
        </w:rPr>
        <w:t>當時</w:t>
      </w:r>
      <w:r w:rsidRPr="00736108">
        <w:rPr>
          <w:rFonts w:ascii="新細明體" w:hAnsi="新細明體" w:cs="細明體" w:hint="eastAsia"/>
          <w:kern w:val="0"/>
          <w:szCs w:val="24"/>
        </w:rPr>
        <w:t>香港的證券及期貨市場尚未受到正式的監</w:t>
      </w:r>
      <w:r w:rsidR="00F44EAD" w:rsidRPr="00736108">
        <w:rPr>
          <w:rFonts w:ascii="新細明體" w:hAnsi="新細明體" w:cs="細明體" w:hint="eastAsia"/>
          <w:kern w:val="0"/>
          <w:szCs w:val="24"/>
        </w:rPr>
        <w:t>理</w:t>
      </w:r>
      <w:r w:rsidRPr="00736108">
        <w:rPr>
          <w:rFonts w:ascii="新細明體" w:hAnsi="新細明體" w:cs="細明體" w:hint="eastAsia"/>
          <w:kern w:val="0"/>
          <w:szCs w:val="24"/>
        </w:rPr>
        <w:t>，到了</w:t>
      </w:r>
      <w:r w:rsidRPr="00736108">
        <w:rPr>
          <w:rFonts w:ascii="新細明體" w:hAnsi="新細明體" w:cs="細明體"/>
          <w:kern w:val="0"/>
          <w:szCs w:val="24"/>
        </w:rPr>
        <w:t>1973</w:t>
      </w:r>
      <w:r w:rsidRPr="00736108">
        <w:rPr>
          <w:rFonts w:ascii="新細明體" w:hAnsi="新細明體" w:cs="細明體" w:hint="eastAsia"/>
          <w:kern w:val="0"/>
          <w:szCs w:val="24"/>
        </w:rPr>
        <w:t>至</w:t>
      </w:r>
      <w:r w:rsidRPr="00736108">
        <w:rPr>
          <w:rFonts w:ascii="新細明體" w:hAnsi="新細明體" w:cs="細明體"/>
          <w:kern w:val="0"/>
          <w:szCs w:val="24"/>
        </w:rPr>
        <w:t>74</w:t>
      </w:r>
      <w:r w:rsidRPr="00736108">
        <w:rPr>
          <w:rFonts w:ascii="新細明體" w:hAnsi="新細明體" w:cs="細明體" w:hint="eastAsia"/>
          <w:kern w:val="0"/>
          <w:szCs w:val="24"/>
        </w:rPr>
        <w:t>年爆發股災後，當局制定了</w:t>
      </w:r>
      <w:proofErr w:type="gramStart"/>
      <w:r w:rsidRPr="00736108">
        <w:rPr>
          <w:rFonts w:ascii="新細明體" w:hAnsi="新細明體" w:cs="細明體" w:hint="eastAsia"/>
          <w:kern w:val="0"/>
          <w:szCs w:val="24"/>
        </w:rPr>
        <w:t>規</w:t>
      </w:r>
      <w:proofErr w:type="gramEnd"/>
      <w:r w:rsidRPr="00736108">
        <w:rPr>
          <w:rFonts w:ascii="新細明體" w:hAnsi="新細明體" w:cs="細明體" w:hint="eastAsia"/>
          <w:kern w:val="0"/>
          <w:szCs w:val="24"/>
        </w:rPr>
        <w:t>管證券及期貨業的法例</w:t>
      </w:r>
      <w:r w:rsidR="00F44EAD" w:rsidRPr="00736108">
        <w:rPr>
          <w:rFonts w:ascii="新細明體" w:hAnsi="新細明體" w:cs="細明體" w:hint="eastAsia"/>
          <w:kern w:val="0"/>
          <w:szCs w:val="24"/>
        </w:rPr>
        <w:t>，其</w:t>
      </w:r>
      <w:r w:rsidRPr="00736108">
        <w:rPr>
          <w:rFonts w:ascii="新細明體" w:hAnsi="新細明體" w:cs="細明體" w:hint="eastAsia"/>
          <w:kern w:val="0"/>
          <w:szCs w:val="24"/>
        </w:rPr>
        <w:t>執行有關法例的是兩個非全職的監察委員會，分別負責監察證券及商品交易事宜。</w:t>
      </w:r>
    </w:p>
    <w:p w:rsidR="00EC548A" w:rsidRPr="00736108" w:rsidRDefault="00EC548A" w:rsidP="00736108">
      <w:pPr>
        <w:widowControl/>
        <w:spacing w:before="100" w:beforeAutospacing="1" w:after="100" w:afterAutospacing="1" w:line="460" w:lineRule="exact"/>
        <w:ind w:firstLine="539"/>
        <w:jc w:val="both"/>
        <w:textAlignment w:val="baseline"/>
        <w:rPr>
          <w:rFonts w:ascii="新細明體" w:hAnsi="新細明體" w:cs="細明體"/>
          <w:kern w:val="0"/>
          <w:szCs w:val="24"/>
        </w:rPr>
      </w:pPr>
      <w:r w:rsidRPr="00736108">
        <w:rPr>
          <w:rFonts w:ascii="新細明體" w:hAnsi="新細明體" w:cs="細明體"/>
          <w:kern w:val="0"/>
          <w:szCs w:val="24"/>
        </w:rPr>
        <w:t>1987</w:t>
      </w:r>
      <w:r w:rsidRPr="00736108">
        <w:rPr>
          <w:rFonts w:ascii="新細明體" w:hAnsi="新細明體" w:cs="細明體" w:hint="eastAsia"/>
          <w:kern w:val="0"/>
          <w:szCs w:val="24"/>
        </w:rPr>
        <w:t>年再次爆發股災，期間顯露了上述監管架構的不足之處。為免歷史重演，當局成立證券業檢討委員會，專門研究香港的</w:t>
      </w:r>
      <w:proofErr w:type="gramStart"/>
      <w:r w:rsidRPr="00736108">
        <w:rPr>
          <w:rFonts w:ascii="新細明體" w:hAnsi="新細明體" w:cs="細明體" w:hint="eastAsia"/>
          <w:kern w:val="0"/>
          <w:szCs w:val="24"/>
        </w:rPr>
        <w:t>規</w:t>
      </w:r>
      <w:proofErr w:type="gramEnd"/>
      <w:r w:rsidRPr="00736108">
        <w:rPr>
          <w:rFonts w:ascii="新細明體" w:hAnsi="新細明體" w:cs="細明體" w:hint="eastAsia"/>
          <w:kern w:val="0"/>
          <w:szCs w:val="24"/>
        </w:rPr>
        <w:t>管架構及制度。</w:t>
      </w:r>
    </w:p>
    <w:p w:rsidR="00EC548A" w:rsidRPr="00736108" w:rsidRDefault="00EC548A" w:rsidP="00736108">
      <w:pPr>
        <w:widowControl/>
        <w:spacing w:before="100" w:beforeAutospacing="1" w:after="100" w:afterAutospacing="1" w:line="460" w:lineRule="exact"/>
        <w:ind w:firstLine="539"/>
        <w:jc w:val="both"/>
        <w:textAlignment w:val="baseline"/>
        <w:rPr>
          <w:rFonts w:ascii="新細明體" w:hAnsi="新細明體" w:cs="細明體"/>
          <w:kern w:val="0"/>
          <w:szCs w:val="24"/>
        </w:rPr>
      </w:pPr>
      <w:r w:rsidRPr="00736108">
        <w:rPr>
          <w:rFonts w:ascii="新細明體" w:hAnsi="新細明體" w:cs="細明體" w:hint="eastAsia"/>
          <w:kern w:val="0"/>
          <w:szCs w:val="24"/>
        </w:rPr>
        <w:lastRenderedPageBreak/>
        <w:t>證監會遂於</w:t>
      </w:r>
      <w:r w:rsidRPr="00736108">
        <w:rPr>
          <w:rFonts w:ascii="新細明體" w:hAnsi="新細明體" w:cs="細明體"/>
          <w:kern w:val="0"/>
          <w:szCs w:val="24"/>
        </w:rPr>
        <w:t>1989</w:t>
      </w:r>
      <w:r w:rsidRPr="00736108">
        <w:rPr>
          <w:rFonts w:ascii="新細明體" w:hAnsi="新細明體" w:cs="細明體" w:hint="eastAsia"/>
          <w:kern w:val="0"/>
          <w:szCs w:val="24"/>
        </w:rPr>
        <w:t>年</w:t>
      </w:r>
      <w:r w:rsidRPr="00736108">
        <w:rPr>
          <w:rFonts w:ascii="新細明體" w:hAnsi="新細明體" w:cs="細明體"/>
          <w:kern w:val="0"/>
          <w:szCs w:val="24"/>
        </w:rPr>
        <w:t>5</w:t>
      </w:r>
      <w:r w:rsidRPr="00736108">
        <w:rPr>
          <w:rFonts w:ascii="新細明體" w:hAnsi="新細明體" w:cs="細明體" w:hint="eastAsia"/>
          <w:kern w:val="0"/>
          <w:szCs w:val="24"/>
        </w:rPr>
        <w:t>月根據</w:t>
      </w:r>
      <w:r w:rsidR="00F44EAD" w:rsidRPr="00736108">
        <w:rPr>
          <w:rFonts w:ascii="新細明體" w:hAnsi="新細明體" w:cs="細明體" w:hint="eastAsia"/>
          <w:kern w:val="0"/>
          <w:szCs w:val="24"/>
        </w:rPr>
        <w:t>「</w:t>
      </w:r>
      <w:r w:rsidRPr="00736108">
        <w:rPr>
          <w:rFonts w:ascii="新細明體" w:hAnsi="新細明體" w:cs="細明體" w:hint="eastAsia"/>
          <w:kern w:val="0"/>
          <w:szCs w:val="24"/>
        </w:rPr>
        <w:t>證券及期貨事務監察委員會條例</w:t>
      </w:r>
      <w:r w:rsidR="00F44EAD" w:rsidRPr="00736108">
        <w:rPr>
          <w:rFonts w:ascii="新細明體" w:hAnsi="新細明體" w:cs="細明體" w:hint="eastAsia"/>
          <w:kern w:val="0"/>
          <w:szCs w:val="24"/>
        </w:rPr>
        <w:t>」</w:t>
      </w:r>
      <w:r w:rsidRPr="00736108">
        <w:rPr>
          <w:rFonts w:ascii="新細明體" w:hAnsi="新細明體" w:cs="細明體" w:hint="eastAsia"/>
          <w:kern w:val="0"/>
          <w:szCs w:val="24"/>
        </w:rPr>
        <w:t>成立。該條例制定了新的監管架構，除了配合本地市場的需求，更與全球發展趨勢及國際標準同步並進。</w:t>
      </w:r>
    </w:p>
    <w:p w:rsidR="00883ED0" w:rsidRPr="00736108" w:rsidRDefault="00EC548A" w:rsidP="00736108">
      <w:pPr>
        <w:widowControl/>
        <w:spacing w:before="100" w:beforeAutospacing="1" w:after="100" w:afterAutospacing="1" w:line="460" w:lineRule="exact"/>
        <w:ind w:firstLine="539"/>
        <w:jc w:val="both"/>
        <w:textAlignment w:val="baseline"/>
        <w:rPr>
          <w:rFonts w:ascii="新細明體" w:hAnsi="新細明體" w:cs="細明體"/>
          <w:kern w:val="0"/>
          <w:szCs w:val="24"/>
        </w:rPr>
      </w:pPr>
      <w:r w:rsidRPr="00736108">
        <w:rPr>
          <w:rFonts w:ascii="新細明體" w:hAnsi="新細明體" w:cs="細明體"/>
          <w:kern w:val="0"/>
          <w:szCs w:val="24"/>
        </w:rPr>
        <w:t>1997</w:t>
      </w:r>
      <w:r w:rsidRPr="00736108">
        <w:rPr>
          <w:rFonts w:ascii="新細明體" w:hAnsi="新細明體" w:cs="細明體" w:hint="eastAsia"/>
          <w:kern w:val="0"/>
          <w:szCs w:val="24"/>
        </w:rPr>
        <w:t>年亞洲金融危機爆發後，當局再展開詳盡的檢討，以完善監管制度。於</w:t>
      </w:r>
      <w:r w:rsidRPr="00736108">
        <w:rPr>
          <w:rFonts w:ascii="新細明體" w:hAnsi="新細明體" w:cs="細明體"/>
          <w:kern w:val="0"/>
          <w:szCs w:val="24"/>
        </w:rPr>
        <w:t>2003</w:t>
      </w:r>
      <w:r w:rsidRPr="00736108">
        <w:rPr>
          <w:rFonts w:ascii="新細明體" w:hAnsi="新細明體" w:cs="細明體" w:hint="eastAsia"/>
          <w:kern w:val="0"/>
          <w:szCs w:val="24"/>
        </w:rPr>
        <w:t>年</w:t>
      </w:r>
      <w:r w:rsidRPr="00736108">
        <w:rPr>
          <w:rFonts w:ascii="新細明體" w:hAnsi="新細明體" w:cs="細明體"/>
          <w:kern w:val="0"/>
          <w:szCs w:val="24"/>
        </w:rPr>
        <w:t>4</w:t>
      </w:r>
      <w:r w:rsidRPr="00736108">
        <w:rPr>
          <w:rFonts w:ascii="新細明體" w:hAnsi="新細明體" w:cs="細明體" w:hint="eastAsia"/>
          <w:kern w:val="0"/>
          <w:szCs w:val="24"/>
        </w:rPr>
        <w:t>月</w:t>
      </w:r>
      <w:r w:rsidRPr="00736108">
        <w:rPr>
          <w:rFonts w:ascii="新細明體" w:hAnsi="新細明體" w:cs="細明體"/>
          <w:kern w:val="0"/>
          <w:szCs w:val="24"/>
        </w:rPr>
        <w:t>1</w:t>
      </w:r>
      <w:r w:rsidRPr="00736108">
        <w:rPr>
          <w:rFonts w:ascii="新細明體" w:hAnsi="新細明體" w:cs="細明體" w:hint="eastAsia"/>
          <w:kern w:val="0"/>
          <w:szCs w:val="24"/>
        </w:rPr>
        <w:t>日正式生效的</w:t>
      </w:r>
      <w:r w:rsidR="00F44EAD" w:rsidRPr="00736108">
        <w:rPr>
          <w:rFonts w:ascii="新細明體" w:hAnsi="新細明體" w:cs="細明體" w:hint="eastAsia"/>
          <w:kern w:val="0"/>
          <w:szCs w:val="24"/>
        </w:rPr>
        <w:t>「</w:t>
      </w:r>
      <w:r w:rsidRPr="00736108">
        <w:rPr>
          <w:rFonts w:ascii="新細明體" w:hAnsi="新細明體" w:cs="細明體" w:hint="eastAsia"/>
          <w:kern w:val="0"/>
          <w:szCs w:val="24"/>
        </w:rPr>
        <w:t>證券及期貨條例</w:t>
      </w:r>
      <w:r w:rsidR="00F44EAD" w:rsidRPr="00736108">
        <w:rPr>
          <w:rFonts w:ascii="新細明體" w:hAnsi="新細明體" w:cs="細明體" w:hint="eastAsia"/>
          <w:kern w:val="0"/>
          <w:szCs w:val="24"/>
        </w:rPr>
        <w:t>」</w:t>
      </w:r>
      <w:r w:rsidRPr="00736108">
        <w:rPr>
          <w:rFonts w:ascii="新細明體" w:hAnsi="新細明體" w:cs="細明體" w:hint="eastAsia"/>
          <w:kern w:val="0"/>
          <w:szCs w:val="24"/>
        </w:rPr>
        <w:t>整合</w:t>
      </w:r>
      <w:r w:rsidR="00F44EAD" w:rsidRPr="00736108">
        <w:rPr>
          <w:rFonts w:ascii="新細明體" w:hAnsi="新細明體" w:cs="細明體" w:hint="eastAsia"/>
          <w:kern w:val="0"/>
          <w:szCs w:val="24"/>
        </w:rPr>
        <w:t>並更新</w:t>
      </w:r>
      <w:r w:rsidRPr="00736108">
        <w:rPr>
          <w:rFonts w:ascii="新細明體" w:hAnsi="新細明體" w:cs="細明體" w:hint="eastAsia"/>
          <w:kern w:val="0"/>
          <w:szCs w:val="24"/>
        </w:rPr>
        <w:t>之前用以監管香港證券及期貨市場的十項條例。連同其附屬法例，</w:t>
      </w:r>
      <w:r w:rsidR="001724BA" w:rsidRPr="00736108">
        <w:rPr>
          <w:rFonts w:ascii="新細明體" w:hAnsi="新細明體" w:cs="細明體" w:hint="eastAsia"/>
          <w:kern w:val="0"/>
          <w:szCs w:val="24"/>
        </w:rPr>
        <w:t>「證券及期貨條例」</w:t>
      </w:r>
      <w:r w:rsidRPr="00736108">
        <w:rPr>
          <w:rFonts w:ascii="新細明體" w:hAnsi="新細明體" w:cs="細明體" w:hint="eastAsia"/>
          <w:kern w:val="0"/>
          <w:szCs w:val="24"/>
        </w:rPr>
        <w:t>擴大證監會的職能及權力，讓其能夠更深入及全面地執行監管工作。</w:t>
      </w:r>
    </w:p>
    <w:p w:rsidR="00093C20" w:rsidRPr="00940669" w:rsidRDefault="00093C20" w:rsidP="00736108">
      <w:pPr>
        <w:widowControl/>
        <w:spacing w:before="100" w:beforeAutospacing="1" w:after="100" w:afterAutospacing="1" w:line="460" w:lineRule="exact"/>
        <w:jc w:val="both"/>
        <w:textAlignment w:val="baseline"/>
        <w:rPr>
          <w:rFonts w:eastAsia="細明體" w:hAnsi="細明體" w:cs="細明體"/>
          <w:kern w:val="0"/>
          <w:szCs w:val="24"/>
        </w:rPr>
      </w:pPr>
    </w:p>
    <w:p w:rsidR="00EC548A" w:rsidRDefault="0033577E" w:rsidP="00940669">
      <w:pPr>
        <w:pStyle w:val="23"/>
      </w:pPr>
      <w:bookmarkStart w:id="6" w:name="_Toc408301453"/>
      <w:r>
        <w:rPr>
          <w:rFonts w:hint="eastAsia"/>
        </w:rPr>
        <w:t>二、</w:t>
      </w:r>
      <w:r w:rsidR="00D376CE">
        <w:rPr>
          <w:rFonts w:hint="eastAsia"/>
        </w:rPr>
        <w:t>監管對象</w:t>
      </w:r>
      <w:bookmarkEnd w:id="6"/>
    </w:p>
    <w:p w:rsidR="00883ED0" w:rsidRPr="00320151" w:rsidRDefault="00D376CE" w:rsidP="00736108">
      <w:pPr>
        <w:widowControl/>
        <w:spacing w:before="100" w:beforeAutospacing="1" w:after="100" w:afterAutospacing="1" w:line="460" w:lineRule="exact"/>
        <w:ind w:firstLine="539"/>
        <w:jc w:val="both"/>
        <w:textAlignment w:val="baseline"/>
        <w:rPr>
          <w:rFonts w:eastAsia="細明體" w:hAnsi="細明體" w:cs="細明體"/>
          <w:kern w:val="0"/>
          <w:szCs w:val="24"/>
        </w:rPr>
      </w:pPr>
      <w:r w:rsidRPr="00320151">
        <w:rPr>
          <w:rFonts w:eastAsia="細明體" w:hAnsi="細明體" w:cs="細明體" w:hint="eastAsia"/>
          <w:kern w:val="0"/>
          <w:szCs w:val="24"/>
        </w:rPr>
        <w:t>證監會的監管對象基本上包括證券及期貨市場眾多不同類型的參與者，投資者亦在監察之列。</w:t>
      </w: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3320"/>
        <w:gridCol w:w="5480"/>
      </w:tblGrid>
      <w:tr w:rsidR="00D376CE" w:rsidRPr="00320151" w:rsidTr="00514980">
        <w:trPr>
          <w:tblHeader/>
          <w:tblCellSpacing w:w="15" w:type="dxa"/>
        </w:trPr>
        <w:tc>
          <w:tcPr>
            <w:tcW w:w="1880" w:type="pct"/>
            <w:tcBorders>
              <w:top w:val="single" w:sz="4" w:space="0" w:color="auto"/>
              <w:left w:val="single" w:sz="4" w:space="0" w:color="auto"/>
              <w:bottom w:val="single" w:sz="4" w:space="0" w:color="auto"/>
              <w:right w:val="single" w:sz="4" w:space="0" w:color="auto"/>
            </w:tcBorders>
            <w:vAlign w:val="center"/>
          </w:tcPr>
          <w:p w:rsidR="00D376CE" w:rsidRPr="00320151" w:rsidRDefault="00D376CE" w:rsidP="00CE0B2F">
            <w:pPr>
              <w:pStyle w:val="p1"/>
              <w:spacing w:before="0" w:beforeAutospacing="0" w:after="0" w:afterAutospacing="0" w:line="400" w:lineRule="atLeast"/>
              <w:jc w:val="center"/>
              <w:rPr>
                <w:rFonts w:eastAsia="細明體"/>
                <w:b/>
              </w:rPr>
            </w:pPr>
            <w:r w:rsidRPr="00320151">
              <w:rPr>
                <w:rFonts w:eastAsia="細明體" w:hAnsi="細明體" w:cs="細明體" w:hint="eastAsia"/>
                <w:b/>
              </w:rPr>
              <w:t>監管對象</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320151" w:rsidRDefault="00D376CE" w:rsidP="00CE0B2F">
            <w:pPr>
              <w:pStyle w:val="p1"/>
              <w:spacing w:before="0" w:beforeAutospacing="0" w:after="0" w:afterAutospacing="0" w:line="400" w:lineRule="atLeast"/>
              <w:jc w:val="center"/>
              <w:rPr>
                <w:rFonts w:eastAsia="細明體"/>
                <w:b/>
              </w:rPr>
            </w:pPr>
            <w:r w:rsidRPr="00320151">
              <w:rPr>
                <w:rFonts w:eastAsia="細明體" w:hAnsi="細明體" w:cs="細明體" w:hint="eastAsia"/>
                <w:b/>
              </w:rPr>
              <w:t>監管方式</w:t>
            </w:r>
          </w:p>
        </w:tc>
      </w:tr>
      <w:tr w:rsidR="00D376CE" w:rsidRPr="00320151" w:rsidTr="00514980">
        <w:trPr>
          <w:trHeight w:val="1166"/>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320151" w:rsidRDefault="00D376CE" w:rsidP="00CE0B2F">
            <w:pPr>
              <w:pStyle w:val="p1"/>
              <w:spacing w:before="0" w:beforeAutospacing="0" w:after="0" w:afterAutospacing="0" w:line="400" w:lineRule="atLeast"/>
              <w:rPr>
                <w:rFonts w:eastAsia="細明體"/>
              </w:rPr>
            </w:pPr>
            <w:r w:rsidRPr="00320151">
              <w:rPr>
                <w:rFonts w:eastAsia="細明體" w:hAnsi="細明體" w:cs="細明體" w:hint="eastAsia"/>
              </w:rPr>
              <w:t>從事下列活動的經紀行、投資顧問、基金經理及中介人：</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證券交易</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期貨合約交易</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槓桿式外匯交易</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就證券提供意見</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就期貨合約提供意見</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就機構融資提供意見</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提供自動化交易服務</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提供證券保證金融資</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提供資產管理</w:t>
            </w:r>
          </w:p>
          <w:p w:rsidR="00D376CE" w:rsidRPr="00320151" w:rsidRDefault="00D376CE" w:rsidP="0000284D">
            <w:pPr>
              <w:widowControl/>
              <w:numPr>
                <w:ilvl w:val="0"/>
                <w:numId w:val="2"/>
              </w:numPr>
              <w:spacing w:line="400" w:lineRule="atLeast"/>
              <w:rPr>
                <w:rFonts w:eastAsia="細明體"/>
                <w:szCs w:val="24"/>
              </w:rPr>
            </w:pPr>
            <w:r w:rsidRPr="00320151">
              <w:rPr>
                <w:rFonts w:eastAsia="細明體" w:hAnsi="細明體" w:cs="細明體" w:hint="eastAsia"/>
                <w:szCs w:val="24"/>
              </w:rPr>
              <w:t>提供信貸評級服務</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320151" w:rsidRDefault="00D376CE" w:rsidP="0000284D">
            <w:pPr>
              <w:widowControl/>
              <w:numPr>
                <w:ilvl w:val="0"/>
                <w:numId w:val="3"/>
              </w:numPr>
              <w:spacing w:line="400" w:lineRule="atLeast"/>
              <w:rPr>
                <w:rFonts w:eastAsia="細明體"/>
                <w:szCs w:val="24"/>
              </w:rPr>
            </w:pPr>
            <w:r w:rsidRPr="00320151">
              <w:rPr>
                <w:rFonts w:eastAsia="細明體" w:hAnsi="細明體" w:cs="細明體" w:hint="eastAsia"/>
                <w:szCs w:val="24"/>
              </w:rPr>
              <w:t>制定發牌準則，確保所有獲發牌的從業員都是適當人選</w:t>
            </w:r>
          </w:p>
          <w:p w:rsidR="00D376CE" w:rsidRPr="00320151" w:rsidRDefault="00D376CE" w:rsidP="0000284D">
            <w:pPr>
              <w:widowControl/>
              <w:numPr>
                <w:ilvl w:val="0"/>
                <w:numId w:val="3"/>
              </w:numPr>
              <w:spacing w:line="400" w:lineRule="atLeast"/>
              <w:rPr>
                <w:rFonts w:eastAsia="細明體"/>
                <w:szCs w:val="24"/>
              </w:rPr>
            </w:pPr>
            <w:r w:rsidRPr="00320151">
              <w:rPr>
                <w:rFonts w:eastAsia="細明體" w:hAnsi="細明體" w:cs="細明體" w:hint="eastAsia"/>
                <w:szCs w:val="24"/>
              </w:rPr>
              <w:t>審批牌照；發表守則和指引，使業界知悉</w:t>
            </w:r>
            <w:r w:rsidR="00C63A01">
              <w:rPr>
                <w:rFonts w:eastAsia="細明體" w:hAnsi="細明體" w:cs="細明體" w:hint="eastAsia"/>
                <w:szCs w:val="24"/>
              </w:rPr>
              <w:t>證監</w:t>
            </w:r>
            <w:r w:rsidRPr="00320151">
              <w:rPr>
                <w:rFonts w:eastAsia="細明體" w:hAnsi="細明體" w:cs="細明體" w:hint="eastAsia"/>
                <w:szCs w:val="24"/>
              </w:rPr>
              <w:t>會所要求的操守水平；制訂財政資源規定</w:t>
            </w:r>
          </w:p>
          <w:p w:rsidR="00D376CE" w:rsidRPr="00320151" w:rsidRDefault="00D376CE" w:rsidP="0000284D">
            <w:pPr>
              <w:widowControl/>
              <w:numPr>
                <w:ilvl w:val="0"/>
                <w:numId w:val="3"/>
              </w:numPr>
              <w:spacing w:line="400" w:lineRule="atLeast"/>
              <w:rPr>
                <w:rFonts w:eastAsia="細明體"/>
                <w:szCs w:val="24"/>
              </w:rPr>
            </w:pPr>
            <w:r w:rsidRPr="00320151">
              <w:rPr>
                <w:rFonts w:eastAsia="細明體" w:hAnsi="細明體" w:cs="細明體" w:hint="eastAsia"/>
                <w:szCs w:val="24"/>
              </w:rPr>
              <w:t>監察</w:t>
            </w:r>
            <w:proofErr w:type="gramStart"/>
            <w:r w:rsidRPr="00320151">
              <w:rPr>
                <w:rFonts w:eastAsia="細明體" w:hAnsi="細明體" w:cs="細明體" w:hint="eastAsia"/>
                <w:szCs w:val="24"/>
              </w:rPr>
              <w:t>持牌人的</w:t>
            </w:r>
            <w:proofErr w:type="gramEnd"/>
            <w:r w:rsidRPr="00320151">
              <w:rPr>
                <w:rFonts w:eastAsia="細明體" w:hAnsi="細明體" w:cs="細明體" w:hint="eastAsia"/>
                <w:szCs w:val="24"/>
              </w:rPr>
              <w:t>財政狀況及遵守相關法例、守則和指引的情況</w:t>
            </w:r>
          </w:p>
          <w:p w:rsidR="00D376CE" w:rsidRPr="00320151" w:rsidRDefault="00D376CE" w:rsidP="0000284D">
            <w:pPr>
              <w:widowControl/>
              <w:numPr>
                <w:ilvl w:val="0"/>
                <w:numId w:val="3"/>
              </w:numPr>
              <w:spacing w:line="400" w:lineRule="atLeast"/>
              <w:rPr>
                <w:rFonts w:eastAsia="細明體" w:cs="細明體"/>
                <w:szCs w:val="24"/>
              </w:rPr>
            </w:pPr>
            <w:r w:rsidRPr="00320151">
              <w:rPr>
                <w:rFonts w:eastAsia="細明體" w:hAnsi="細明體" w:cs="細明體" w:hint="eastAsia"/>
                <w:szCs w:val="24"/>
              </w:rPr>
              <w:t>處理及調查有關</w:t>
            </w:r>
            <w:proofErr w:type="gramStart"/>
            <w:r w:rsidRPr="00320151">
              <w:rPr>
                <w:rFonts w:eastAsia="細明體" w:hAnsi="細明體" w:cs="細明體" w:hint="eastAsia"/>
                <w:szCs w:val="24"/>
              </w:rPr>
              <w:t>持牌人的</w:t>
            </w:r>
            <w:proofErr w:type="gramEnd"/>
            <w:r w:rsidRPr="00320151">
              <w:rPr>
                <w:rFonts w:eastAsia="細明體" w:hAnsi="細明體" w:cs="細明體" w:hint="eastAsia"/>
                <w:szCs w:val="24"/>
              </w:rPr>
              <w:t>失當行為的投訴，必要時會採取進一步的行動</w:t>
            </w:r>
          </w:p>
          <w:p w:rsidR="00D376CE" w:rsidRPr="00320151" w:rsidRDefault="00D376CE" w:rsidP="00CE0B2F">
            <w:pPr>
              <w:widowControl/>
              <w:spacing w:line="400" w:lineRule="atLeast"/>
              <w:ind w:left="360" w:hanging="360"/>
              <w:rPr>
                <w:rFonts w:eastAsia="細明體"/>
              </w:rPr>
            </w:pPr>
            <w:proofErr w:type="gramStart"/>
            <w:r w:rsidRPr="00320151">
              <w:rPr>
                <w:rFonts w:eastAsia="細明體" w:hAnsi="細明體" w:cs="細明體" w:hint="eastAsia"/>
                <w:szCs w:val="24"/>
              </w:rPr>
              <w:t>註</w:t>
            </w:r>
            <w:proofErr w:type="gramEnd"/>
            <w:r w:rsidRPr="00320151">
              <w:rPr>
                <w:rFonts w:eastAsia="細明體" w:hAnsi="細明體" w:cs="細明體" w:hint="eastAsia"/>
                <w:szCs w:val="24"/>
              </w:rPr>
              <w:t>：從事證券及期貨業務的</w:t>
            </w:r>
            <w:r w:rsidRPr="00320151">
              <w:rPr>
                <w:rFonts w:eastAsia="細明體" w:hAnsi="細明體" w:cs="細明體" w:hint="eastAsia"/>
              </w:rPr>
              <w:t>銀行必須向證監會註冊。香港金融管理局是這些活動的前線監管機構，負責監察日常運作。</w:t>
            </w:r>
          </w:p>
        </w:tc>
      </w:tr>
      <w:tr w:rsidR="00D376CE" w:rsidRPr="00320151" w:rsidTr="00514980">
        <w:trPr>
          <w:trHeight w:val="1297"/>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320151" w:rsidRDefault="00D376CE" w:rsidP="00CE0B2F">
            <w:pPr>
              <w:pStyle w:val="p1"/>
              <w:spacing w:before="0" w:beforeAutospacing="0" w:after="0" w:afterAutospacing="0" w:line="400" w:lineRule="atLeast"/>
              <w:rPr>
                <w:rFonts w:eastAsia="細明體"/>
              </w:rPr>
            </w:pPr>
            <w:r w:rsidRPr="00320151">
              <w:rPr>
                <w:rFonts w:eastAsia="細明體" w:hAnsi="細明體" w:cs="細明體" w:hint="eastAsia"/>
              </w:rPr>
              <w:t>投資產品</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320151" w:rsidRDefault="00D376CE" w:rsidP="0000284D">
            <w:pPr>
              <w:widowControl/>
              <w:numPr>
                <w:ilvl w:val="0"/>
                <w:numId w:val="4"/>
              </w:numPr>
              <w:spacing w:line="400" w:lineRule="atLeast"/>
              <w:rPr>
                <w:rFonts w:eastAsia="細明體"/>
                <w:szCs w:val="24"/>
              </w:rPr>
            </w:pPr>
            <w:r w:rsidRPr="00320151">
              <w:rPr>
                <w:rFonts w:eastAsia="細明體" w:hAnsi="細明體" w:cs="細明體" w:hint="eastAsia"/>
                <w:szCs w:val="24"/>
              </w:rPr>
              <w:t>為認可及監管投資產品制定準則</w:t>
            </w:r>
          </w:p>
          <w:p w:rsidR="00D376CE" w:rsidRPr="00320151" w:rsidRDefault="00D376CE" w:rsidP="0000284D">
            <w:pPr>
              <w:widowControl/>
              <w:numPr>
                <w:ilvl w:val="0"/>
                <w:numId w:val="4"/>
              </w:numPr>
              <w:spacing w:line="400" w:lineRule="atLeast"/>
              <w:rPr>
                <w:rFonts w:eastAsia="細明體"/>
                <w:szCs w:val="24"/>
              </w:rPr>
            </w:pPr>
            <w:r w:rsidRPr="00320151">
              <w:rPr>
                <w:rFonts w:eastAsia="細明體" w:hAnsi="細明體" w:cs="細明體" w:hint="eastAsia"/>
                <w:szCs w:val="24"/>
              </w:rPr>
              <w:t>審核及認可向公眾推廣的零售投資產品的銷售文件</w:t>
            </w:r>
          </w:p>
        </w:tc>
      </w:tr>
      <w:tr w:rsidR="00D376CE" w:rsidRPr="00320151" w:rsidTr="00514980">
        <w:trPr>
          <w:trHeight w:val="3743"/>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320151" w:rsidRDefault="00D376CE" w:rsidP="00CE0B2F">
            <w:pPr>
              <w:pStyle w:val="p1"/>
              <w:spacing w:before="0" w:beforeAutospacing="0" w:after="0" w:afterAutospacing="0" w:line="400" w:lineRule="atLeast"/>
              <w:rPr>
                <w:rFonts w:eastAsia="細明體"/>
              </w:rPr>
            </w:pPr>
            <w:r w:rsidRPr="00320151">
              <w:rPr>
                <w:rFonts w:eastAsia="細明體" w:hAnsi="細明體" w:cs="細明體" w:hint="eastAsia"/>
              </w:rPr>
              <w:lastRenderedPageBreak/>
              <w:t>上市公司</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320151" w:rsidRDefault="00D376CE" w:rsidP="0000284D">
            <w:pPr>
              <w:widowControl/>
              <w:numPr>
                <w:ilvl w:val="0"/>
                <w:numId w:val="5"/>
              </w:numPr>
              <w:spacing w:line="400" w:lineRule="atLeast"/>
              <w:rPr>
                <w:rFonts w:eastAsia="細明體"/>
                <w:szCs w:val="24"/>
              </w:rPr>
            </w:pPr>
            <w:r w:rsidRPr="00320151">
              <w:rPr>
                <w:rFonts w:eastAsia="細明體" w:hAnsi="細明體" w:cs="細明體" w:hint="eastAsia"/>
                <w:szCs w:val="24"/>
              </w:rPr>
              <w:t>在雙重存檔制度下監察公布及審批上市申請的材料</w:t>
            </w:r>
          </w:p>
          <w:p w:rsidR="00D376CE" w:rsidRPr="00320151" w:rsidRDefault="00D376CE" w:rsidP="0000284D">
            <w:pPr>
              <w:widowControl/>
              <w:numPr>
                <w:ilvl w:val="0"/>
                <w:numId w:val="5"/>
              </w:numPr>
              <w:spacing w:line="400" w:lineRule="atLeast"/>
              <w:rPr>
                <w:rFonts w:eastAsia="細明體"/>
                <w:szCs w:val="24"/>
              </w:rPr>
            </w:pPr>
            <w:r w:rsidRPr="00320151">
              <w:rPr>
                <w:rFonts w:eastAsia="細明體" w:hAnsi="細明體" w:cs="細明體" w:hint="eastAsia"/>
                <w:szCs w:val="24"/>
              </w:rPr>
              <w:t>根據《公司收購、合併及股份購回守則》直接監管收購及私有化行動</w:t>
            </w:r>
          </w:p>
          <w:p w:rsidR="00D376CE" w:rsidRPr="00320151" w:rsidRDefault="00D376CE" w:rsidP="0000284D">
            <w:pPr>
              <w:widowControl/>
              <w:numPr>
                <w:ilvl w:val="0"/>
                <w:numId w:val="5"/>
              </w:numPr>
              <w:spacing w:line="400" w:lineRule="atLeast"/>
              <w:rPr>
                <w:rFonts w:eastAsia="細明體"/>
                <w:szCs w:val="24"/>
              </w:rPr>
            </w:pPr>
            <w:r w:rsidRPr="00320151">
              <w:rPr>
                <w:rFonts w:eastAsia="細明體" w:hAnsi="細明體" w:cs="細明體" w:hint="eastAsia"/>
                <w:szCs w:val="24"/>
              </w:rPr>
              <w:t>應申請人的要求，考慮豁免《公司條例》若干招股章程規定</w:t>
            </w:r>
          </w:p>
          <w:p w:rsidR="00D376CE" w:rsidRPr="00320151" w:rsidRDefault="00D376CE" w:rsidP="0000284D">
            <w:pPr>
              <w:widowControl/>
              <w:numPr>
                <w:ilvl w:val="0"/>
                <w:numId w:val="5"/>
              </w:numPr>
              <w:spacing w:line="400" w:lineRule="atLeast"/>
              <w:rPr>
                <w:rFonts w:eastAsia="細明體"/>
                <w:szCs w:val="24"/>
              </w:rPr>
            </w:pPr>
            <w:r w:rsidRPr="00320151">
              <w:rPr>
                <w:rFonts w:eastAsia="細明體" w:hAnsi="細明體" w:cs="細明體" w:hint="eastAsia"/>
                <w:szCs w:val="24"/>
              </w:rPr>
              <w:t>對涉嫌進行損害股東利益或有欺詐成分的交易，或向公眾提供虛假或具誤導性資料的上市公司進行查訊</w:t>
            </w:r>
          </w:p>
        </w:tc>
      </w:tr>
      <w:tr w:rsidR="00D376CE" w:rsidRPr="00320151" w:rsidTr="00514980">
        <w:trPr>
          <w:trHeight w:val="3741"/>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CE0B2F">
            <w:pPr>
              <w:pStyle w:val="p1"/>
              <w:spacing w:before="0" w:beforeAutospacing="0" w:after="0" w:afterAutospacing="0" w:line="400" w:lineRule="atLeast"/>
              <w:rPr>
                <w:rFonts w:ascii="新細明體" w:hAnsi="新細明體"/>
              </w:rPr>
            </w:pPr>
            <w:r w:rsidRPr="00736108">
              <w:rPr>
                <w:rFonts w:ascii="新細明體" w:hAnsi="新細明體" w:cs="細明體" w:hint="eastAsia"/>
              </w:rPr>
              <w:t>香港交易及結算所有限公司（香港交易所）</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00284D">
            <w:pPr>
              <w:widowControl/>
              <w:numPr>
                <w:ilvl w:val="0"/>
                <w:numId w:val="6"/>
              </w:numPr>
              <w:spacing w:line="400" w:lineRule="atLeast"/>
              <w:rPr>
                <w:rFonts w:ascii="新細明體" w:hAnsi="新細明體"/>
                <w:szCs w:val="24"/>
              </w:rPr>
            </w:pPr>
            <w:r w:rsidRPr="00736108">
              <w:rPr>
                <w:rFonts w:ascii="新細明體" w:hAnsi="新細明體" w:cs="細明體" w:hint="eastAsia"/>
                <w:szCs w:val="24"/>
              </w:rPr>
              <w:t>監察香港聯合交易所有限公司（簡稱聯交所，香港交易所的附屬公司）作為上市事宜的前線監管機構的表現</w:t>
            </w:r>
          </w:p>
          <w:p w:rsidR="00D376CE" w:rsidRPr="00736108" w:rsidRDefault="00D376CE" w:rsidP="0000284D">
            <w:pPr>
              <w:widowControl/>
              <w:numPr>
                <w:ilvl w:val="0"/>
                <w:numId w:val="6"/>
              </w:numPr>
              <w:spacing w:line="400" w:lineRule="atLeast"/>
              <w:rPr>
                <w:rFonts w:ascii="新細明體" w:hAnsi="新細明體"/>
                <w:szCs w:val="24"/>
              </w:rPr>
            </w:pPr>
            <w:r w:rsidRPr="00736108">
              <w:rPr>
                <w:rFonts w:ascii="新細明體" w:hAnsi="新細明體" w:cs="細明體" w:hint="eastAsia"/>
                <w:szCs w:val="24"/>
              </w:rPr>
              <w:t>審批新市場的成立及新產品的推出，以及審批香港交易所的規則與規例的修訂</w:t>
            </w:r>
          </w:p>
          <w:p w:rsidR="00D376CE" w:rsidRPr="00736108" w:rsidRDefault="00D376CE" w:rsidP="0000284D">
            <w:pPr>
              <w:widowControl/>
              <w:numPr>
                <w:ilvl w:val="0"/>
                <w:numId w:val="6"/>
              </w:numPr>
              <w:spacing w:line="400" w:lineRule="atLeast"/>
              <w:rPr>
                <w:rFonts w:ascii="新細明體" w:hAnsi="新細明體"/>
                <w:szCs w:val="24"/>
              </w:rPr>
            </w:pPr>
            <w:r w:rsidRPr="00736108">
              <w:rPr>
                <w:rFonts w:ascii="新細明體" w:hAnsi="新細明體" w:cs="細明體" w:hint="eastAsia"/>
                <w:szCs w:val="24"/>
              </w:rPr>
              <w:t>監察香港交易所本身作為上市公司在遵守《上市規則》方面的表現</w:t>
            </w:r>
          </w:p>
          <w:p w:rsidR="00D376CE" w:rsidRPr="00736108" w:rsidRDefault="00D376CE" w:rsidP="0000284D">
            <w:pPr>
              <w:widowControl/>
              <w:numPr>
                <w:ilvl w:val="0"/>
                <w:numId w:val="6"/>
              </w:numPr>
              <w:spacing w:line="400" w:lineRule="atLeast"/>
              <w:rPr>
                <w:rFonts w:ascii="新細明體" w:hAnsi="新細明體"/>
                <w:szCs w:val="24"/>
              </w:rPr>
            </w:pPr>
            <w:r w:rsidRPr="00736108">
              <w:rPr>
                <w:rFonts w:ascii="新細明體" w:hAnsi="新細明體" w:cs="細明體" w:hint="eastAsia"/>
                <w:szCs w:val="24"/>
              </w:rPr>
              <w:t>監察在聯交所及香港期貨交易所有限公司進行的股份、期權及期貨交易</w:t>
            </w:r>
          </w:p>
        </w:tc>
      </w:tr>
      <w:tr w:rsidR="00D376CE" w:rsidRPr="00320151" w:rsidTr="00514980">
        <w:trPr>
          <w:trHeight w:val="1357"/>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CE0B2F">
            <w:pPr>
              <w:pStyle w:val="p1"/>
              <w:spacing w:before="0" w:beforeAutospacing="0" w:after="0" w:afterAutospacing="0" w:line="400" w:lineRule="atLeast"/>
              <w:rPr>
                <w:rFonts w:ascii="新細明體" w:hAnsi="新細明體"/>
              </w:rPr>
            </w:pPr>
            <w:r w:rsidRPr="00736108">
              <w:rPr>
                <w:rFonts w:ascii="新細明體" w:hAnsi="新細明體" w:cs="細明體" w:hint="eastAsia"/>
              </w:rPr>
              <w:t>自動化交易服務提供者</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00284D">
            <w:pPr>
              <w:widowControl/>
              <w:numPr>
                <w:ilvl w:val="0"/>
                <w:numId w:val="7"/>
              </w:numPr>
              <w:spacing w:line="400" w:lineRule="atLeast"/>
              <w:rPr>
                <w:rFonts w:ascii="新細明體" w:hAnsi="新細明體"/>
                <w:szCs w:val="24"/>
              </w:rPr>
            </w:pPr>
            <w:r w:rsidRPr="00736108">
              <w:rPr>
                <w:rFonts w:ascii="新細明體" w:hAnsi="新細明體" w:cs="細明體" w:hint="eastAsia"/>
                <w:szCs w:val="24"/>
              </w:rPr>
              <w:t>向在香港提供自動化交易服務的機構發牌或給予認可</w:t>
            </w:r>
          </w:p>
          <w:p w:rsidR="00D376CE" w:rsidRPr="00736108" w:rsidRDefault="00D376CE" w:rsidP="0000284D">
            <w:pPr>
              <w:widowControl/>
              <w:numPr>
                <w:ilvl w:val="0"/>
                <w:numId w:val="7"/>
              </w:numPr>
              <w:spacing w:line="400" w:lineRule="atLeast"/>
              <w:rPr>
                <w:rFonts w:ascii="新細明體" w:hAnsi="新細明體"/>
                <w:szCs w:val="24"/>
              </w:rPr>
            </w:pPr>
            <w:r w:rsidRPr="00736108">
              <w:rPr>
                <w:rFonts w:ascii="新細明體" w:hAnsi="新細明體" w:cs="細明體" w:hint="eastAsia"/>
                <w:szCs w:val="24"/>
              </w:rPr>
              <w:t>監察自動化交易服務提供者的運作</w:t>
            </w:r>
          </w:p>
        </w:tc>
      </w:tr>
      <w:tr w:rsidR="00D376CE" w:rsidRPr="00320151" w:rsidTr="0051498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CE0B2F">
            <w:pPr>
              <w:pStyle w:val="p1"/>
              <w:spacing w:before="0" w:beforeAutospacing="0" w:after="0" w:afterAutospacing="0" w:line="400" w:lineRule="atLeast"/>
              <w:rPr>
                <w:rFonts w:ascii="新細明體" w:hAnsi="新細明體"/>
              </w:rPr>
            </w:pPr>
            <w:r w:rsidRPr="00736108">
              <w:rPr>
                <w:rFonts w:ascii="新細明體" w:hAnsi="新細明體" w:cs="細明體" w:hint="eastAsia"/>
              </w:rPr>
              <w:t>認可股份登記機構</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00284D">
            <w:pPr>
              <w:widowControl/>
              <w:numPr>
                <w:ilvl w:val="0"/>
                <w:numId w:val="8"/>
              </w:numPr>
              <w:spacing w:line="400" w:lineRule="atLeast"/>
              <w:rPr>
                <w:rFonts w:ascii="新細明體" w:hAnsi="新細明體"/>
                <w:szCs w:val="24"/>
              </w:rPr>
            </w:pPr>
            <w:r w:rsidRPr="00736108">
              <w:rPr>
                <w:rFonts w:ascii="新細明體" w:hAnsi="新細明體" w:cs="細明體" w:hint="eastAsia"/>
                <w:szCs w:val="24"/>
              </w:rPr>
              <w:t>認可證券登記公司總會為行業組織，其成員必須為認可股份登記機構</w:t>
            </w:r>
          </w:p>
          <w:p w:rsidR="00D376CE" w:rsidRPr="00736108" w:rsidRDefault="00D376CE" w:rsidP="0000284D">
            <w:pPr>
              <w:widowControl/>
              <w:numPr>
                <w:ilvl w:val="0"/>
                <w:numId w:val="8"/>
              </w:numPr>
              <w:spacing w:line="400" w:lineRule="atLeast"/>
              <w:rPr>
                <w:rFonts w:ascii="新細明體" w:hAnsi="新細明體"/>
                <w:szCs w:val="24"/>
              </w:rPr>
            </w:pPr>
            <w:r w:rsidRPr="00736108">
              <w:rPr>
                <w:rFonts w:ascii="新細明體" w:hAnsi="新細明體" w:cs="細明體" w:hint="eastAsia"/>
                <w:szCs w:val="24"/>
              </w:rPr>
              <w:t>規定認可股份登記機構必須遵守《股份登記機構操守準則》的規定</w:t>
            </w:r>
          </w:p>
        </w:tc>
      </w:tr>
      <w:tr w:rsidR="00D376CE" w:rsidRPr="00320151" w:rsidTr="0051498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CE0B2F">
            <w:pPr>
              <w:pStyle w:val="Web"/>
              <w:spacing w:before="0" w:beforeAutospacing="0" w:after="0" w:afterAutospacing="0" w:line="400" w:lineRule="atLeast"/>
            </w:pPr>
            <w:r w:rsidRPr="00736108">
              <w:rPr>
                <w:rFonts w:cs="細明體" w:hint="eastAsia"/>
              </w:rPr>
              <w:t>投資者賠償有限公司</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00284D">
            <w:pPr>
              <w:widowControl/>
              <w:numPr>
                <w:ilvl w:val="0"/>
                <w:numId w:val="9"/>
              </w:numPr>
              <w:spacing w:line="400" w:lineRule="atLeast"/>
              <w:rPr>
                <w:rFonts w:ascii="新細明體" w:hAnsi="新細明體"/>
                <w:szCs w:val="24"/>
              </w:rPr>
            </w:pPr>
            <w:r w:rsidRPr="00736108">
              <w:rPr>
                <w:rFonts w:ascii="新細明體" w:hAnsi="新細明體" w:cs="細明體" w:hint="eastAsia"/>
                <w:szCs w:val="24"/>
              </w:rPr>
              <w:t>認可投資者賠償有限公司為獨立的賠償公司</w:t>
            </w:r>
          </w:p>
          <w:p w:rsidR="00D376CE" w:rsidRPr="00736108" w:rsidRDefault="00D376CE" w:rsidP="0000284D">
            <w:pPr>
              <w:widowControl/>
              <w:numPr>
                <w:ilvl w:val="0"/>
                <w:numId w:val="9"/>
              </w:numPr>
              <w:spacing w:line="400" w:lineRule="atLeast"/>
              <w:rPr>
                <w:rFonts w:ascii="新細明體" w:hAnsi="新細明體"/>
                <w:szCs w:val="24"/>
              </w:rPr>
            </w:pPr>
            <w:r w:rsidRPr="00736108">
              <w:rPr>
                <w:rFonts w:ascii="新細明體" w:hAnsi="新細明體" w:cs="細明體" w:hint="eastAsia"/>
                <w:szCs w:val="24"/>
              </w:rPr>
              <w:t>核准投資者賠償有限公司的規則及相關修訂</w:t>
            </w:r>
          </w:p>
          <w:p w:rsidR="00D376CE" w:rsidRPr="00736108" w:rsidRDefault="00D376CE" w:rsidP="0000284D">
            <w:pPr>
              <w:widowControl/>
              <w:numPr>
                <w:ilvl w:val="0"/>
                <w:numId w:val="9"/>
              </w:numPr>
              <w:spacing w:line="400" w:lineRule="atLeast"/>
              <w:rPr>
                <w:rFonts w:ascii="新細明體" w:hAnsi="新細明體"/>
                <w:szCs w:val="24"/>
              </w:rPr>
            </w:pPr>
            <w:r w:rsidRPr="00736108">
              <w:rPr>
                <w:rFonts w:ascii="新細明體" w:hAnsi="新細明體" w:cs="細明體" w:hint="eastAsia"/>
                <w:szCs w:val="24"/>
              </w:rPr>
              <w:t>規定投資者賠償有限公司</w:t>
            </w:r>
            <w:proofErr w:type="gramStart"/>
            <w:r w:rsidRPr="00736108">
              <w:rPr>
                <w:rFonts w:ascii="新細明體" w:hAnsi="新細明體" w:cs="細明體" w:hint="eastAsia"/>
                <w:szCs w:val="24"/>
              </w:rPr>
              <w:t>必須擬備並</w:t>
            </w:r>
            <w:proofErr w:type="gramEnd"/>
            <w:r w:rsidRPr="00736108">
              <w:rPr>
                <w:rFonts w:ascii="新細明體" w:hAnsi="新細明體" w:cs="細明體" w:hint="eastAsia"/>
                <w:szCs w:val="24"/>
              </w:rPr>
              <w:t>定期向證監會呈交財務報表、核數師報告及其他文件</w:t>
            </w:r>
          </w:p>
        </w:tc>
      </w:tr>
      <w:tr w:rsidR="00D376CE" w:rsidRPr="00320151" w:rsidTr="0051498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CE0B2F">
            <w:pPr>
              <w:pStyle w:val="p1"/>
              <w:spacing w:before="0" w:beforeAutospacing="0" w:after="0" w:afterAutospacing="0" w:line="400" w:lineRule="atLeast"/>
              <w:rPr>
                <w:rFonts w:ascii="新細明體" w:hAnsi="新細明體"/>
              </w:rPr>
            </w:pPr>
            <w:r w:rsidRPr="00736108">
              <w:rPr>
                <w:rFonts w:ascii="新細明體" w:hAnsi="新細明體" w:cs="細明體" w:hint="eastAsia"/>
              </w:rPr>
              <w:t>行業及市場參與者</w:t>
            </w:r>
            <w:r w:rsidRPr="00736108">
              <w:rPr>
                <w:rFonts w:ascii="新細明體" w:hAnsi="新細明體" w:cs="Verdana"/>
              </w:rPr>
              <w:t>(</w:t>
            </w:r>
            <w:r w:rsidRPr="00736108">
              <w:rPr>
                <w:rFonts w:ascii="新細明體" w:hAnsi="新細明體" w:cs="細明體" w:hint="eastAsia"/>
              </w:rPr>
              <w:t>包括投資</w:t>
            </w:r>
            <w:r w:rsidRPr="00736108">
              <w:rPr>
                <w:rFonts w:ascii="新細明體" w:hAnsi="新細明體" w:cs="細明體" w:hint="eastAsia"/>
              </w:rPr>
              <w:lastRenderedPageBreak/>
              <w:t>者</w:t>
            </w:r>
            <w:r w:rsidRPr="00736108">
              <w:rPr>
                <w:rFonts w:ascii="新細明體" w:hAnsi="新細明體"/>
              </w:rPr>
              <w:t>)</w:t>
            </w:r>
          </w:p>
        </w:tc>
        <w:tc>
          <w:tcPr>
            <w:tcW w:w="0" w:type="auto"/>
            <w:tcBorders>
              <w:top w:val="single" w:sz="4" w:space="0" w:color="auto"/>
              <w:left w:val="single" w:sz="4" w:space="0" w:color="auto"/>
              <w:bottom w:val="single" w:sz="4" w:space="0" w:color="auto"/>
              <w:right w:val="single" w:sz="4" w:space="0" w:color="auto"/>
            </w:tcBorders>
            <w:vAlign w:val="center"/>
          </w:tcPr>
          <w:p w:rsidR="00D376CE" w:rsidRPr="00736108" w:rsidRDefault="00D376CE" w:rsidP="0000284D">
            <w:pPr>
              <w:widowControl/>
              <w:numPr>
                <w:ilvl w:val="0"/>
                <w:numId w:val="10"/>
              </w:numPr>
              <w:spacing w:line="400" w:lineRule="atLeast"/>
              <w:rPr>
                <w:rFonts w:ascii="新細明體" w:hAnsi="新細明體"/>
                <w:szCs w:val="24"/>
              </w:rPr>
            </w:pPr>
            <w:r w:rsidRPr="00736108">
              <w:rPr>
                <w:rFonts w:ascii="新細明體" w:hAnsi="新細明體" w:cs="細明體" w:hint="eastAsia"/>
                <w:szCs w:val="24"/>
              </w:rPr>
              <w:lastRenderedPageBreak/>
              <w:t>監察不尋常的市場活動</w:t>
            </w:r>
            <w:r w:rsidRPr="00736108">
              <w:rPr>
                <w:rFonts w:ascii="新細明體" w:hAnsi="新細明體" w:cs="Verdana"/>
                <w:szCs w:val="24"/>
              </w:rPr>
              <w:t>,</w:t>
            </w:r>
            <w:r w:rsidRPr="00736108">
              <w:rPr>
                <w:rFonts w:ascii="新細明體" w:hAnsi="新細明體" w:cs="細明體" w:hint="eastAsia"/>
                <w:szCs w:val="24"/>
              </w:rPr>
              <w:t>並針對個別股份發出</w:t>
            </w:r>
            <w:r w:rsidRPr="00736108">
              <w:rPr>
                <w:rFonts w:ascii="新細明體" w:hAnsi="新細明體" w:cs="細明體" w:hint="eastAsia"/>
                <w:szCs w:val="24"/>
              </w:rPr>
              <w:lastRenderedPageBreak/>
              <w:t>暫停交易指示，以確保市場信息流通、運作有序</w:t>
            </w:r>
          </w:p>
          <w:p w:rsidR="00D376CE" w:rsidRPr="00736108" w:rsidRDefault="00D376CE" w:rsidP="0000284D">
            <w:pPr>
              <w:widowControl/>
              <w:numPr>
                <w:ilvl w:val="0"/>
                <w:numId w:val="10"/>
              </w:numPr>
              <w:spacing w:line="400" w:lineRule="atLeast"/>
              <w:rPr>
                <w:rFonts w:ascii="新細明體" w:hAnsi="新細明體"/>
                <w:szCs w:val="24"/>
              </w:rPr>
            </w:pPr>
            <w:r w:rsidRPr="00736108">
              <w:rPr>
                <w:rFonts w:ascii="新細明體" w:hAnsi="新細明體" w:cs="細明體" w:hint="eastAsia"/>
                <w:szCs w:val="24"/>
              </w:rPr>
              <w:t>調查市場失當行為及其他違法事項並採取相應行動</w:t>
            </w:r>
          </w:p>
        </w:tc>
      </w:tr>
    </w:tbl>
    <w:p w:rsidR="00D376CE" w:rsidRDefault="00D376CE"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1A3418" w:rsidRDefault="001A3418" w:rsidP="00CE0B2F">
      <w:pPr>
        <w:rPr>
          <w:rFonts w:eastAsia="細明體" w:hAnsi="細明體"/>
          <w:b/>
          <w:bCs/>
          <w:kern w:val="52"/>
          <w:szCs w:val="24"/>
        </w:rPr>
      </w:pPr>
    </w:p>
    <w:p w:rsidR="00D376CE" w:rsidRDefault="00D376CE" w:rsidP="00CE0B2F">
      <w:pPr>
        <w:rPr>
          <w:rFonts w:eastAsia="細明體" w:hAnsi="細明體"/>
          <w:b/>
          <w:bCs/>
          <w:kern w:val="52"/>
          <w:szCs w:val="24"/>
        </w:rPr>
      </w:pPr>
    </w:p>
    <w:p w:rsidR="00D376CE" w:rsidRDefault="0033577E" w:rsidP="00940669">
      <w:pPr>
        <w:pStyle w:val="23"/>
      </w:pPr>
      <w:bookmarkStart w:id="7" w:name="_Toc408301454"/>
      <w:r>
        <w:rPr>
          <w:rFonts w:hint="eastAsia"/>
        </w:rPr>
        <w:lastRenderedPageBreak/>
        <w:t>三、</w:t>
      </w:r>
      <w:r w:rsidR="00D376CE">
        <w:rPr>
          <w:rFonts w:hint="eastAsia"/>
        </w:rPr>
        <w:t>組織架構</w:t>
      </w:r>
      <w:bookmarkEnd w:id="7"/>
    </w:p>
    <w:p w:rsidR="00940669" w:rsidRDefault="00940669" w:rsidP="00940669">
      <w:pPr>
        <w:pStyle w:val="23"/>
      </w:pPr>
    </w:p>
    <w:p w:rsidR="00B6733D" w:rsidRDefault="00B6733D" w:rsidP="00940669">
      <w:pPr>
        <w:pStyle w:val="23"/>
      </w:pPr>
    </w:p>
    <w:p w:rsidR="00D376CE" w:rsidRDefault="00D376CE" w:rsidP="00CE0B2F">
      <w:pPr>
        <w:rPr>
          <w:rFonts w:eastAsia="細明體" w:hAnsi="細明體"/>
          <w:b/>
          <w:bCs/>
          <w:kern w:val="52"/>
          <w:szCs w:val="24"/>
        </w:rPr>
      </w:pPr>
      <w:r>
        <w:rPr>
          <w:noProof/>
        </w:rPr>
        <w:drawing>
          <wp:inline distT="0" distB="0" distL="0" distR="0" wp14:anchorId="368CD4B8" wp14:editId="53C95C87">
            <wp:extent cx="5257800" cy="6121400"/>
            <wp:effectExtent l="0" t="0" r="0" b="0"/>
            <wp:docPr id="3" name="圖片 3" descr="組織架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組織架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6121400"/>
                    </a:xfrm>
                    <a:prstGeom prst="rect">
                      <a:avLst/>
                    </a:prstGeom>
                    <a:noFill/>
                    <a:ln>
                      <a:noFill/>
                    </a:ln>
                  </pic:spPr>
                </pic:pic>
              </a:graphicData>
            </a:graphic>
          </wp:inline>
        </w:drawing>
      </w:r>
    </w:p>
    <w:p w:rsidR="0078456D" w:rsidRDefault="0078456D">
      <w:pPr>
        <w:widowControl/>
        <w:rPr>
          <w:rFonts w:eastAsia="細明體" w:hAnsi="細明體"/>
          <w:b/>
          <w:bCs/>
          <w:kern w:val="52"/>
          <w:szCs w:val="24"/>
        </w:rPr>
      </w:pPr>
      <w:r>
        <w:rPr>
          <w:rFonts w:eastAsia="細明體" w:hAnsi="細明體"/>
          <w:b/>
          <w:bCs/>
          <w:kern w:val="52"/>
          <w:szCs w:val="24"/>
        </w:rPr>
        <w:br w:type="page"/>
      </w:r>
    </w:p>
    <w:p w:rsidR="00CC126D" w:rsidRPr="00385CBB" w:rsidRDefault="0078456D" w:rsidP="00385CBB">
      <w:pPr>
        <w:pStyle w:val="1"/>
        <w:ind w:left="1281" w:hanging="1281"/>
        <w:rPr>
          <w:rFonts w:eastAsia="細明體" w:hAnsi="細明體"/>
          <w:szCs w:val="36"/>
        </w:rPr>
      </w:pPr>
      <w:bookmarkStart w:id="8" w:name="_Toc408301455"/>
      <w:r>
        <w:rPr>
          <w:rFonts w:eastAsia="細明體" w:hAnsi="細明體" w:hint="eastAsia"/>
          <w:spacing w:val="-8"/>
        </w:rPr>
        <w:lastRenderedPageBreak/>
        <w:t>第六屆</w:t>
      </w:r>
      <w:proofErr w:type="gramStart"/>
      <w:r w:rsidR="00385CBB" w:rsidRPr="00320151">
        <w:rPr>
          <w:rFonts w:eastAsia="細明體" w:hAnsi="細明體" w:hint="eastAsia"/>
          <w:spacing w:val="-8"/>
        </w:rPr>
        <w:t>臺</w:t>
      </w:r>
      <w:proofErr w:type="gramEnd"/>
      <w:r w:rsidR="00385CBB" w:rsidRPr="00320151">
        <w:rPr>
          <w:rFonts w:eastAsia="細明體" w:hAnsi="細明體" w:hint="eastAsia"/>
          <w:spacing w:val="-8"/>
        </w:rPr>
        <w:t>港證券監理機關加強聯繫與合作會議</w:t>
      </w:r>
      <w:bookmarkEnd w:id="8"/>
    </w:p>
    <w:p w:rsidR="00385CBB" w:rsidRPr="001C0B3E" w:rsidRDefault="00385CBB" w:rsidP="00736108">
      <w:pPr>
        <w:pStyle w:val="1"/>
        <w:numPr>
          <w:ilvl w:val="0"/>
          <w:numId w:val="0"/>
        </w:numPr>
        <w:spacing w:line="460" w:lineRule="exact"/>
        <w:rPr>
          <w:rFonts w:eastAsia="細明體" w:hAnsi="細明體"/>
          <w:szCs w:val="36"/>
        </w:rPr>
      </w:pPr>
    </w:p>
    <w:p w:rsidR="004B35DC" w:rsidRPr="00736108" w:rsidRDefault="00385CBB" w:rsidP="0000284D">
      <w:pPr>
        <w:pStyle w:val="23"/>
        <w:numPr>
          <w:ilvl w:val="0"/>
          <w:numId w:val="23"/>
        </w:numPr>
        <w:spacing w:line="460" w:lineRule="exact"/>
        <w:rPr>
          <w:rFonts w:ascii="新細明體" w:eastAsia="新細明體" w:hAnsi="新細明體"/>
        </w:rPr>
      </w:pPr>
      <w:bookmarkStart w:id="9" w:name="_Toc408301456"/>
      <w:r w:rsidRPr="00736108">
        <w:rPr>
          <w:rFonts w:ascii="新細明體" w:eastAsia="新細明體" w:hAnsi="新細明體" w:hint="eastAsia"/>
        </w:rPr>
        <w:t>議程安排</w:t>
      </w:r>
      <w:bookmarkEnd w:id="9"/>
    </w:p>
    <w:p w:rsidR="00385CBB" w:rsidRPr="00736108" w:rsidRDefault="00385CBB" w:rsidP="0000284D">
      <w:pPr>
        <w:numPr>
          <w:ilvl w:val="0"/>
          <w:numId w:val="22"/>
        </w:numPr>
        <w:tabs>
          <w:tab w:val="num" w:pos="720"/>
        </w:tabs>
        <w:spacing w:beforeLines="50" w:before="180" w:line="460" w:lineRule="exact"/>
        <w:ind w:leftChars="100" w:left="720"/>
        <w:jc w:val="both"/>
        <w:rPr>
          <w:rFonts w:ascii="新細明體" w:hAnsi="新細明體"/>
          <w:spacing w:val="-4"/>
          <w:szCs w:val="24"/>
        </w:rPr>
      </w:pPr>
      <w:r w:rsidRPr="00736108">
        <w:rPr>
          <w:rFonts w:ascii="新細明體" w:hAnsi="新細明體" w:hint="eastAsia"/>
          <w:spacing w:val="-4"/>
          <w:szCs w:val="24"/>
        </w:rPr>
        <w:t>歡迎晚宴</w:t>
      </w:r>
      <w:r w:rsidRPr="00736108">
        <w:rPr>
          <w:rFonts w:ascii="新細明體" w:hAnsi="新細明體"/>
          <w:spacing w:val="-4"/>
          <w:szCs w:val="24"/>
        </w:rPr>
        <w:t xml:space="preserve"> </w:t>
      </w:r>
      <w:proofErr w:type="gramStart"/>
      <w:r w:rsidRPr="00736108">
        <w:rPr>
          <w:rFonts w:ascii="新細明體" w:hAnsi="新細明體" w:hint="eastAsia"/>
          <w:spacing w:val="-4"/>
          <w:szCs w:val="24"/>
        </w:rPr>
        <w:t>﹕</w:t>
      </w:r>
      <w:proofErr w:type="gramEnd"/>
      <w:r w:rsidR="0078456D" w:rsidRPr="00736108">
        <w:rPr>
          <w:rFonts w:ascii="新細明體" w:hAnsi="新細明體" w:hint="eastAsia"/>
          <w:spacing w:val="-4"/>
          <w:szCs w:val="24"/>
        </w:rPr>
        <w:t>103</w:t>
      </w:r>
      <w:r w:rsidRPr="00736108">
        <w:rPr>
          <w:rFonts w:ascii="新細明體" w:hAnsi="新細明體" w:hint="eastAsia"/>
          <w:spacing w:val="-4"/>
          <w:szCs w:val="24"/>
          <w:lang w:eastAsia="zh-HK"/>
        </w:rPr>
        <w:t>年</w:t>
      </w:r>
      <w:r w:rsidRPr="00736108">
        <w:rPr>
          <w:rFonts w:ascii="新細明體" w:hAnsi="新細明體"/>
          <w:spacing w:val="-4"/>
          <w:szCs w:val="24"/>
          <w:lang w:eastAsia="zh-HK"/>
        </w:rPr>
        <w:t>1</w:t>
      </w:r>
      <w:r w:rsidRPr="00736108">
        <w:rPr>
          <w:rFonts w:ascii="新細明體" w:hAnsi="新細明體"/>
          <w:spacing w:val="-4"/>
          <w:szCs w:val="24"/>
        </w:rPr>
        <w:t>2</w:t>
      </w:r>
      <w:r w:rsidRPr="00736108">
        <w:rPr>
          <w:rFonts w:ascii="新細明體" w:hAnsi="新細明體" w:hint="eastAsia"/>
          <w:spacing w:val="-4"/>
          <w:szCs w:val="24"/>
          <w:lang w:eastAsia="zh-HK"/>
        </w:rPr>
        <w:t>月</w:t>
      </w:r>
      <w:r w:rsidRPr="00736108">
        <w:rPr>
          <w:rFonts w:ascii="新細明體" w:hAnsi="新細明體" w:hint="eastAsia"/>
          <w:spacing w:val="-4"/>
          <w:szCs w:val="24"/>
        </w:rPr>
        <w:t>11</w:t>
      </w:r>
      <w:r w:rsidRPr="00736108">
        <w:rPr>
          <w:rFonts w:ascii="新細明體" w:hAnsi="新細明體" w:hint="eastAsia"/>
          <w:spacing w:val="-4"/>
          <w:szCs w:val="24"/>
          <w:lang w:eastAsia="zh-HK"/>
        </w:rPr>
        <w:t>日</w:t>
      </w:r>
      <w:r w:rsidRPr="00736108">
        <w:rPr>
          <w:rFonts w:ascii="新細明體" w:hAnsi="新細明體" w:hint="eastAsia"/>
          <w:spacing w:val="-4"/>
          <w:szCs w:val="24"/>
        </w:rPr>
        <w:t>（星期四）</w:t>
      </w:r>
      <w:r w:rsidRPr="00736108">
        <w:rPr>
          <w:rFonts w:ascii="新細明體" w:hAnsi="新細明體"/>
          <w:spacing w:val="-4"/>
          <w:szCs w:val="24"/>
          <w:lang w:eastAsia="zh-HK"/>
        </w:rPr>
        <w:t xml:space="preserve"> (</w:t>
      </w:r>
      <w:r w:rsidRPr="00736108">
        <w:rPr>
          <w:rFonts w:ascii="新細明體" w:hAnsi="新細明體" w:hint="eastAsia"/>
          <w:spacing w:val="-4"/>
          <w:szCs w:val="24"/>
        </w:rPr>
        <w:t>香港證監會</w:t>
      </w:r>
      <w:r w:rsidR="008A37E2" w:rsidRPr="00736108">
        <w:rPr>
          <w:rFonts w:ascii="新細明體" w:hAnsi="新細明體" w:hint="eastAsia"/>
          <w:spacing w:val="-4"/>
          <w:szCs w:val="24"/>
        </w:rPr>
        <w:t>張</w:t>
      </w:r>
      <w:r w:rsidR="0078456D" w:rsidRPr="00736108">
        <w:rPr>
          <w:rFonts w:ascii="新細明體" w:hAnsi="新細明體" w:hint="eastAsia"/>
          <w:spacing w:val="-4"/>
          <w:szCs w:val="24"/>
        </w:rPr>
        <w:t>副行政</w:t>
      </w:r>
      <w:proofErr w:type="gramStart"/>
      <w:r w:rsidR="0078456D" w:rsidRPr="00736108">
        <w:rPr>
          <w:rFonts w:ascii="新細明體" w:hAnsi="新細明體" w:hint="eastAsia"/>
          <w:spacing w:val="-4"/>
          <w:szCs w:val="24"/>
        </w:rPr>
        <w:t>總裁</w:t>
      </w:r>
      <w:r w:rsidRPr="00736108">
        <w:rPr>
          <w:rFonts w:ascii="新細明體" w:hAnsi="新細明體" w:hint="eastAsia"/>
          <w:spacing w:val="-4"/>
          <w:szCs w:val="24"/>
        </w:rPr>
        <w:t>灼華</w:t>
      </w:r>
      <w:r w:rsidRPr="00736108">
        <w:rPr>
          <w:rFonts w:ascii="新細明體" w:hAnsi="新細明體" w:hint="eastAsia"/>
          <w:spacing w:val="-4"/>
          <w:szCs w:val="24"/>
          <w:lang w:val="en-GB"/>
        </w:rPr>
        <w:t>主持</w:t>
      </w:r>
      <w:proofErr w:type="gramEnd"/>
      <w:r w:rsidRPr="00736108">
        <w:rPr>
          <w:rFonts w:ascii="新細明體" w:hAnsi="新細明體"/>
          <w:spacing w:val="-4"/>
          <w:szCs w:val="24"/>
        </w:rPr>
        <w:t>)</w:t>
      </w:r>
    </w:p>
    <w:p w:rsidR="00385CBB" w:rsidRPr="00736108" w:rsidRDefault="00385CBB" w:rsidP="0000284D">
      <w:pPr>
        <w:numPr>
          <w:ilvl w:val="0"/>
          <w:numId w:val="22"/>
        </w:numPr>
        <w:tabs>
          <w:tab w:val="num" w:pos="720"/>
        </w:tabs>
        <w:spacing w:beforeLines="50" w:before="180" w:line="460" w:lineRule="exact"/>
        <w:ind w:leftChars="100" w:left="720"/>
        <w:jc w:val="both"/>
        <w:rPr>
          <w:rFonts w:ascii="新細明體" w:hAnsi="新細明體"/>
          <w:szCs w:val="24"/>
          <w:lang w:eastAsia="zh-HK"/>
        </w:rPr>
      </w:pPr>
      <w:r w:rsidRPr="00736108">
        <w:rPr>
          <w:rFonts w:ascii="新細明體" w:hAnsi="新細明體" w:hint="eastAsia"/>
          <w:szCs w:val="24"/>
          <w:lang w:eastAsia="zh-HK"/>
        </w:rPr>
        <w:t>會議日期：</w:t>
      </w:r>
      <w:r w:rsidR="0078456D" w:rsidRPr="00736108">
        <w:rPr>
          <w:rFonts w:ascii="新細明體" w:hAnsi="新細明體" w:hint="eastAsia"/>
          <w:szCs w:val="24"/>
        </w:rPr>
        <w:t>103</w:t>
      </w:r>
      <w:r w:rsidRPr="00736108">
        <w:rPr>
          <w:rFonts w:ascii="新細明體" w:hAnsi="新細明體" w:hint="eastAsia"/>
          <w:szCs w:val="24"/>
          <w:lang w:eastAsia="zh-HK"/>
        </w:rPr>
        <w:t>年</w:t>
      </w:r>
      <w:r w:rsidRPr="00736108">
        <w:rPr>
          <w:rFonts w:ascii="新細明體" w:hAnsi="新細明體"/>
          <w:szCs w:val="24"/>
          <w:lang w:eastAsia="zh-HK"/>
        </w:rPr>
        <w:t>12</w:t>
      </w:r>
      <w:r w:rsidRPr="00736108">
        <w:rPr>
          <w:rFonts w:ascii="新細明體" w:hAnsi="新細明體" w:hint="eastAsia"/>
          <w:szCs w:val="24"/>
          <w:lang w:eastAsia="zh-HK"/>
        </w:rPr>
        <w:t>月</w:t>
      </w:r>
      <w:r w:rsidRPr="00736108">
        <w:rPr>
          <w:rFonts w:ascii="新細明體" w:hAnsi="新細明體" w:hint="eastAsia"/>
          <w:szCs w:val="24"/>
        </w:rPr>
        <w:t>12</w:t>
      </w:r>
      <w:r w:rsidRPr="00736108">
        <w:rPr>
          <w:rFonts w:ascii="新細明體" w:hAnsi="新細明體" w:hint="eastAsia"/>
          <w:szCs w:val="24"/>
          <w:lang w:eastAsia="zh-HK"/>
        </w:rPr>
        <w:t>日（星期五）</w:t>
      </w:r>
    </w:p>
    <w:p w:rsidR="00385CBB" w:rsidRPr="00736108" w:rsidRDefault="00385CBB" w:rsidP="0000284D">
      <w:pPr>
        <w:numPr>
          <w:ilvl w:val="0"/>
          <w:numId w:val="22"/>
        </w:numPr>
        <w:tabs>
          <w:tab w:val="num" w:pos="720"/>
        </w:tabs>
        <w:spacing w:beforeLines="50" w:before="180" w:line="460" w:lineRule="exact"/>
        <w:ind w:leftChars="100" w:left="720"/>
        <w:jc w:val="both"/>
        <w:rPr>
          <w:rFonts w:ascii="新細明體" w:hAnsi="新細明體"/>
          <w:szCs w:val="24"/>
        </w:rPr>
      </w:pPr>
      <w:r w:rsidRPr="00736108">
        <w:rPr>
          <w:rFonts w:ascii="新細明體" w:hAnsi="新細明體" w:hint="eastAsia"/>
          <w:szCs w:val="24"/>
          <w:lang w:eastAsia="zh-HK"/>
        </w:rPr>
        <w:t>會議地點：</w:t>
      </w:r>
      <w:r w:rsidR="0069078A" w:rsidRPr="00736108">
        <w:rPr>
          <w:rFonts w:ascii="新細明體" w:hAnsi="新細明體" w:hint="eastAsia"/>
          <w:szCs w:val="24"/>
        </w:rPr>
        <w:t xml:space="preserve"> </w:t>
      </w:r>
      <w:r w:rsidRPr="00736108">
        <w:rPr>
          <w:rFonts w:ascii="新細明體" w:hAnsi="新細明體" w:hint="eastAsia"/>
          <w:szCs w:val="24"/>
        </w:rPr>
        <w:t>證監會會議室</w:t>
      </w:r>
      <w:r w:rsidRPr="00736108">
        <w:rPr>
          <w:rFonts w:ascii="新細明體" w:hAnsi="新細明體"/>
          <w:szCs w:val="24"/>
        </w:rPr>
        <w:t xml:space="preserve"> </w:t>
      </w:r>
      <w:r w:rsidRPr="00736108">
        <w:rPr>
          <w:rFonts w:ascii="新細明體" w:hAnsi="新細明體" w:hint="eastAsia"/>
          <w:szCs w:val="24"/>
        </w:rPr>
        <w:t>（香港中環皇后大道中2號長江集團中心35樓）</w:t>
      </w:r>
    </w:p>
    <w:p w:rsidR="00385CBB" w:rsidRPr="00736108" w:rsidRDefault="00385CBB" w:rsidP="0000284D">
      <w:pPr>
        <w:numPr>
          <w:ilvl w:val="0"/>
          <w:numId w:val="22"/>
        </w:numPr>
        <w:tabs>
          <w:tab w:val="num" w:pos="720"/>
        </w:tabs>
        <w:spacing w:beforeLines="50" w:before="180" w:line="460" w:lineRule="exact"/>
        <w:ind w:leftChars="100" w:left="720"/>
        <w:jc w:val="both"/>
        <w:rPr>
          <w:rFonts w:ascii="新細明體" w:hAnsi="新細明體"/>
          <w:szCs w:val="24"/>
        </w:rPr>
      </w:pPr>
      <w:r w:rsidRPr="00736108">
        <w:rPr>
          <w:rFonts w:ascii="新細明體" w:hAnsi="新細明體" w:hint="eastAsia"/>
          <w:szCs w:val="24"/>
          <w:lang w:eastAsia="zh-HK"/>
        </w:rPr>
        <w:t>參與</w:t>
      </w:r>
      <w:r w:rsidRPr="00736108">
        <w:rPr>
          <w:rFonts w:ascii="新細明體" w:hAnsi="新細明體" w:hint="eastAsia"/>
          <w:szCs w:val="24"/>
        </w:rPr>
        <w:t>單位</w:t>
      </w:r>
      <w:r w:rsidRPr="00736108">
        <w:rPr>
          <w:rFonts w:ascii="新細明體" w:hAnsi="新細明體" w:hint="eastAsia"/>
          <w:szCs w:val="24"/>
          <w:lang w:eastAsia="zh-HK"/>
        </w:rPr>
        <w:t>：</w:t>
      </w:r>
    </w:p>
    <w:p w:rsidR="00385CBB" w:rsidRPr="00736108" w:rsidRDefault="00385CBB" w:rsidP="00736108">
      <w:pPr>
        <w:spacing w:line="460" w:lineRule="exact"/>
        <w:ind w:leftChars="325" w:left="780" w:firstLine="420"/>
        <w:jc w:val="both"/>
        <w:rPr>
          <w:rFonts w:ascii="新細明體" w:hAnsi="新細明體"/>
          <w:szCs w:val="24"/>
        </w:rPr>
      </w:pPr>
      <w:r w:rsidRPr="00736108">
        <w:rPr>
          <w:rFonts w:ascii="新細明體" w:hAnsi="新細明體"/>
          <w:szCs w:val="24"/>
        </w:rPr>
        <w:sym w:font="Wingdings" w:char="F0D8"/>
      </w:r>
      <w:r w:rsidR="0078456D" w:rsidRPr="00736108">
        <w:rPr>
          <w:rFonts w:ascii="新細明體" w:hAnsi="新細明體" w:hint="eastAsia"/>
          <w:szCs w:val="24"/>
          <w:lang w:eastAsia="zh-HK"/>
        </w:rPr>
        <w:t>香港證券及期貨事務監察委員會（證</w:t>
      </w:r>
      <w:r w:rsidR="0078456D" w:rsidRPr="00736108">
        <w:rPr>
          <w:rFonts w:ascii="新細明體" w:hAnsi="新細明體" w:hint="eastAsia"/>
          <w:szCs w:val="24"/>
        </w:rPr>
        <w:t>監會</w:t>
      </w:r>
      <w:r w:rsidR="0078456D" w:rsidRPr="00736108">
        <w:rPr>
          <w:rFonts w:ascii="新細明體" w:hAnsi="新細明體" w:hint="eastAsia"/>
          <w:szCs w:val="24"/>
          <w:lang w:eastAsia="zh-HK"/>
        </w:rPr>
        <w:t>）</w:t>
      </w:r>
    </w:p>
    <w:p w:rsidR="00385CBB" w:rsidRPr="00736108" w:rsidRDefault="00385CBB" w:rsidP="00736108">
      <w:pPr>
        <w:spacing w:line="460" w:lineRule="exact"/>
        <w:ind w:leftChars="325" w:left="780" w:firstLine="420"/>
        <w:jc w:val="both"/>
        <w:rPr>
          <w:rFonts w:ascii="新細明體" w:hAnsi="新細明體"/>
          <w:szCs w:val="24"/>
        </w:rPr>
      </w:pPr>
      <w:r w:rsidRPr="00736108">
        <w:rPr>
          <w:rFonts w:ascii="新細明體" w:hAnsi="新細明體"/>
          <w:szCs w:val="24"/>
        </w:rPr>
        <w:sym w:font="Wingdings" w:char="F0D8"/>
      </w:r>
      <w:r w:rsidR="0078456D" w:rsidRPr="00736108">
        <w:rPr>
          <w:rFonts w:ascii="新細明體" w:hAnsi="新細明體" w:hint="eastAsia"/>
          <w:szCs w:val="24"/>
        </w:rPr>
        <w:t>臺灣</w:t>
      </w:r>
      <w:r w:rsidR="0078456D" w:rsidRPr="00736108">
        <w:rPr>
          <w:rFonts w:ascii="新細明體" w:hAnsi="新細明體" w:hint="eastAsia"/>
          <w:szCs w:val="24"/>
          <w:lang w:eastAsia="zh-HK"/>
        </w:rPr>
        <w:t>金融監督管理委員會</w:t>
      </w:r>
    </w:p>
    <w:p w:rsidR="00385CBB" w:rsidRPr="00736108" w:rsidRDefault="00385CBB" w:rsidP="0000284D">
      <w:pPr>
        <w:numPr>
          <w:ilvl w:val="0"/>
          <w:numId w:val="22"/>
        </w:numPr>
        <w:tabs>
          <w:tab w:val="clear" w:pos="622"/>
          <w:tab w:val="num" w:pos="720"/>
        </w:tabs>
        <w:spacing w:beforeLines="50" w:before="180" w:line="460" w:lineRule="exact"/>
        <w:ind w:leftChars="100" w:left="720"/>
        <w:jc w:val="both"/>
        <w:rPr>
          <w:rFonts w:ascii="新細明體" w:hAnsi="新細明體"/>
          <w:szCs w:val="24"/>
        </w:rPr>
      </w:pPr>
      <w:r w:rsidRPr="00736108">
        <w:rPr>
          <w:rFonts w:ascii="新細明體" w:hAnsi="新細明體" w:hint="eastAsia"/>
          <w:szCs w:val="24"/>
          <w:lang w:eastAsia="zh-HK"/>
        </w:rPr>
        <w:t>會議</w:t>
      </w:r>
      <w:r w:rsidRPr="00736108">
        <w:rPr>
          <w:rFonts w:ascii="新細明體" w:hAnsi="新細明體" w:hint="eastAsia"/>
          <w:szCs w:val="24"/>
        </w:rPr>
        <w:t>議程</w:t>
      </w:r>
      <w:r w:rsidRPr="00736108">
        <w:rPr>
          <w:rFonts w:ascii="新細明體" w:hAnsi="新細明體" w:hint="eastAsia"/>
          <w:szCs w:val="24"/>
          <w:lang w:eastAsia="zh-HK"/>
        </w:rPr>
        <w:t>：</w:t>
      </w:r>
    </w:p>
    <w:tbl>
      <w:tblPr>
        <w:tblpPr w:leftFromText="180" w:rightFromText="180" w:vertAnchor="page" w:horzAnchor="margin" w:tblpY="6961"/>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345"/>
      </w:tblGrid>
      <w:tr w:rsidR="00736108" w:rsidRPr="00D11553" w:rsidTr="00736108">
        <w:trPr>
          <w:trHeight w:val="567"/>
        </w:trPr>
        <w:tc>
          <w:tcPr>
            <w:tcW w:w="1673" w:type="dxa"/>
            <w:shd w:val="clear" w:color="auto" w:fill="666666"/>
          </w:tcPr>
          <w:p w:rsidR="00736108" w:rsidRPr="008A37E2" w:rsidRDefault="00736108" w:rsidP="00736108">
            <w:pPr>
              <w:jc w:val="both"/>
              <w:rPr>
                <w:rFonts w:asciiTheme="minorEastAsia" w:eastAsiaTheme="minorEastAsia" w:hAnsiTheme="minorEastAsia"/>
                <w:b/>
                <w:bCs/>
                <w:color w:val="FFFFFF"/>
                <w:szCs w:val="24"/>
              </w:rPr>
            </w:pPr>
            <w:r w:rsidRPr="008A37E2">
              <w:rPr>
                <w:rFonts w:asciiTheme="minorEastAsia" w:eastAsiaTheme="minorEastAsia" w:hAnsiTheme="minorEastAsia" w:cs="標楷體" w:hint="eastAsia"/>
                <w:b/>
                <w:bCs/>
                <w:color w:val="FFFFFF"/>
                <w:szCs w:val="24"/>
                <w:lang w:eastAsia="zh-HK"/>
              </w:rPr>
              <w:t>時間</w:t>
            </w:r>
            <w:r w:rsidRPr="008A37E2">
              <w:rPr>
                <w:rFonts w:asciiTheme="minorEastAsia" w:eastAsiaTheme="minorEastAsia" w:hAnsiTheme="minorEastAsia"/>
                <w:b/>
                <w:bCs/>
                <w:color w:val="FFFFFF"/>
                <w:szCs w:val="24"/>
                <w:lang w:eastAsia="zh-HK"/>
              </w:rPr>
              <w:t>Time</w:t>
            </w:r>
          </w:p>
        </w:tc>
        <w:tc>
          <w:tcPr>
            <w:tcW w:w="7345" w:type="dxa"/>
            <w:shd w:val="clear" w:color="auto" w:fill="666666"/>
            <w:vAlign w:val="center"/>
          </w:tcPr>
          <w:p w:rsidR="00736108" w:rsidRPr="008A37E2" w:rsidRDefault="00736108" w:rsidP="00736108">
            <w:pPr>
              <w:jc w:val="center"/>
              <w:rPr>
                <w:rFonts w:asciiTheme="minorEastAsia" w:eastAsiaTheme="minorEastAsia" w:hAnsiTheme="minorEastAsia"/>
                <w:b/>
                <w:bCs/>
                <w:color w:val="FFFFFF"/>
                <w:szCs w:val="24"/>
              </w:rPr>
            </w:pPr>
            <w:r w:rsidRPr="008A37E2">
              <w:rPr>
                <w:rFonts w:asciiTheme="minorEastAsia" w:eastAsiaTheme="minorEastAsia" w:hAnsiTheme="minorEastAsia" w:cs="標楷體" w:hint="eastAsia"/>
                <w:b/>
                <w:bCs/>
                <w:color w:val="FFFFFF"/>
                <w:szCs w:val="24"/>
                <w:lang w:eastAsia="zh-HK"/>
              </w:rPr>
              <w:t>議程</w:t>
            </w:r>
            <w:r w:rsidRPr="008A37E2">
              <w:rPr>
                <w:rFonts w:asciiTheme="minorEastAsia" w:eastAsiaTheme="minorEastAsia" w:hAnsiTheme="minorEastAsia"/>
                <w:b/>
                <w:bCs/>
                <w:color w:val="FFFFFF"/>
                <w:szCs w:val="24"/>
                <w:lang w:eastAsia="zh-HK"/>
              </w:rPr>
              <w:t>Agenda</w:t>
            </w:r>
          </w:p>
        </w:tc>
      </w:tr>
      <w:tr w:rsidR="00736108" w:rsidRPr="00D11553" w:rsidTr="00736108">
        <w:trPr>
          <w:trHeight w:val="1301"/>
        </w:trPr>
        <w:tc>
          <w:tcPr>
            <w:tcW w:w="1673" w:type="dxa"/>
          </w:tcPr>
          <w:p w:rsidR="00736108" w:rsidRPr="008A37E2" w:rsidRDefault="00736108" w:rsidP="00736108">
            <w:pPr>
              <w:spacing w:line="400" w:lineRule="exact"/>
              <w:jc w:val="both"/>
              <w:rPr>
                <w:rFonts w:asciiTheme="minorEastAsia" w:eastAsiaTheme="minorEastAsia" w:hAnsiTheme="minorEastAsia"/>
                <w:szCs w:val="24"/>
              </w:rPr>
            </w:pPr>
            <w:r w:rsidRPr="008A37E2">
              <w:rPr>
                <w:rFonts w:asciiTheme="minorEastAsia" w:eastAsiaTheme="minorEastAsia" w:hAnsiTheme="minorEastAsia"/>
                <w:szCs w:val="24"/>
                <w:lang w:eastAsia="zh-HK"/>
              </w:rPr>
              <w:t>9:</w:t>
            </w:r>
            <w:r w:rsidRPr="008A37E2">
              <w:rPr>
                <w:rFonts w:asciiTheme="minorEastAsia" w:eastAsiaTheme="minorEastAsia" w:hAnsiTheme="minorEastAsia"/>
                <w:szCs w:val="24"/>
              </w:rPr>
              <w:t>30</w:t>
            </w:r>
            <w:r w:rsidRPr="008A37E2">
              <w:rPr>
                <w:rFonts w:asciiTheme="minorEastAsia" w:eastAsiaTheme="minorEastAsia" w:hAnsiTheme="minorEastAsia"/>
                <w:szCs w:val="24"/>
                <w:lang w:eastAsia="zh-HK"/>
              </w:rPr>
              <w:t>~1</w:t>
            </w:r>
            <w:r w:rsidRPr="008A37E2">
              <w:rPr>
                <w:rFonts w:asciiTheme="minorEastAsia" w:eastAsiaTheme="minorEastAsia" w:hAnsiTheme="minorEastAsia"/>
                <w:szCs w:val="24"/>
                <w:lang w:eastAsia="zh-CN"/>
              </w:rPr>
              <w:t>0</w:t>
            </w:r>
            <w:r w:rsidRPr="008A37E2">
              <w:rPr>
                <w:rFonts w:asciiTheme="minorEastAsia" w:eastAsiaTheme="minorEastAsia" w:hAnsiTheme="minorEastAsia"/>
                <w:szCs w:val="24"/>
                <w:lang w:eastAsia="zh-HK"/>
              </w:rPr>
              <w:t>:</w:t>
            </w:r>
            <w:r w:rsidRPr="008A37E2">
              <w:rPr>
                <w:rFonts w:asciiTheme="minorEastAsia" w:eastAsiaTheme="minorEastAsia" w:hAnsiTheme="minorEastAsia"/>
                <w:szCs w:val="24"/>
              </w:rPr>
              <w:t>00</w:t>
            </w:r>
          </w:p>
        </w:tc>
        <w:tc>
          <w:tcPr>
            <w:tcW w:w="7345" w:type="dxa"/>
            <w:vAlign w:val="center"/>
          </w:tcPr>
          <w:p w:rsidR="00736108" w:rsidRPr="008A37E2" w:rsidRDefault="00736108" w:rsidP="00736108">
            <w:pPr>
              <w:spacing w:line="400" w:lineRule="exact"/>
              <w:jc w:val="both"/>
              <w:rPr>
                <w:rFonts w:asciiTheme="minorEastAsia" w:eastAsiaTheme="minorEastAsia" w:hAnsiTheme="minorEastAsia"/>
                <w:szCs w:val="24"/>
              </w:rPr>
            </w:pPr>
            <w:r w:rsidRPr="008A37E2">
              <w:rPr>
                <w:rFonts w:asciiTheme="minorEastAsia" w:eastAsiaTheme="minorEastAsia" w:hAnsiTheme="minorEastAsia" w:cs="標楷體" w:hint="eastAsia"/>
                <w:szCs w:val="24"/>
              </w:rPr>
              <w:t>開幕式／歡迎詞</w:t>
            </w:r>
            <w:r w:rsidRPr="008A37E2">
              <w:rPr>
                <w:rFonts w:asciiTheme="minorEastAsia" w:eastAsiaTheme="minorEastAsia" w:hAnsiTheme="minorEastAsia" w:cs="標楷體"/>
                <w:szCs w:val="24"/>
              </w:rPr>
              <w:t xml:space="preserve">  </w:t>
            </w:r>
          </w:p>
          <w:p w:rsidR="00736108" w:rsidRPr="008A37E2" w:rsidRDefault="00736108" w:rsidP="00736108">
            <w:pPr>
              <w:spacing w:line="400" w:lineRule="exact"/>
              <w:jc w:val="both"/>
              <w:rPr>
                <w:rStyle w:val="ad"/>
                <w:rFonts w:asciiTheme="minorEastAsia" w:eastAsiaTheme="minorEastAsia" w:hAnsiTheme="minorEastAsia" w:cs="標楷體"/>
                <w:i w:val="0"/>
                <w:iCs w:val="0"/>
                <w:szCs w:val="24"/>
              </w:rPr>
            </w:pPr>
            <w:r w:rsidRPr="008A37E2">
              <w:rPr>
                <w:rStyle w:val="ad"/>
                <w:rFonts w:asciiTheme="minorEastAsia" w:eastAsiaTheme="minorEastAsia" w:hAnsiTheme="minorEastAsia" w:cs="標楷體" w:hint="eastAsia"/>
                <w:i w:val="0"/>
                <w:iCs w:val="0"/>
                <w:szCs w:val="24"/>
              </w:rPr>
              <w:t>香港證監會代表</w:t>
            </w:r>
            <w:r w:rsidRPr="008A37E2">
              <w:rPr>
                <w:rStyle w:val="ad"/>
                <w:rFonts w:asciiTheme="minorEastAsia" w:eastAsiaTheme="minorEastAsia" w:hAnsiTheme="minorEastAsia" w:cs="標楷體"/>
                <w:i w:val="0"/>
                <w:iCs w:val="0"/>
                <w:szCs w:val="24"/>
              </w:rPr>
              <w:t xml:space="preserve"> </w:t>
            </w:r>
            <w:r w:rsidRPr="008A37E2">
              <w:rPr>
                <w:rStyle w:val="ad"/>
                <w:rFonts w:asciiTheme="minorEastAsia" w:eastAsiaTheme="minorEastAsia" w:hAnsiTheme="minorEastAsia" w:cs="標楷體" w:hint="eastAsia"/>
                <w:i w:val="0"/>
                <w:iCs w:val="0"/>
                <w:szCs w:val="24"/>
              </w:rPr>
              <w:t>張灼華副行政總裁致詞</w:t>
            </w:r>
          </w:p>
          <w:p w:rsidR="00736108" w:rsidRPr="008A37E2" w:rsidRDefault="00736108" w:rsidP="00736108">
            <w:pPr>
              <w:spacing w:line="400" w:lineRule="exact"/>
              <w:jc w:val="both"/>
              <w:rPr>
                <w:rFonts w:asciiTheme="minorEastAsia" w:eastAsiaTheme="minorEastAsia" w:hAnsiTheme="minorEastAsia"/>
                <w:szCs w:val="24"/>
              </w:rPr>
            </w:pPr>
            <w:r w:rsidRPr="008A37E2">
              <w:rPr>
                <w:rFonts w:asciiTheme="minorEastAsia" w:eastAsiaTheme="minorEastAsia" w:hAnsiTheme="minorEastAsia" w:cs="標楷體" w:hint="eastAsia"/>
                <w:szCs w:val="24"/>
              </w:rPr>
              <w:t>臺灣金融監督管理委員會代表</w:t>
            </w:r>
            <w:r w:rsidRPr="008A37E2">
              <w:rPr>
                <w:rFonts w:asciiTheme="minorEastAsia" w:eastAsiaTheme="minorEastAsia" w:hAnsiTheme="minorEastAsia" w:cs="標楷體"/>
                <w:szCs w:val="24"/>
              </w:rPr>
              <w:t xml:space="preserve"> </w:t>
            </w:r>
            <w:proofErr w:type="gramStart"/>
            <w:r w:rsidRPr="008A37E2">
              <w:rPr>
                <w:rFonts w:asciiTheme="minorEastAsia" w:eastAsiaTheme="minorEastAsia" w:hAnsiTheme="minorEastAsia" w:cs="標楷體" w:hint="eastAsia"/>
                <w:szCs w:val="24"/>
              </w:rPr>
              <w:t>黃天牧副</w:t>
            </w:r>
            <w:proofErr w:type="gramEnd"/>
            <w:r w:rsidRPr="008A37E2">
              <w:rPr>
                <w:rFonts w:asciiTheme="minorEastAsia" w:eastAsiaTheme="minorEastAsia" w:hAnsiTheme="minorEastAsia" w:cs="標楷體" w:hint="eastAsia"/>
                <w:szCs w:val="24"/>
              </w:rPr>
              <w:t>主任委員致詞</w:t>
            </w:r>
          </w:p>
        </w:tc>
      </w:tr>
      <w:tr w:rsidR="00736108" w:rsidRPr="00D11553" w:rsidTr="00736108">
        <w:trPr>
          <w:trHeight w:val="1228"/>
        </w:trPr>
        <w:tc>
          <w:tcPr>
            <w:tcW w:w="1673" w:type="dxa"/>
          </w:tcPr>
          <w:p w:rsidR="00736108" w:rsidRPr="008A37E2" w:rsidRDefault="00736108" w:rsidP="00736108">
            <w:pPr>
              <w:spacing w:line="400" w:lineRule="exact"/>
              <w:jc w:val="both"/>
              <w:rPr>
                <w:rFonts w:asciiTheme="minorEastAsia" w:eastAsiaTheme="minorEastAsia" w:hAnsiTheme="minorEastAsia"/>
                <w:szCs w:val="24"/>
                <w:lang w:eastAsia="zh-HK"/>
              </w:rPr>
            </w:pPr>
            <w:r w:rsidRPr="008A37E2">
              <w:rPr>
                <w:rFonts w:asciiTheme="minorEastAsia" w:eastAsiaTheme="minorEastAsia" w:hAnsiTheme="minorEastAsia"/>
                <w:szCs w:val="24"/>
                <w:lang w:eastAsia="zh-HK"/>
              </w:rPr>
              <w:t>10:00~1</w:t>
            </w:r>
            <w:r w:rsidRPr="008A37E2">
              <w:rPr>
                <w:rFonts w:asciiTheme="minorEastAsia" w:eastAsiaTheme="minorEastAsia" w:hAnsiTheme="minorEastAsia" w:hint="eastAsia"/>
                <w:szCs w:val="24"/>
              </w:rPr>
              <w:t>0</w:t>
            </w:r>
            <w:r w:rsidRPr="008A37E2">
              <w:rPr>
                <w:rFonts w:asciiTheme="minorEastAsia" w:eastAsiaTheme="minorEastAsia" w:hAnsiTheme="minorEastAsia"/>
                <w:szCs w:val="24"/>
                <w:lang w:eastAsia="zh-HK"/>
              </w:rPr>
              <w:t>:</w:t>
            </w:r>
            <w:r w:rsidRPr="008A37E2">
              <w:rPr>
                <w:rFonts w:asciiTheme="minorEastAsia" w:eastAsiaTheme="minorEastAsia" w:hAnsiTheme="minorEastAsia" w:hint="eastAsia"/>
                <w:szCs w:val="24"/>
              </w:rPr>
              <w:t>45</w:t>
            </w:r>
          </w:p>
        </w:tc>
        <w:tc>
          <w:tcPr>
            <w:tcW w:w="7345" w:type="dxa"/>
          </w:tcPr>
          <w:p w:rsidR="00736108" w:rsidRPr="008A37E2" w:rsidRDefault="00736108" w:rsidP="00736108">
            <w:pPr>
              <w:spacing w:line="400" w:lineRule="exact"/>
              <w:ind w:left="1477" w:hanging="1477"/>
              <w:jc w:val="both"/>
              <w:rPr>
                <w:rFonts w:asciiTheme="minorEastAsia" w:eastAsiaTheme="minorEastAsia" w:hAnsiTheme="minorEastAsia"/>
                <w:szCs w:val="24"/>
              </w:rPr>
            </w:pPr>
            <w:r w:rsidRPr="008A37E2">
              <w:rPr>
                <w:rFonts w:asciiTheme="minorEastAsia" w:eastAsiaTheme="minorEastAsia" w:hAnsiTheme="minorEastAsia" w:cs="標楷體" w:hint="eastAsia"/>
                <w:szCs w:val="24"/>
                <w:lang w:eastAsia="zh-HK"/>
              </w:rPr>
              <w:t>交流議題</w:t>
            </w:r>
            <w:r w:rsidRPr="008A37E2">
              <w:rPr>
                <w:rFonts w:asciiTheme="minorEastAsia" w:eastAsiaTheme="minorEastAsia" w:hAnsiTheme="minorEastAsia" w:cs="標楷體" w:hint="eastAsia"/>
                <w:szCs w:val="24"/>
              </w:rPr>
              <w:t>1</w:t>
            </w:r>
            <w:r w:rsidRPr="008A37E2">
              <w:rPr>
                <w:rFonts w:asciiTheme="minorEastAsia" w:eastAsiaTheme="minorEastAsia" w:hAnsiTheme="minorEastAsia" w:cs="標楷體" w:hint="eastAsia"/>
                <w:szCs w:val="24"/>
                <w:lang w:eastAsia="zh-HK"/>
              </w:rPr>
              <w:t>：上市公司辦理現金增資發行普通股之相關規範</w:t>
            </w:r>
          </w:p>
          <w:p w:rsidR="00736108" w:rsidRPr="008A37E2" w:rsidRDefault="00736108" w:rsidP="00736108">
            <w:pPr>
              <w:spacing w:line="400" w:lineRule="exact"/>
              <w:ind w:left="37" w:hanging="37"/>
              <w:jc w:val="both"/>
              <w:rPr>
                <w:rFonts w:asciiTheme="minorEastAsia" w:eastAsiaTheme="minorEastAsia" w:hAnsiTheme="minorEastAsia" w:cs="標楷體"/>
                <w:szCs w:val="24"/>
                <w:lang w:eastAsia="zh-HK"/>
              </w:rPr>
            </w:pPr>
            <w:r w:rsidRPr="008A37E2">
              <w:rPr>
                <w:rFonts w:asciiTheme="minorEastAsia" w:eastAsiaTheme="minorEastAsia" w:hAnsiTheme="minorEastAsia" w:cs="標楷體" w:hint="eastAsia"/>
                <w:szCs w:val="24"/>
                <w:lang w:eastAsia="zh-HK"/>
              </w:rPr>
              <w:t>主講人：</w:t>
            </w:r>
            <w:r w:rsidRPr="008A37E2">
              <w:rPr>
                <w:rFonts w:asciiTheme="minorEastAsia" w:eastAsiaTheme="minorEastAsia" w:hAnsiTheme="minorEastAsia" w:cs="標楷體"/>
                <w:szCs w:val="24"/>
                <w:lang w:eastAsia="zh-HK"/>
              </w:rPr>
              <w:t xml:space="preserve">  </w:t>
            </w:r>
            <w:r w:rsidRPr="008A37E2">
              <w:rPr>
                <w:rFonts w:asciiTheme="minorEastAsia" w:eastAsiaTheme="minorEastAsia" w:hAnsiTheme="minorEastAsia" w:hint="eastAsia"/>
                <w:szCs w:val="24"/>
              </w:rPr>
              <w:t xml:space="preserve"> </w:t>
            </w:r>
            <w:r w:rsidRPr="008A37E2">
              <w:rPr>
                <w:rFonts w:asciiTheme="minorEastAsia" w:eastAsiaTheme="minorEastAsia" w:hAnsiTheme="minorEastAsia" w:cs="標楷體" w:hint="eastAsia"/>
                <w:szCs w:val="24"/>
                <w:lang w:eastAsia="zh-HK"/>
              </w:rPr>
              <w:t>香港證監會企業融資部</w:t>
            </w:r>
          </w:p>
          <w:p w:rsidR="00736108" w:rsidRPr="008A37E2" w:rsidRDefault="00736108" w:rsidP="00736108">
            <w:pPr>
              <w:spacing w:line="400" w:lineRule="exact"/>
              <w:ind w:left="37" w:hanging="37"/>
              <w:jc w:val="both"/>
              <w:rPr>
                <w:rFonts w:asciiTheme="minorEastAsia" w:eastAsiaTheme="minorEastAsia" w:hAnsiTheme="minorEastAsia"/>
                <w:szCs w:val="24"/>
                <w:lang w:eastAsia="zh-HK"/>
              </w:rPr>
            </w:pPr>
            <w:r w:rsidRPr="008A37E2">
              <w:rPr>
                <w:rFonts w:asciiTheme="minorEastAsia" w:eastAsiaTheme="minorEastAsia" w:hAnsiTheme="minorEastAsia" w:cs="標楷體"/>
                <w:szCs w:val="24"/>
                <w:lang w:eastAsia="zh-HK"/>
              </w:rPr>
              <w:t xml:space="preserve">          </w:t>
            </w:r>
            <w:r w:rsidRPr="008A37E2">
              <w:rPr>
                <w:rFonts w:asciiTheme="minorEastAsia" w:eastAsiaTheme="minorEastAsia" w:hAnsiTheme="minorEastAsia" w:cs="標楷體" w:hint="eastAsia"/>
                <w:szCs w:val="24"/>
              </w:rPr>
              <w:t xml:space="preserve"> </w:t>
            </w:r>
            <w:r w:rsidRPr="008A37E2">
              <w:rPr>
                <w:rFonts w:asciiTheme="minorEastAsia" w:eastAsiaTheme="minorEastAsia" w:hAnsiTheme="minorEastAsia" w:cs="標楷體" w:hint="eastAsia"/>
                <w:szCs w:val="24"/>
                <w:lang w:eastAsia="zh-HK"/>
              </w:rPr>
              <w:t>臺灣金管會證券期貨局證券發行組</w:t>
            </w:r>
          </w:p>
        </w:tc>
      </w:tr>
      <w:tr w:rsidR="00736108" w:rsidRPr="00D11553" w:rsidTr="00736108">
        <w:trPr>
          <w:trHeight w:val="1260"/>
        </w:trPr>
        <w:tc>
          <w:tcPr>
            <w:tcW w:w="1673" w:type="dxa"/>
          </w:tcPr>
          <w:p w:rsidR="00736108" w:rsidRPr="008A37E2" w:rsidRDefault="00736108" w:rsidP="00736108">
            <w:pPr>
              <w:spacing w:line="400" w:lineRule="exact"/>
              <w:jc w:val="both"/>
              <w:rPr>
                <w:rFonts w:asciiTheme="minorEastAsia" w:eastAsiaTheme="minorEastAsia" w:hAnsiTheme="minorEastAsia"/>
                <w:szCs w:val="24"/>
                <w:lang w:eastAsia="zh-HK"/>
              </w:rPr>
            </w:pPr>
            <w:r w:rsidRPr="008A37E2">
              <w:rPr>
                <w:rFonts w:asciiTheme="minorEastAsia" w:eastAsiaTheme="minorEastAsia" w:hAnsiTheme="minorEastAsia"/>
                <w:szCs w:val="24"/>
                <w:lang w:eastAsia="zh-HK"/>
              </w:rPr>
              <w:t>1</w:t>
            </w:r>
            <w:r w:rsidRPr="008A37E2">
              <w:rPr>
                <w:rFonts w:asciiTheme="minorEastAsia" w:eastAsiaTheme="minorEastAsia" w:hAnsiTheme="minorEastAsia" w:hint="eastAsia"/>
                <w:szCs w:val="24"/>
              </w:rPr>
              <w:t>0</w:t>
            </w:r>
            <w:r w:rsidRPr="008A37E2">
              <w:rPr>
                <w:rFonts w:asciiTheme="minorEastAsia" w:eastAsiaTheme="minorEastAsia" w:hAnsiTheme="minorEastAsia"/>
                <w:szCs w:val="24"/>
                <w:lang w:eastAsia="zh-HK"/>
              </w:rPr>
              <w:t>:</w:t>
            </w:r>
            <w:r w:rsidRPr="008A37E2">
              <w:rPr>
                <w:rFonts w:asciiTheme="minorEastAsia" w:eastAsiaTheme="minorEastAsia" w:hAnsiTheme="minorEastAsia" w:hint="eastAsia"/>
                <w:szCs w:val="24"/>
              </w:rPr>
              <w:t>45</w:t>
            </w:r>
            <w:r w:rsidRPr="008A37E2">
              <w:rPr>
                <w:rFonts w:asciiTheme="minorEastAsia" w:eastAsiaTheme="minorEastAsia" w:hAnsiTheme="minorEastAsia"/>
                <w:szCs w:val="24"/>
                <w:lang w:eastAsia="zh-HK"/>
              </w:rPr>
              <w:t>~1</w:t>
            </w:r>
            <w:r w:rsidRPr="008A37E2">
              <w:rPr>
                <w:rFonts w:asciiTheme="minorEastAsia" w:eastAsiaTheme="minorEastAsia" w:hAnsiTheme="minorEastAsia" w:hint="eastAsia"/>
                <w:szCs w:val="24"/>
              </w:rPr>
              <w:t>1</w:t>
            </w:r>
            <w:r w:rsidRPr="008A37E2">
              <w:rPr>
                <w:rFonts w:asciiTheme="minorEastAsia" w:eastAsiaTheme="minorEastAsia" w:hAnsiTheme="minorEastAsia"/>
                <w:szCs w:val="24"/>
                <w:lang w:eastAsia="zh-HK"/>
              </w:rPr>
              <w:t>:</w:t>
            </w:r>
            <w:r w:rsidRPr="008A37E2">
              <w:rPr>
                <w:rFonts w:asciiTheme="minorEastAsia" w:eastAsiaTheme="minorEastAsia" w:hAnsiTheme="minorEastAsia" w:hint="eastAsia"/>
                <w:szCs w:val="24"/>
              </w:rPr>
              <w:t>30</w:t>
            </w:r>
          </w:p>
        </w:tc>
        <w:tc>
          <w:tcPr>
            <w:tcW w:w="7345" w:type="dxa"/>
          </w:tcPr>
          <w:p w:rsidR="00736108" w:rsidRPr="008A37E2" w:rsidRDefault="00736108" w:rsidP="00736108">
            <w:pPr>
              <w:spacing w:line="400" w:lineRule="exact"/>
              <w:ind w:left="1200" w:hangingChars="500" w:hanging="1200"/>
              <w:jc w:val="both"/>
              <w:rPr>
                <w:rFonts w:asciiTheme="minorEastAsia" w:eastAsiaTheme="minorEastAsia" w:hAnsiTheme="minorEastAsia"/>
                <w:szCs w:val="24"/>
              </w:rPr>
            </w:pPr>
            <w:r w:rsidRPr="008A37E2">
              <w:rPr>
                <w:rFonts w:asciiTheme="minorEastAsia" w:eastAsiaTheme="minorEastAsia" w:hAnsiTheme="minorEastAsia" w:cs="標楷體" w:hint="eastAsia"/>
                <w:szCs w:val="24"/>
                <w:lang w:eastAsia="zh-HK"/>
              </w:rPr>
              <w:t>交流議題</w:t>
            </w:r>
            <w:r w:rsidRPr="008A37E2">
              <w:rPr>
                <w:rFonts w:asciiTheme="minorEastAsia" w:eastAsiaTheme="minorEastAsia" w:hAnsiTheme="minorEastAsia" w:cs="標楷體" w:hint="eastAsia"/>
                <w:szCs w:val="24"/>
              </w:rPr>
              <w:t>2</w:t>
            </w:r>
            <w:r w:rsidRPr="008A37E2">
              <w:rPr>
                <w:rFonts w:asciiTheme="minorEastAsia" w:eastAsiaTheme="minorEastAsia" w:hAnsiTheme="minorEastAsia" w:cs="標楷體" w:hint="eastAsia"/>
                <w:szCs w:val="24"/>
                <w:lang w:eastAsia="zh-HK"/>
              </w:rPr>
              <w:t>：清盤中</w:t>
            </w:r>
            <w:r w:rsidRPr="008A37E2">
              <w:rPr>
                <w:rFonts w:asciiTheme="minorEastAsia" w:eastAsiaTheme="minorEastAsia" w:hAnsiTheme="minorEastAsia" w:cs="標楷體" w:hint="eastAsia"/>
                <w:szCs w:val="24"/>
              </w:rPr>
              <w:t>的</w:t>
            </w:r>
            <w:r w:rsidRPr="008A37E2">
              <w:rPr>
                <w:rFonts w:asciiTheme="minorEastAsia" w:eastAsiaTheme="minorEastAsia" w:hAnsiTheme="minorEastAsia" w:cs="標楷體" w:hint="eastAsia"/>
                <w:szCs w:val="24"/>
                <w:lang w:eastAsia="zh-HK"/>
              </w:rPr>
              <w:t>停牌上市公司財務報告之資訊交流</w:t>
            </w:r>
          </w:p>
          <w:p w:rsidR="00736108" w:rsidRPr="008A37E2" w:rsidRDefault="00736108" w:rsidP="00736108">
            <w:pPr>
              <w:spacing w:line="400" w:lineRule="exact"/>
              <w:ind w:left="1560" w:hangingChars="650" w:hanging="1560"/>
              <w:jc w:val="both"/>
              <w:rPr>
                <w:rFonts w:asciiTheme="minorEastAsia" w:eastAsiaTheme="minorEastAsia" w:hAnsiTheme="minorEastAsia"/>
                <w:szCs w:val="24"/>
              </w:rPr>
            </w:pPr>
            <w:r w:rsidRPr="008A37E2">
              <w:rPr>
                <w:rFonts w:asciiTheme="minorEastAsia" w:eastAsiaTheme="minorEastAsia" w:hAnsiTheme="minorEastAsia" w:cs="標楷體" w:hint="eastAsia"/>
                <w:szCs w:val="24"/>
                <w:lang w:eastAsia="zh-HK"/>
              </w:rPr>
              <w:t>主講人</w:t>
            </w:r>
            <w:r w:rsidRPr="008A37E2">
              <w:rPr>
                <w:rFonts w:asciiTheme="minorEastAsia" w:eastAsiaTheme="minorEastAsia" w:hAnsiTheme="minorEastAsia" w:cs="標楷體" w:hint="eastAsia"/>
                <w:szCs w:val="24"/>
              </w:rPr>
              <w:t>：</w:t>
            </w:r>
            <w:r w:rsidRPr="008A37E2">
              <w:rPr>
                <w:rFonts w:asciiTheme="minorEastAsia" w:eastAsiaTheme="minorEastAsia" w:hAnsiTheme="minorEastAsia" w:cs="標楷體"/>
                <w:szCs w:val="24"/>
              </w:rPr>
              <w:t xml:space="preserve">  </w:t>
            </w:r>
            <w:r w:rsidRPr="008A37E2">
              <w:rPr>
                <w:rFonts w:asciiTheme="minorEastAsia" w:eastAsiaTheme="minorEastAsia" w:hAnsiTheme="minorEastAsia" w:cs="標楷體" w:hint="eastAsia"/>
                <w:szCs w:val="24"/>
              </w:rPr>
              <w:t xml:space="preserve"> 香港證監會企業融資部</w:t>
            </w:r>
          </w:p>
          <w:p w:rsidR="00736108" w:rsidRPr="008A37E2" w:rsidRDefault="00736108" w:rsidP="00736108">
            <w:pPr>
              <w:spacing w:line="400" w:lineRule="exact"/>
              <w:ind w:left="1477" w:hanging="1477"/>
              <w:jc w:val="both"/>
              <w:rPr>
                <w:rFonts w:asciiTheme="minorEastAsia" w:eastAsiaTheme="minorEastAsia" w:hAnsiTheme="minorEastAsia" w:cs="標楷體"/>
                <w:szCs w:val="24"/>
                <w:lang w:eastAsia="zh-HK"/>
              </w:rPr>
            </w:pPr>
            <w:r w:rsidRPr="008A37E2">
              <w:rPr>
                <w:rFonts w:asciiTheme="minorEastAsia" w:eastAsiaTheme="minorEastAsia" w:hAnsiTheme="minorEastAsia" w:cs="標楷體"/>
                <w:szCs w:val="24"/>
              </w:rPr>
              <w:t xml:space="preserve">          </w:t>
            </w:r>
            <w:r w:rsidRPr="008A37E2">
              <w:rPr>
                <w:rFonts w:asciiTheme="minorEastAsia" w:eastAsiaTheme="minorEastAsia" w:hAnsiTheme="minorEastAsia" w:cs="標楷體" w:hint="eastAsia"/>
                <w:szCs w:val="24"/>
              </w:rPr>
              <w:t xml:space="preserve"> 臺灣金管會證券期貨局會計審計組</w:t>
            </w:r>
          </w:p>
        </w:tc>
      </w:tr>
      <w:tr w:rsidR="00736108" w:rsidRPr="00D11553" w:rsidTr="00736108">
        <w:trPr>
          <w:trHeight w:val="503"/>
        </w:trPr>
        <w:tc>
          <w:tcPr>
            <w:tcW w:w="1673" w:type="dxa"/>
            <w:shd w:val="clear" w:color="auto" w:fill="D9D9D9"/>
          </w:tcPr>
          <w:p w:rsidR="00736108" w:rsidRPr="008A37E2" w:rsidRDefault="00736108" w:rsidP="00736108">
            <w:pPr>
              <w:spacing w:line="400" w:lineRule="exact"/>
              <w:jc w:val="both"/>
              <w:rPr>
                <w:rFonts w:asciiTheme="minorEastAsia" w:eastAsiaTheme="minorEastAsia" w:hAnsiTheme="minorEastAsia"/>
                <w:szCs w:val="24"/>
                <w:lang w:eastAsia="zh-HK"/>
              </w:rPr>
            </w:pPr>
            <w:r w:rsidRPr="008A37E2">
              <w:rPr>
                <w:rFonts w:asciiTheme="minorEastAsia" w:eastAsiaTheme="minorEastAsia" w:hAnsiTheme="minorEastAsia"/>
                <w:szCs w:val="24"/>
                <w:lang w:eastAsia="zh-HK"/>
              </w:rPr>
              <w:t>11:</w:t>
            </w:r>
            <w:r w:rsidRPr="008A37E2">
              <w:rPr>
                <w:rFonts w:asciiTheme="minorEastAsia" w:eastAsiaTheme="minorEastAsia" w:hAnsiTheme="minorEastAsia" w:hint="eastAsia"/>
                <w:szCs w:val="24"/>
              </w:rPr>
              <w:t>3</w:t>
            </w:r>
            <w:r w:rsidRPr="008A37E2">
              <w:rPr>
                <w:rFonts w:asciiTheme="minorEastAsia" w:eastAsiaTheme="minorEastAsia" w:hAnsiTheme="minorEastAsia"/>
                <w:szCs w:val="24"/>
                <w:lang w:eastAsia="zh-HK"/>
              </w:rPr>
              <w:t>0~11:</w:t>
            </w:r>
            <w:r w:rsidRPr="008A37E2">
              <w:rPr>
                <w:rFonts w:asciiTheme="minorEastAsia" w:eastAsiaTheme="minorEastAsia" w:hAnsiTheme="minorEastAsia" w:hint="eastAsia"/>
                <w:szCs w:val="24"/>
              </w:rPr>
              <w:t>45</w:t>
            </w:r>
          </w:p>
        </w:tc>
        <w:tc>
          <w:tcPr>
            <w:tcW w:w="7345" w:type="dxa"/>
            <w:shd w:val="clear" w:color="auto" w:fill="D9D9D9"/>
            <w:vAlign w:val="center"/>
          </w:tcPr>
          <w:p w:rsidR="00736108" w:rsidRPr="008A37E2" w:rsidRDefault="00736108" w:rsidP="00736108">
            <w:pPr>
              <w:spacing w:line="400" w:lineRule="exact"/>
              <w:jc w:val="both"/>
              <w:rPr>
                <w:rFonts w:asciiTheme="minorEastAsia" w:eastAsiaTheme="minorEastAsia" w:hAnsiTheme="minorEastAsia"/>
                <w:szCs w:val="24"/>
                <w:lang w:eastAsia="zh-HK"/>
              </w:rPr>
            </w:pPr>
            <w:proofErr w:type="gramStart"/>
            <w:r w:rsidRPr="008A37E2">
              <w:rPr>
                <w:rFonts w:asciiTheme="minorEastAsia" w:eastAsiaTheme="minorEastAsia" w:hAnsiTheme="minorEastAsia" w:cs="標楷體" w:hint="eastAsia"/>
                <w:szCs w:val="24"/>
              </w:rPr>
              <w:t>茶歇</w:t>
            </w:r>
            <w:proofErr w:type="gramEnd"/>
          </w:p>
        </w:tc>
      </w:tr>
      <w:tr w:rsidR="00736108" w:rsidRPr="00D11553" w:rsidTr="00736108">
        <w:trPr>
          <w:trHeight w:val="1613"/>
        </w:trPr>
        <w:tc>
          <w:tcPr>
            <w:tcW w:w="1673" w:type="dxa"/>
          </w:tcPr>
          <w:p w:rsidR="00736108" w:rsidRPr="008A37E2" w:rsidRDefault="00736108" w:rsidP="00736108">
            <w:pPr>
              <w:spacing w:line="400" w:lineRule="exact"/>
              <w:jc w:val="both"/>
              <w:rPr>
                <w:rFonts w:asciiTheme="minorEastAsia" w:eastAsiaTheme="minorEastAsia" w:hAnsiTheme="minorEastAsia"/>
                <w:szCs w:val="24"/>
                <w:lang w:eastAsia="zh-CN"/>
              </w:rPr>
            </w:pPr>
            <w:r w:rsidRPr="008A37E2">
              <w:rPr>
                <w:rFonts w:asciiTheme="minorEastAsia" w:eastAsiaTheme="minorEastAsia" w:hAnsiTheme="minorEastAsia"/>
                <w:szCs w:val="24"/>
                <w:lang w:eastAsia="zh-CN"/>
              </w:rPr>
              <w:t>11:</w:t>
            </w:r>
            <w:r w:rsidRPr="008A37E2">
              <w:rPr>
                <w:rFonts w:asciiTheme="minorEastAsia" w:eastAsiaTheme="minorEastAsia" w:hAnsiTheme="minorEastAsia" w:hint="eastAsia"/>
                <w:szCs w:val="24"/>
              </w:rPr>
              <w:t>45</w:t>
            </w:r>
            <w:r w:rsidRPr="008A37E2">
              <w:rPr>
                <w:rFonts w:asciiTheme="minorEastAsia" w:eastAsiaTheme="minorEastAsia" w:hAnsiTheme="minorEastAsia"/>
                <w:szCs w:val="24"/>
                <w:lang w:eastAsia="zh-CN"/>
              </w:rPr>
              <w:t>~1</w:t>
            </w:r>
            <w:r w:rsidRPr="008A37E2">
              <w:rPr>
                <w:rFonts w:asciiTheme="minorEastAsia" w:eastAsiaTheme="minorEastAsia" w:hAnsiTheme="minorEastAsia" w:hint="eastAsia"/>
                <w:szCs w:val="24"/>
              </w:rPr>
              <w:t>2</w:t>
            </w:r>
            <w:r w:rsidRPr="008A37E2">
              <w:rPr>
                <w:rFonts w:asciiTheme="minorEastAsia" w:eastAsiaTheme="minorEastAsia" w:hAnsiTheme="minorEastAsia"/>
                <w:szCs w:val="24"/>
                <w:lang w:eastAsia="zh-CN"/>
              </w:rPr>
              <w:t>:</w:t>
            </w:r>
            <w:r w:rsidRPr="008A37E2">
              <w:rPr>
                <w:rFonts w:asciiTheme="minorEastAsia" w:eastAsiaTheme="minorEastAsia" w:hAnsiTheme="minorEastAsia" w:hint="eastAsia"/>
                <w:szCs w:val="24"/>
              </w:rPr>
              <w:t>3</w:t>
            </w:r>
            <w:r w:rsidRPr="008A37E2">
              <w:rPr>
                <w:rFonts w:asciiTheme="minorEastAsia" w:eastAsiaTheme="minorEastAsia" w:hAnsiTheme="minorEastAsia"/>
                <w:szCs w:val="24"/>
                <w:lang w:eastAsia="zh-CN"/>
              </w:rPr>
              <w:t>0</w:t>
            </w:r>
          </w:p>
        </w:tc>
        <w:tc>
          <w:tcPr>
            <w:tcW w:w="7345" w:type="dxa"/>
          </w:tcPr>
          <w:p w:rsidR="00736108" w:rsidRPr="008A37E2" w:rsidRDefault="00736108" w:rsidP="00736108">
            <w:pPr>
              <w:spacing w:line="400" w:lineRule="exact"/>
              <w:ind w:leftChars="8" w:left="1344" w:hangingChars="552" w:hanging="1325"/>
              <w:jc w:val="both"/>
              <w:rPr>
                <w:rFonts w:asciiTheme="minorEastAsia" w:eastAsiaTheme="minorEastAsia" w:hAnsiTheme="minorEastAsia"/>
                <w:szCs w:val="24"/>
              </w:rPr>
            </w:pPr>
            <w:r w:rsidRPr="008A37E2">
              <w:rPr>
                <w:rFonts w:asciiTheme="minorEastAsia" w:eastAsiaTheme="minorEastAsia" w:hAnsiTheme="minorEastAsia" w:hint="eastAsia"/>
                <w:szCs w:val="24"/>
              </w:rPr>
              <w:t>交流議題3：香港擬修訂的專業投資者制度之考量原因及</w:t>
            </w:r>
            <w:proofErr w:type="gramStart"/>
            <w:r w:rsidRPr="008A37E2">
              <w:rPr>
                <w:rFonts w:asciiTheme="minorEastAsia" w:eastAsiaTheme="minorEastAsia" w:hAnsiTheme="minorEastAsia" w:hint="eastAsia"/>
                <w:szCs w:val="24"/>
              </w:rPr>
              <w:t>研</w:t>
            </w:r>
            <w:proofErr w:type="gramEnd"/>
            <w:r w:rsidRPr="008A37E2">
              <w:rPr>
                <w:rFonts w:asciiTheme="minorEastAsia" w:eastAsiaTheme="minorEastAsia" w:hAnsiTheme="minorEastAsia" w:hint="eastAsia"/>
                <w:szCs w:val="24"/>
              </w:rPr>
              <w:t>擬作法</w:t>
            </w:r>
          </w:p>
          <w:p w:rsidR="00736108" w:rsidRPr="008A37E2" w:rsidRDefault="00736108" w:rsidP="00736108">
            <w:pPr>
              <w:spacing w:line="400" w:lineRule="exact"/>
              <w:ind w:left="1560" w:hangingChars="650" w:hanging="1560"/>
              <w:jc w:val="both"/>
              <w:rPr>
                <w:rFonts w:asciiTheme="minorEastAsia" w:eastAsiaTheme="minorEastAsia" w:hAnsiTheme="minorEastAsia"/>
                <w:szCs w:val="24"/>
              </w:rPr>
            </w:pPr>
            <w:r w:rsidRPr="008A37E2">
              <w:rPr>
                <w:rFonts w:asciiTheme="minorEastAsia" w:eastAsiaTheme="minorEastAsia" w:hAnsiTheme="minorEastAsia" w:hint="eastAsia"/>
                <w:szCs w:val="24"/>
              </w:rPr>
              <w:t>主講人：   香港證監會中介機構部</w:t>
            </w:r>
          </w:p>
          <w:p w:rsidR="00736108" w:rsidRPr="008A37E2" w:rsidRDefault="00736108" w:rsidP="00736108">
            <w:pPr>
              <w:spacing w:line="400" w:lineRule="exact"/>
              <w:ind w:left="1560" w:hangingChars="650" w:hanging="1560"/>
              <w:jc w:val="both"/>
              <w:rPr>
                <w:rFonts w:asciiTheme="minorEastAsia" w:eastAsiaTheme="minorEastAsia" w:hAnsiTheme="minorEastAsia"/>
                <w:szCs w:val="24"/>
              </w:rPr>
            </w:pPr>
            <w:r w:rsidRPr="008A37E2">
              <w:rPr>
                <w:rFonts w:asciiTheme="minorEastAsia" w:eastAsiaTheme="minorEastAsia" w:hAnsiTheme="minorEastAsia" w:hint="eastAsia"/>
                <w:szCs w:val="24"/>
              </w:rPr>
              <w:t xml:space="preserve">           臺灣金管會證券期貨局投信投顧組</w:t>
            </w:r>
          </w:p>
        </w:tc>
      </w:tr>
      <w:tr w:rsidR="00736108" w:rsidRPr="00D11553" w:rsidTr="00736108">
        <w:trPr>
          <w:trHeight w:val="1252"/>
        </w:trPr>
        <w:tc>
          <w:tcPr>
            <w:tcW w:w="1673" w:type="dxa"/>
            <w:shd w:val="clear" w:color="auto" w:fill="D9D9D9"/>
          </w:tcPr>
          <w:p w:rsidR="00736108" w:rsidRPr="008A37E2" w:rsidRDefault="00736108" w:rsidP="00736108">
            <w:pPr>
              <w:spacing w:line="400" w:lineRule="exact"/>
              <w:jc w:val="both"/>
              <w:rPr>
                <w:rFonts w:asciiTheme="minorEastAsia" w:eastAsiaTheme="minorEastAsia" w:hAnsiTheme="minorEastAsia"/>
                <w:szCs w:val="24"/>
              </w:rPr>
            </w:pPr>
            <w:r w:rsidRPr="008A37E2">
              <w:rPr>
                <w:rFonts w:asciiTheme="minorEastAsia" w:eastAsiaTheme="minorEastAsia" w:hAnsiTheme="minorEastAsia"/>
                <w:szCs w:val="24"/>
                <w:lang w:eastAsia="zh-HK"/>
              </w:rPr>
              <w:t>12:</w:t>
            </w:r>
            <w:r w:rsidRPr="008A37E2">
              <w:rPr>
                <w:rFonts w:asciiTheme="minorEastAsia" w:eastAsiaTheme="minorEastAsia" w:hAnsiTheme="minorEastAsia" w:hint="eastAsia"/>
                <w:szCs w:val="24"/>
              </w:rPr>
              <w:t>3</w:t>
            </w:r>
            <w:r w:rsidRPr="008A37E2">
              <w:rPr>
                <w:rFonts w:asciiTheme="minorEastAsia" w:eastAsiaTheme="minorEastAsia" w:hAnsiTheme="minorEastAsia"/>
                <w:szCs w:val="24"/>
                <w:lang w:eastAsia="zh-HK"/>
              </w:rPr>
              <w:t>0~14:00</w:t>
            </w:r>
          </w:p>
        </w:tc>
        <w:tc>
          <w:tcPr>
            <w:tcW w:w="7345" w:type="dxa"/>
            <w:shd w:val="clear" w:color="auto" w:fill="D9D9D9"/>
          </w:tcPr>
          <w:p w:rsidR="00736108" w:rsidRPr="008A37E2" w:rsidRDefault="00736108" w:rsidP="00736108">
            <w:pPr>
              <w:spacing w:line="400" w:lineRule="exact"/>
              <w:jc w:val="both"/>
              <w:rPr>
                <w:rFonts w:asciiTheme="minorEastAsia" w:eastAsiaTheme="minorEastAsia" w:hAnsiTheme="minorEastAsia"/>
                <w:szCs w:val="24"/>
                <w:lang w:eastAsia="zh-HK"/>
              </w:rPr>
            </w:pPr>
            <w:r w:rsidRPr="008A37E2">
              <w:rPr>
                <w:rFonts w:asciiTheme="minorEastAsia" w:eastAsiaTheme="minorEastAsia" w:hAnsiTheme="minorEastAsia" w:cs="標楷體" w:hint="eastAsia"/>
                <w:szCs w:val="24"/>
                <w:lang w:eastAsia="zh-HK"/>
              </w:rPr>
              <w:t>午餐</w:t>
            </w:r>
            <w:r w:rsidRPr="008A37E2">
              <w:rPr>
                <w:rFonts w:asciiTheme="minorEastAsia" w:eastAsiaTheme="minorEastAsia" w:hAnsiTheme="minorEastAsia" w:cs="標楷體"/>
                <w:szCs w:val="24"/>
                <w:lang w:eastAsia="zh-HK"/>
              </w:rPr>
              <w:t xml:space="preserve"> </w:t>
            </w:r>
            <w:r w:rsidRPr="008A37E2">
              <w:rPr>
                <w:rFonts w:asciiTheme="minorEastAsia" w:eastAsiaTheme="minorEastAsia" w:hAnsiTheme="minorEastAsia" w:cs="標楷體" w:hint="eastAsia"/>
                <w:szCs w:val="24"/>
                <w:lang w:eastAsia="zh-HK"/>
              </w:rPr>
              <w:t>(香港證監會</w:t>
            </w:r>
            <w:r w:rsidRPr="008A37E2">
              <w:rPr>
                <w:rFonts w:asciiTheme="minorEastAsia" w:eastAsiaTheme="minorEastAsia" w:hAnsiTheme="minorEastAsia" w:cs="標楷體" w:hint="eastAsia"/>
                <w:szCs w:val="24"/>
              </w:rPr>
              <w:t>宴請</w:t>
            </w:r>
            <w:r w:rsidRPr="008A37E2">
              <w:rPr>
                <w:rFonts w:asciiTheme="minorEastAsia" w:eastAsiaTheme="minorEastAsia" w:hAnsiTheme="minorEastAsia" w:cs="標楷體" w:hint="eastAsia"/>
                <w:szCs w:val="24"/>
                <w:lang w:eastAsia="zh-HK"/>
              </w:rPr>
              <w:t>)</w:t>
            </w:r>
            <w:r w:rsidRPr="008A37E2">
              <w:rPr>
                <w:rFonts w:asciiTheme="minorEastAsia" w:eastAsiaTheme="minorEastAsia" w:hAnsiTheme="minorEastAsia" w:cs="標楷體"/>
                <w:szCs w:val="24"/>
                <w:lang w:eastAsia="zh-HK"/>
              </w:rPr>
              <w:t xml:space="preserve"> </w:t>
            </w:r>
          </w:p>
          <w:p w:rsidR="00736108" w:rsidRPr="008A37E2" w:rsidRDefault="00736108" w:rsidP="00736108">
            <w:pPr>
              <w:spacing w:line="400" w:lineRule="exact"/>
              <w:jc w:val="both"/>
              <w:rPr>
                <w:rFonts w:asciiTheme="minorEastAsia" w:eastAsiaTheme="minorEastAsia" w:hAnsiTheme="minorEastAsia" w:cs="標楷體"/>
                <w:szCs w:val="24"/>
              </w:rPr>
            </w:pPr>
            <w:r w:rsidRPr="008A37E2">
              <w:rPr>
                <w:rFonts w:asciiTheme="minorEastAsia" w:eastAsiaTheme="minorEastAsia" w:hAnsiTheme="minorEastAsia" w:cs="標楷體" w:hint="eastAsia"/>
                <w:szCs w:val="24"/>
              </w:rPr>
              <w:t>地點</w:t>
            </w:r>
            <w:r w:rsidRPr="008A37E2">
              <w:rPr>
                <w:rFonts w:asciiTheme="minorEastAsia" w:eastAsiaTheme="minorEastAsia" w:hAnsiTheme="minorEastAsia" w:cs="標楷體"/>
                <w:szCs w:val="24"/>
              </w:rPr>
              <w:t>:</w:t>
            </w:r>
            <w:r w:rsidRPr="008A37E2">
              <w:rPr>
                <w:rFonts w:asciiTheme="minorEastAsia" w:eastAsiaTheme="minorEastAsia" w:hAnsiTheme="minorEastAsia" w:cs="標楷體" w:hint="eastAsia"/>
                <w:szCs w:val="24"/>
              </w:rPr>
              <w:t xml:space="preserve"> 中國會  </w:t>
            </w:r>
          </w:p>
          <w:p w:rsidR="00736108" w:rsidRPr="008A37E2" w:rsidRDefault="00736108" w:rsidP="00736108">
            <w:pPr>
              <w:spacing w:line="400" w:lineRule="exact"/>
              <w:jc w:val="both"/>
              <w:rPr>
                <w:rFonts w:asciiTheme="minorEastAsia" w:eastAsiaTheme="minorEastAsia" w:hAnsiTheme="minorEastAsia"/>
                <w:szCs w:val="24"/>
                <w:u w:val="single"/>
              </w:rPr>
            </w:pPr>
            <w:r w:rsidRPr="008A37E2">
              <w:rPr>
                <w:rFonts w:asciiTheme="minorEastAsia" w:eastAsiaTheme="minorEastAsia" w:hAnsiTheme="minorEastAsia" w:cs="標楷體"/>
                <w:szCs w:val="24"/>
              </w:rPr>
              <w:t xml:space="preserve">     </w:t>
            </w:r>
            <w:r w:rsidRPr="008A37E2">
              <w:rPr>
                <w:rFonts w:asciiTheme="minorEastAsia" w:eastAsiaTheme="minorEastAsia" w:hAnsiTheme="minorEastAsia" w:cs="標楷體" w:hint="eastAsia"/>
                <w:szCs w:val="24"/>
              </w:rPr>
              <w:t xml:space="preserve"> 香港中環銀行街舊中國銀行大廈13樓</w:t>
            </w:r>
          </w:p>
        </w:tc>
      </w:tr>
    </w:tbl>
    <w:p w:rsidR="00B6733D" w:rsidRDefault="00B6733D" w:rsidP="00385CBB">
      <w:pPr>
        <w:pStyle w:val="1"/>
        <w:numPr>
          <w:ilvl w:val="0"/>
          <w:numId w:val="0"/>
        </w:numPr>
        <w:rPr>
          <w:rFonts w:eastAsia="細明體" w:hAnsi="細明體"/>
          <w:sz w:val="28"/>
          <w:szCs w:val="28"/>
        </w:rPr>
      </w:pPr>
    </w:p>
    <w:p w:rsidR="00B14328" w:rsidRPr="00B14328" w:rsidRDefault="001C0B3E" w:rsidP="0000284D">
      <w:pPr>
        <w:pStyle w:val="23"/>
        <w:numPr>
          <w:ilvl w:val="0"/>
          <w:numId w:val="23"/>
        </w:numPr>
      </w:pPr>
      <w:bookmarkStart w:id="10" w:name="_Toc408301457"/>
      <w:r w:rsidRPr="00320151">
        <w:rPr>
          <w:rFonts w:hAnsi="Times New Roman" w:hint="eastAsia"/>
        </w:rPr>
        <w:lastRenderedPageBreak/>
        <w:t>各項交流議題</w:t>
      </w:r>
      <w:bookmarkEnd w:id="10"/>
    </w:p>
    <w:p w:rsidR="00B6733D" w:rsidRPr="003D56EE" w:rsidRDefault="00B14328" w:rsidP="0000284D">
      <w:pPr>
        <w:pStyle w:val="31"/>
        <w:numPr>
          <w:ilvl w:val="0"/>
          <w:numId w:val="25"/>
        </w:numPr>
        <w:spacing w:line="460" w:lineRule="exact"/>
        <w:ind w:left="426"/>
      </w:pPr>
      <w:bookmarkStart w:id="11" w:name="_Toc408301458"/>
      <w:r w:rsidRPr="003D56EE">
        <w:rPr>
          <w:rFonts w:hint="eastAsia"/>
        </w:rPr>
        <w:t>雙方代表致詞</w:t>
      </w:r>
      <w:bookmarkEnd w:id="11"/>
    </w:p>
    <w:p w:rsidR="00B14328" w:rsidRPr="00736108" w:rsidRDefault="00B14328" w:rsidP="0000284D">
      <w:pPr>
        <w:pStyle w:val="a8"/>
        <w:numPr>
          <w:ilvl w:val="0"/>
          <w:numId w:val="24"/>
        </w:numPr>
        <w:spacing w:line="460" w:lineRule="exact"/>
        <w:ind w:leftChars="0" w:left="964" w:hanging="482"/>
        <w:rPr>
          <w:rFonts w:ascii="新細明體" w:hAnsi="新細明體"/>
        </w:rPr>
      </w:pPr>
      <w:r w:rsidRPr="00736108">
        <w:rPr>
          <w:rFonts w:ascii="新細明體" w:hAnsi="新細明體" w:hint="eastAsia"/>
        </w:rPr>
        <w:t>香港證監會張副</w:t>
      </w:r>
      <w:r w:rsidR="004555F5" w:rsidRPr="00736108">
        <w:rPr>
          <w:rFonts w:ascii="新細明體" w:hAnsi="新細明體" w:hint="eastAsia"/>
        </w:rPr>
        <w:t>行政</w:t>
      </w:r>
      <w:proofErr w:type="gramStart"/>
      <w:r w:rsidRPr="00736108">
        <w:rPr>
          <w:rFonts w:ascii="新細明體" w:hAnsi="新細明體" w:hint="eastAsia"/>
        </w:rPr>
        <w:t>總裁灼華致詞</w:t>
      </w:r>
      <w:proofErr w:type="gramEnd"/>
    </w:p>
    <w:p w:rsidR="00B14328" w:rsidRPr="00736108" w:rsidRDefault="00B14328" w:rsidP="00736108">
      <w:pPr>
        <w:pStyle w:val="a8"/>
        <w:widowControl/>
        <w:spacing w:before="100" w:beforeAutospacing="1" w:after="100" w:afterAutospacing="1" w:line="460" w:lineRule="exact"/>
        <w:ind w:leftChars="0" w:left="958"/>
        <w:jc w:val="both"/>
        <w:textAlignment w:val="baseline"/>
        <w:rPr>
          <w:rFonts w:ascii="新細明體" w:hAnsi="新細明體" w:cs="細明體"/>
          <w:kern w:val="0"/>
          <w:szCs w:val="24"/>
        </w:rPr>
      </w:pPr>
      <w:r w:rsidRPr="00736108">
        <w:rPr>
          <w:rFonts w:ascii="新細明體" w:hAnsi="新細明體" w:cs="細明體" w:hint="eastAsia"/>
          <w:kern w:val="0"/>
          <w:szCs w:val="24"/>
        </w:rPr>
        <w:t xml:space="preserve">    張副</w:t>
      </w:r>
      <w:r w:rsidR="00141FE6" w:rsidRPr="00736108">
        <w:rPr>
          <w:rFonts w:ascii="新細明體" w:hAnsi="新細明體" w:cs="細明體" w:hint="eastAsia"/>
          <w:kern w:val="0"/>
          <w:szCs w:val="24"/>
        </w:rPr>
        <w:t>行政</w:t>
      </w:r>
      <w:r w:rsidRPr="00736108">
        <w:rPr>
          <w:rFonts w:ascii="新細明體" w:hAnsi="新細明體" w:cs="細明體" w:hint="eastAsia"/>
          <w:kern w:val="0"/>
          <w:szCs w:val="24"/>
        </w:rPr>
        <w:t>總裁表示本次為第六屆交流會議，自從2009年起兩會每年均進行交流，已建立良好之關係及分享經驗之平台。今日會議將針對「上市公司辦理現金增資發行普通股之相關規範」、「清盤中的停牌上市公司財務報告之資訊交流」及「專業投資者制度之修訂之考量原因」等三項議題進行討論，每項議題均非常有意義，期待本次交流能進一步推動臺灣與香港資本市場的發展及金融監管的合作。</w:t>
      </w:r>
      <w:r w:rsidRPr="00736108">
        <w:rPr>
          <w:rFonts w:ascii="新細明體" w:hAnsi="新細明體" w:cs="細明體"/>
          <w:kern w:val="0"/>
          <w:szCs w:val="24"/>
        </w:rPr>
        <w:t xml:space="preserve"> </w:t>
      </w:r>
    </w:p>
    <w:p w:rsidR="00B14328" w:rsidRPr="00736108" w:rsidRDefault="00B14328" w:rsidP="00736108">
      <w:pPr>
        <w:pStyle w:val="a8"/>
        <w:widowControl/>
        <w:spacing w:before="100" w:beforeAutospacing="1" w:after="100" w:afterAutospacing="1" w:line="460" w:lineRule="exact"/>
        <w:ind w:leftChars="0" w:left="958"/>
        <w:jc w:val="both"/>
        <w:textAlignment w:val="baseline"/>
        <w:rPr>
          <w:rFonts w:ascii="新細明體" w:hAnsi="新細明體" w:cs="細明體"/>
          <w:kern w:val="0"/>
          <w:szCs w:val="24"/>
        </w:rPr>
      </w:pPr>
      <w:r w:rsidRPr="00736108">
        <w:rPr>
          <w:rFonts w:ascii="新細明體" w:hAnsi="新細明體" w:cs="細明體" w:hint="eastAsia"/>
          <w:kern w:val="0"/>
          <w:szCs w:val="24"/>
        </w:rPr>
        <w:t xml:space="preserve">    張副</w:t>
      </w:r>
      <w:r w:rsidR="005D146E" w:rsidRPr="00736108">
        <w:rPr>
          <w:rFonts w:ascii="新細明體" w:hAnsi="新細明體" w:cs="細明體" w:hint="eastAsia"/>
          <w:kern w:val="0"/>
          <w:szCs w:val="24"/>
        </w:rPr>
        <w:t>行政</w:t>
      </w:r>
      <w:r w:rsidRPr="00736108">
        <w:rPr>
          <w:rFonts w:ascii="新細明體" w:hAnsi="新細明體" w:cs="細明體" w:hint="eastAsia"/>
          <w:kern w:val="0"/>
          <w:szCs w:val="24"/>
        </w:rPr>
        <w:t>總裁指出，香港目前上市公司家數達1789家，上市公司市值總額達32億美元，是僅次於紐約、倫敦的第三大證券市場。今年資產管理業務</w:t>
      </w:r>
      <w:r w:rsidR="005D146E" w:rsidRPr="00736108">
        <w:rPr>
          <w:rFonts w:ascii="新細明體" w:hAnsi="新細明體" w:cs="細明體" w:hint="eastAsia"/>
          <w:kern w:val="0"/>
          <w:szCs w:val="24"/>
        </w:rPr>
        <w:t>已</w:t>
      </w:r>
      <w:r w:rsidRPr="00736108">
        <w:rPr>
          <w:rFonts w:ascii="新細明體" w:hAnsi="新細明體" w:cs="細明體" w:hint="eastAsia"/>
          <w:kern w:val="0"/>
          <w:szCs w:val="24"/>
        </w:rPr>
        <w:t>超過11萬億港</w:t>
      </w:r>
      <w:r w:rsidR="005D146E" w:rsidRPr="00736108">
        <w:rPr>
          <w:rFonts w:ascii="新細明體" w:hAnsi="新細明體" w:cs="細明體" w:hint="eastAsia"/>
          <w:kern w:val="0"/>
          <w:szCs w:val="24"/>
        </w:rPr>
        <w:t>幣</w:t>
      </w:r>
      <w:r w:rsidRPr="00736108">
        <w:rPr>
          <w:rFonts w:ascii="新細明體" w:hAnsi="新細明體" w:cs="細明體" w:hint="eastAsia"/>
          <w:kern w:val="0"/>
          <w:szCs w:val="24"/>
        </w:rPr>
        <w:t>，較去年成長27.2%。</w:t>
      </w:r>
      <w:proofErr w:type="gramStart"/>
      <w:r w:rsidRPr="00736108">
        <w:rPr>
          <w:rFonts w:ascii="新細明體" w:hAnsi="新細明體" w:cs="細明體" w:hint="eastAsia"/>
          <w:kern w:val="0"/>
          <w:szCs w:val="24"/>
        </w:rPr>
        <w:t>另離岸</w:t>
      </w:r>
      <w:proofErr w:type="gramEnd"/>
      <w:r w:rsidRPr="00736108">
        <w:rPr>
          <w:rFonts w:ascii="新細明體" w:hAnsi="新細明體" w:cs="細明體" w:hint="eastAsia"/>
          <w:kern w:val="0"/>
          <w:szCs w:val="24"/>
        </w:rPr>
        <w:t>人民幣業務更是蓬勃發展，存款已超過1萬億人民幣，</w:t>
      </w:r>
      <w:r w:rsidR="005D146E" w:rsidRPr="00736108">
        <w:rPr>
          <w:rFonts w:ascii="新細明體" w:hAnsi="新細明體" w:cs="細明體" w:hint="eastAsia"/>
          <w:kern w:val="0"/>
          <w:szCs w:val="24"/>
        </w:rPr>
        <w:t>促使人民幣商</w:t>
      </w:r>
      <w:r w:rsidRPr="00736108">
        <w:rPr>
          <w:rFonts w:ascii="新細明體" w:hAnsi="新細明體" w:cs="細明體" w:hint="eastAsia"/>
          <w:kern w:val="0"/>
          <w:szCs w:val="24"/>
        </w:rPr>
        <w:t>品十分多元，</w:t>
      </w:r>
      <w:r w:rsidR="005D146E" w:rsidRPr="00736108">
        <w:rPr>
          <w:rFonts w:ascii="新細明體" w:hAnsi="新細明體" w:cs="細明體" w:hint="eastAsia"/>
          <w:kern w:val="0"/>
          <w:szCs w:val="24"/>
        </w:rPr>
        <w:t>例如</w:t>
      </w:r>
      <w:r w:rsidRPr="00736108">
        <w:rPr>
          <w:rFonts w:ascii="新細明體" w:hAnsi="新細明體" w:cs="細明體" w:hint="eastAsia"/>
          <w:kern w:val="0"/>
          <w:szCs w:val="24"/>
        </w:rPr>
        <w:t>RQFII基金已獲認可達57檔，並已發行15</w:t>
      </w:r>
      <w:proofErr w:type="gramStart"/>
      <w:r w:rsidRPr="00736108">
        <w:rPr>
          <w:rFonts w:ascii="新細明體" w:hAnsi="新細明體" w:cs="細明體" w:hint="eastAsia"/>
          <w:kern w:val="0"/>
          <w:szCs w:val="24"/>
        </w:rPr>
        <w:t>支點心債</w:t>
      </w:r>
      <w:proofErr w:type="gramEnd"/>
      <w:r w:rsidRPr="00736108">
        <w:rPr>
          <w:rFonts w:ascii="新細明體" w:hAnsi="新細明體" w:cs="細明體" w:hint="eastAsia"/>
          <w:kern w:val="0"/>
          <w:szCs w:val="24"/>
        </w:rPr>
        <w:t>。有關人民幣業務發展部分，</w:t>
      </w:r>
      <w:r w:rsidR="005D146E" w:rsidRPr="00736108">
        <w:rPr>
          <w:rFonts w:ascii="新細明體" w:hAnsi="新細明體" w:cs="細明體" w:hint="eastAsia"/>
          <w:kern w:val="0"/>
          <w:szCs w:val="24"/>
        </w:rPr>
        <w:t>值得注意的是</w:t>
      </w:r>
      <w:r w:rsidRPr="00736108">
        <w:rPr>
          <w:rFonts w:ascii="新細明體" w:hAnsi="新細明體" w:cs="細明體" w:hint="eastAsia"/>
          <w:kern w:val="0"/>
          <w:szCs w:val="24"/>
        </w:rPr>
        <w:t>臺灣已成為繼香港之後的</w:t>
      </w:r>
      <w:proofErr w:type="gramStart"/>
      <w:r w:rsidRPr="00736108">
        <w:rPr>
          <w:rFonts w:ascii="新細明體" w:hAnsi="新細明體" w:cs="細明體" w:hint="eastAsia"/>
          <w:kern w:val="0"/>
          <w:szCs w:val="24"/>
        </w:rPr>
        <w:t>第2大離岸</w:t>
      </w:r>
      <w:proofErr w:type="gramEnd"/>
      <w:r w:rsidRPr="00736108">
        <w:rPr>
          <w:rFonts w:ascii="新細明體" w:hAnsi="新細明體" w:cs="細明體" w:hint="eastAsia"/>
          <w:kern w:val="0"/>
          <w:szCs w:val="24"/>
        </w:rPr>
        <w:t>中心，</w:t>
      </w:r>
      <w:r w:rsidR="005D146E" w:rsidRPr="00736108">
        <w:rPr>
          <w:rFonts w:ascii="新細明體" w:hAnsi="新細明體" w:cs="細明體" w:hint="eastAsia"/>
          <w:kern w:val="0"/>
          <w:szCs w:val="24"/>
        </w:rPr>
        <w:t>香港</w:t>
      </w:r>
      <w:r w:rsidRPr="00736108">
        <w:rPr>
          <w:rFonts w:ascii="新細明體" w:hAnsi="新細明體" w:cs="細明體" w:hint="eastAsia"/>
          <w:kern w:val="0"/>
          <w:szCs w:val="24"/>
        </w:rPr>
        <w:t>欣然樂見其成</w:t>
      </w:r>
      <w:r w:rsidR="005D146E" w:rsidRPr="00736108">
        <w:rPr>
          <w:rFonts w:ascii="新細明體" w:hAnsi="新細明體" w:cs="細明體" w:hint="eastAsia"/>
          <w:kern w:val="0"/>
          <w:szCs w:val="24"/>
        </w:rPr>
        <w:t>。</w:t>
      </w:r>
      <w:proofErr w:type="gramStart"/>
      <w:r w:rsidRPr="00736108">
        <w:rPr>
          <w:rFonts w:ascii="新細明體" w:hAnsi="新細明體" w:cs="細明體" w:hint="eastAsia"/>
          <w:kern w:val="0"/>
          <w:szCs w:val="24"/>
        </w:rPr>
        <w:t>臺</w:t>
      </w:r>
      <w:proofErr w:type="gramEnd"/>
      <w:r w:rsidRPr="00736108">
        <w:rPr>
          <w:rFonts w:ascii="新細明體" w:hAnsi="新細明體" w:cs="細明體" w:hint="eastAsia"/>
          <w:kern w:val="0"/>
          <w:szCs w:val="24"/>
        </w:rPr>
        <w:t>港人民幣業務之成長，對於深化兩岸三地聯繫，助益良多。</w:t>
      </w:r>
      <w:proofErr w:type="gramStart"/>
      <w:r w:rsidR="005D146E" w:rsidRPr="00736108">
        <w:rPr>
          <w:rFonts w:ascii="新細明體" w:hAnsi="新細明體" w:cs="細明體" w:hint="eastAsia"/>
          <w:kern w:val="0"/>
          <w:szCs w:val="24"/>
        </w:rPr>
        <w:t>此外，</w:t>
      </w:r>
      <w:r w:rsidRPr="00736108">
        <w:rPr>
          <w:rFonts w:ascii="新細明體" w:hAnsi="新細明體" w:cs="細明體" w:hint="eastAsia"/>
          <w:kern w:val="0"/>
          <w:szCs w:val="24"/>
        </w:rPr>
        <w:t>今年11月份滬港</w:t>
      </w:r>
      <w:proofErr w:type="gramEnd"/>
      <w:r w:rsidRPr="00736108">
        <w:rPr>
          <w:rFonts w:ascii="新細明體" w:hAnsi="新細明體" w:cs="細明體" w:hint="eastAsia"/>
          <w:kern w:val="0"/>
          <w:szCs w:val="24"/>
        </w:rPr>
        <w:t>通後，香港與中國大陸已開啟合作的新模式，尤其在法規執行與資訊交流方面，</w:t>
      </w:r>
      <w:r w:rsidR="005D146E" w:rsidRPr="00736108">
        <w:rPr>
          <w:rFonts w:ascii="新細明體" w:hAnsi="新細明體" w:cs="細明體" w:hint="eastAsia"/>
          <w:kern w:val="0"/>
          <w:szCs w:val="24"/>
        </w:rPr>
        <w:t>已</w:t>
      </w:r>
      <w:r w:rsidRPr="00736108">
        <w:rPr>
          <w:rFonts w:ascii="新細明體" w:hAnsi="新細明體" w:cs="細明體" w:hint="eastAsia"/>
          <w:kern w:val="0"/>
          <w:szCs w:val="24"/>
        </w:rPr>
        <w:t>建</w:t>
      </w:r>
      <w:r w:rsidR="005D146E" w:rsidRPr="00736108">
        <w:rPr>
          <w:rFonts w:ascii="新細明體" w:hAnsi="新細明體" w:cs="細明體" w:hint="eastAsia"/>
          <w:kern w:val="0"/>
          <w:szCs w:val="24"/>
        </w:rPr>
        <w:t>構</w:t>
      </w:r>
      <w:r w:rsidRPr="00736108">
        <w:rPr>
          <w:rFonts w:ascii="新細明體" w:hAnsi="新細明體" w:cs="細明體" w:hint="eastAsia"/>
          <w:kern w:val="0"/>
          <w:szCs w:val="24"/>
        </w:rPr>
        <w:t>相關</w:t>
      </w:r>
      <w:r w:rsidR="005D146E" w:rsidRPr="00736108">
        <w:rPr>
          <w:rFonts w:ascii="新細明體" w:hAnsi="新細明體" w:cs="細明體" w:hint="eastAsia"/>
          <w:kern w:val="0"/>
          <w:szCs w:val="24"/>
        </w:rPr>
        <w:t>的交流</w:t>
      </w:r>
      <w:r w:rsidRPr="00736108">
        <w:rPr>
          <w:rFonts w:ascii="新細明體" w:hAnsi="新細明體" w:cs="細明體" w:hint="eastAsia"/>
          <w:kern w:val="0"/>
          <w:szCs w:val="24"/>
        </w:rPr>
        <w:t>基礎。</w:t>
      </w:r>
    </w:p>
    <w:p w:rsidR="00093C20" w:rsidRPr="00736108" w:rsidRDefault="00B14328" w:rsidP="00736108">
      <w:pPr>
        <w:pStyle w:val="a8"/>
        <w:widowControl/>
        <w:spacing w:before="100" w:beforeAutospacing="1" w:after="100" w:afterAutospacing="1" w:line="460" w:lineRule="exact"/>
        <w:ind w:leftChars="0" w:left="958"/>
        <w:jc w:val="both"/>
        <w:textAlignment w:val="baseline"/>
        <w:rPr>
          <w:rFonts w:ascii="新細明體" w:hAnsi="新細明體" w:cs="細明體"/>
          <w:kern w:val="0"/>
          <w:szCs w:val="24"/>
        </w:rPr>
      </w:pPr>
      <w:r w:rsidRPr="00736108">
        <w:rPr>
          <w:rFonts w:ascii="新細明體" w:hAnsi="新細明體" w:cs="細明體" w:hint="eastAsia"/>
          <w:kern w:val="0"/>
          <w:szCs w:val="24"/>
        </w:rPr>
        <w:t xml:space="preserve">    </w:t>
      </w:r>
      <w:r w:rsidRPr="00736108">
        <w:rPr>
          <w:rFonts w:ascii="新細明體" w:hAnsi="新細明體" w:cs="細明體"/>
          <w:kern w:val="0"/>
          <w:szCs w:val="24"/>
        </w:rPr>
        <w:t>2008</w:t>
      </w:r>
      <w:r w:rsidRPr="00736108">
        <w:rPr>
          <w:rFonts w:ascii="新細明體" w:hAnsi="新細明體" w:cs="細明體" w:hint="eastAsia"/>
          <w:kern w:val="0"/>
          <w:szCs w:val="24"/>
        </w:rPr>
        <w:t>年金融海嘯的影響</w:t>
      </w:r>
      <w:proofErr w:type="gramStart"/>
      <w:r w:rsidRPr="00736108">
        <w:rPr>
          <w:rFonts w:ascii="新細明體" w:hAnsi="新細明體" w:cs="細明體" w:hint="eastAsia"/>
          <w:kern w:val="0"/>
          <w:szCs w:val="24"/>
        </w:rPr>
        <w:t>至今未</w:t>
      </w:r>
      <w:r w:rsidR="005D146E" w:rsidRPr="00736108">
        <w:rPr>
          <w:rFonts w:ascii="新細明體" w:hAnsi="新細明體" w:cs="細明體" w:hint="eastAsia"/>
          <w:kern w:val="0"/>
          <w:szCs w:val="24"/>
        </w:rPr>
        <w:t>仍未</w:t>
      </w:r>
      <w:proofErr w:type="gramEnd"/>
      <w:r w:rsidRPr="00736108">
        <w:rPr>
          <w:rFonts w:ascii="新細明體" w:hAnsi="新細明體" w:cs="細明體" w:hint="eastAsia"/>
          <w:kern w:val="0"/>
          <w:szCs w:val="24"/>
        </w:rPr>
        <w:t>歇止，歐洲部分國家已出現問題，全球金融仍有許多不穩定因素，台港雙方有相似的特徵，即區域較小但</w:t>
      </w:r>
      <w:r w:rsidR="005D146E" w:rsidRPr="00736108">
        <w:rPr>
          <w:rFonts w:ascii="新細明體" w:hAnsi="新細明體" w:cs="細明體" w:hint="eastAsia"/>
          <w:kern w:val="0"/>
          <w:szCs w:val="24"/>
        </w:rPr>
        <w:t>有</w:t>
      </w:r>
      <w:r w:rsidRPr="00736108">
        <w:rPr>
          <w:rFonts w:ascii="新細明體" w:hAnsi="新細明體" w:cs="細明體" w:hint="eastAsia"/>
          <w:kern w:val="0"/>
          <w:szCs w:val="24"/>
        </w:rPr>
        <w:t>較開放</w:t>
      </w:r>
      <w:r w:rsidR="005D146E" w:rsidRPr="00736108">
        <w:rPr>
          <w:rFonts w:ascii="新細明體" w:hAnsi="新細明體" w:cs="細明體" w:hint="eastAsia"/>
          <w:kern w:val="0"/>
          <w:szCs w:val="24"/>
        </w:rPr>
        <w:t>的市場</w:t>
      </w:r>
      <w:r w:rsidRPr="00736108">
        <w:rPr>
          <w:rFonts w:ascii="新細明體" w:hAnsi="新細明體" w:cs="細明體" w:hint="eastAsia"/>
          <w:kern w:val="0"/>
          <w:szCs w:val="24"/>
        </w:rPr>
        <w:t>，所以雙方應該要在這交流平台下進行更緊密的溝通</w:t>
      </w:r>
      <w:r w:rsidR="005D146E" w:rsidRPr="00736108">
        <w:rPr>
          <w:rFonts w:ascii="新細明體" w:hAnsi="新細明體" w:cs="細明體" w:hint="eastAsia"/>
          <w:kern w:val="0"/>
          <w:szCs w:val="24"/>
        </w:rPr>
        <w:t>與交流</w:t>
      </w:r>
      <w:r w:rsidRPr="00736108">
        <w:rPr>
          <w:rFonts w:ascii="新細明體" w:hAnsi="新細明體" w:cs="細明體" w:hint="eastAsia"/>
          <w:kern w:val="0"/>
          <w:szCs w:val="24"/>
        </w:rPr>
        <w:t>，</w:t>
      </w:r>
      <w:proofErr w:type="gramStart"/>
      <w:r w:rsidRPr="00736108">
        <w:rPr>
          <w:rFonts w:ascii="新細明體" w:hAnsi="新細明體" w:cs="細明體" w:hint="eastAsia"/>
          <w:kern w:val="0"/>
          <w:szCs w:val="24"/>
        </w:rPr>
        <w:t>，</w:t>
      </w:r>
      <w:proofErr w:type="gramEnd"/>
      <w:r w:rsidRPr="00736108">
        <w:rPr>
          <w:rFonts w:ascii="新細明體" w:hAnsi="新細明體" w:cs="細明體" w:hint="eastAsia"/>
          <w:kern w:val="0"/>
          <w:szCs w:val="24"/>
        </w:rPr>
        <w:t>使</w:t>
      </w:r>
      <w:proofErr w:type="gramStart"/>
      <w:r w:rsidRPr="00736108">
        <w:rPr>
          <w:rFonts w:ascii="新細明體" w:hAnsi="新細明體" w:cs="細明體" w:hint="eastAsia"/>
          <w:kern w:val="0"/>
          <w:szCs w:val="24"/>
        </w:rPr>
        <w:t>臺</w:t>
      </w:r>
      <w:proofErr w:type="gramEnd"/>
      <w:r w:rsidRPr="00736108">
        <w:rPr>
          <w:rFonts w:ascii="新細明體" w:hAnsi="新細明體" w:cs="細明體" w:hint="eastAsia"/>
          <w:kern w:val="0"/>
          <w:szCs w:val="24"/>
        </w:rPr>
        <w:t>港</w:t>
      </w:r>
      <w:r w:rsidR="005D146E" w:rsidRPr="00736108">
        <w:rPr>
          <w:rFonts w:ascii="新細明體" w:hAnsi="新細明體" w:cs="細明體" w:hint="eastAsia"/>
          <w:kern w:val="0"/>
          <w:szCs w:val="24"/>
        </w:rPr>
        <w:t>間</w:t>
      </w:r>
      <w:r w:rsidRPr="00736108">
        <w:rPr>
          <w:rFonts w:ascii="新細明體" w:hAnsi="新細明體" w:cs="細明體" w:hint="eastAsia"/>
          <w:kern w:val="0"/>
          <w:szCs w:val="24"/>
        </w:rPr>
        <w:t>推行的各項措施與市場運作能更有成效，預祝本日會議能圓滿成功。</w:t>
      </w:r>
    </w:p>
    <w:p w:rsidR="00B14328" w:rsidRDefault="00883ED0" w:rsidP="0000284D">
      <w:pPr>
        <w:pStyle w:val="a8"/>
        <w:numPr>
          <w:ilvl w:val="0"/>
          <w:numId w:val="24"/>
        </w:numPr>
        <w:spacing w:line="460" w:lineRule="exact"/>
        <w:ind w:leftChars="0" w:left="964" w:hanging="482"/>
      </w:pPr>
      <w:proofErr w:type="gramStart"/>
      <w:r>
        <w:rPr>
          <w:rFonts w:hint="eastAsia"/>
        </w:rPr>
        <w:t>本會黃副主任委員天牧致詞</w:t>
      </w:r>
      <w:proofErr w:type="gramEnd"/>
    </w:p>
    <w:p w:rsidR="00883ED0" w:rsidRPr="00883ED0" w:rsidRDefault="00883ED0" w:rsidP="00736108">
      <w:pPr>
        <w:pStyle w:val="a8"/>
        <w:widowControl/>
        <w:spacing w:before="100" w:beforeAutospacing="1" w:after="100" w:afterAutospacing="1" w:line="460" w:lineRule="exact"/>
        <w:ind w:leftChars="0" w:left="958"/>
        <w:jc w:val="both"/>
        <w:textAlignment w:val="baseline"/>
        <w:rPr>
          <w:rFonts w:eastAsia="細明體" w:hAnsi="細明體"/>
          <w:szCs w:val="24"/>
        </w:rPr>
      </w:pPr>
      <w:r>
        <w:rPr>
          <w:rFonts w:eastAsia="細明體" w:hAnsi="細明體" w:hint="eastAsia"/>
          <w:szCs w:val="24"/>
        </w:rPr>
        <w:t xml:space="preserve">    </w:t>
      </w:r>
      <w:r w:rsidRPr="00883ED0">
        <w:rPr>
          <w:rFonts w:eastAsia="細明體" w:hAnsi="細明體" w:hint="eastAsia"/>
          <w:szCs w:val="24"/>
        </w:rPr>
        <w:t>黃副主委首先感謝香港證監會的熱情接待，</w:t>
      </w:r>
      <w:proofErr w:type="gramStart"/>
      <w:r w:rsidRPr="00883ED0">
        <w:rPr>
          <w:rFonts w:eastAsia="細明體" w:hAnsi="細明體" w:hint="eastAsia"/>
          <w:szCs w:val="24"/>
        </w:rPr>
        <w:t>臺</w:t>
      </w:r>
      <w:proofErr w:type="gramEnd"/>
      <w:r w:rsidRPr="00883ED0">
        <w:rPr>
          <w:rFonts w:eastAsia="細明體" w:hAnsi="細明體" w:hint="eastAsia"/>
          <w:szCs w:val="24"/>
        </w:rPr>
        <w:t>港證券監理機關聯繫會議舉辦至今已第六屆，</w:t>
      </w:r>
      <w:r w:rsidRPr="00883ED0">
        <w:rPr>
          <w:rFonts w:eastAsia="細明體" w:hAnsi="細明體" w:cs="細明體" w:hint="eastAsia"/>
          <w:kern w:val="0"/>
          <w:szCs w:val="24"/>
        </w:rPr>
        <w:t>成為</w:t>
      </w:r>
      <w:r w:rsidRPr="00883ED0">
        <w:rPr>
          <w:rFonts w:eastAsia="細明體" w:hAnsi="細明體" w:hint="eastAsia"/>
          <w:szCs w:val="24"/>
        </w:rPr>
        <w:t>雙方溝通交流的重要平台，其中張副</w:t>
      </w:r>
      <w:r w:rsidR="00E01530">
        <w:rPr>
          <w:rFonts w:eastAsia="細明體" w:hAnsi="細明體" w:hint="eastAsia"/>
          <w:szCs w:val="24"/>
        </w:rPr>
        <w:t>行政</w:t>
      </w:r>
      <w:r w:rsidRPr="00883ED0">
        <w:rPr>
          <w:rFonts w:eastAsia="細明體" w:hAnsi="細明體" w:hint="eastAsia"/>
          <w:szCs w:val="24"/>
        </w:rPr>
        <w:t>總裁的貢獻良多。</w:t>
      </w:r>
    </w:p>
    <w:p w:rsidR="00883ED0" w:rsidRPr="00883ED0" w:rsidRDefault="00883ED0" w:rsidP="00736108">
      <w:pPr>
        <w:pStyle w:val="a8"/>
        <w:widowControl/>
        <w:spacing w:before="100" w:beforeAutospacing="1" w:after="100" w:afterAutospacing="1" w:line="460" w:lineRule="exact"/>
        <w:ind w:leftChars="0" w:left="958"/>
        <w:jc w:val="both"/>
        <w:textAlignment w:val="baseline"/>
        <w:rPr>
          <w:rFonts w:eastAsia="細明體" w:hAnsi="細明體"/>
          <w:szCs w:val="24"/>
        </w:rPr>
      </w:pPr>
      <w:r>
        <w:rPr>
          <w:rFonts w:eastAsia="細明體" w:hAnsi="細明體" w:hint="eastAsia"/>
          <w:szCs w:val="24"/>
        </w:rPr>
        <w:lastRenderedPageBreak/>
        <w:t xml:space="preserve">    </w:t>
      </w:r>
      <w:r w:rsidRPr="00883ED0">
        <w:rPr>
          <w:rFonts w:eastAsia="細明體" w:hAnsi="細明體" w:hint="eastAsia"/>
          <w:szCs w:val="24"/>
        </w:rPr>
        <w:t>現今世界主要國家所面臨的共同問題是如何維持永續的成長，且讓大多數人都能獲利，尤其在目前不穩定的時代，實為不易。基於關心年輕人的未來發展，臺灣政府相關單位均積極推動各項措施，例如經濟部成立青年創業專案，在其網站上並有「青年創業及圓夢網」專區；金管會也責成櫃買中心成立</w:t>
      </w:r>
      <w:proofErr w:type="gramStart"/>
      <w:r w:rsidRPr="00883ED0">
        <w:rPr>
          <w:rFonts w:eastAsia="細明體" w:hAnsi="細明體" w:hint="eastAsia"/>
          <w:szCs w:val="24"/>
        </w:rPr>
        <w:t>創櫃板，由櫃</w:t>
      </w:r>
      <w:proofErr w:type="gramEnd"/>
      <w:r w:rsidRPr="00883ED0">
        <w:rPr>
          <w:rFonts w:eastAsia="細明體" w:hAnsi="細明體" w:hint="eastAsia"/>
          <w:szCs w:val="24"/>
        </w:rPr>
        <w:t>買中心編列預算輔導年輕人，讓年輕人可以提供創意點子並且順利籌資，目前已有</w:t>
      </w:r>
      <w:r w:rsidRPr="00883ED0">
        <w:rPr>
          <w:rFonts w:eastAsia="細明體" w:hAnsi="細明體"/>
          <w:szCs w:val="24"/>
        </w:rPr>
        <w:t>39</w:t>
      </w:r>
      <w:r w:rsidRPr="00883ED0">
        <w:rPr>
          <w:rFonts w:eastAsia="細明體" w:hAnsi="細明體" w:hint="eastAsia"/>
          <w:szCs w:val="24"/>
        </w:rPr>
        <w:t>家公司登陸</w:t>
      </w:r>
      <w:proofErr w:type="gramStart"/>
      <w:r w:rsidRPr="00883ED0">
        <w:rPr>
          <w:rFonts w:eastAsia="細明體" w:hAnsi="細明體" w:hint="eastAsia"/>
          <w:szCs w:val="24"/>
        </w:rPr>
        <w:t>創櫃板</w:t>
      </w:r>
      <w:proofErr w:type="gramEnd"/>
      <w:r w:rsidRPr="00883ED0">
        <w:rPr>
          <w:rFonts w:eastAsia="細明體" w:hAnsi="細明體" w:hint="eastAsia"/>
          <w:szCs w:val="24"/>
        </w:rPr>
        <w:t>，其中</w:t>
      </w:r>
      <w:r w:rsidRPr="00883ED0">
        <w:rPr>
          <w:rFonts w:eastAsia="細明體" w:hAnsi="細明體"/>
          <w:szCs w:val="24"/>
        </w:rPr>
        <w:t>21</w:t>
      </w:r>
      <w:r w:rsidRPr="00883ED0">
        <w:rPr>
          <w:rFonts w:eastAsia="細明體" w:hAnsi="細明體" w:hint="eastAsia"/>
          <w:szCs w:val="24"/>
        </w:rPr>
        <w:t>家屬文化創意產業，</w:t>
      </w:r>
      <w:r w:rsidRPr="00883ED0">
        <w:rPr>
          <w:rFonts w:eastAsia="細明體" w:hAnsi="細明體"/>
          <w:szCs w:val="24"/>
        </w:rPr>
        <w:t>11</w:t>
      </w:r>
      <w:r w:rsidRPr="00883ED0">
        <w:rPr>
          <w:rFonts w:eastAsia="細明體" w:hAnsi="細明體" w:hint="eastAsia"/>
          <w:szCs w:val="24"/>
        </w:rPr>
        <w:t>家屬科技事業，提供</w:t>
      </w:r>
      <w:r w:rsidR="008A37E2">
        <w:rPr>
          <w:rFonts w:eastAsia="細明體" w:hAnsi="細明體" w:hint="eastAsia"/>
          <w:szCs w:val="24"/>
        </w:rPr>
        <w:t>青年</w:t>
      </w:r>
      <w:r w:rsidRPr="00883ED0">
        <w:rPr>
          <w:rFonts w:eastAsia="細明體" w:hAnsi="細明體" w:hint="eastAsia"/>
          <w:szCs w:val="24"/>
        </w:rPr>
        <w:t>圓夢的平台並提升社會穩定的動能。另為因應目前虛擬網路世界的快速發展，臺灣主管機關的相關法規也都朝電子商務的方向修正。</w:t>
      </w:r>
    </w:p>
    <w:p w:rsidR="00883ED0" w:rsidRPr="00883ED0" w:rsidRDefault="00883ED0" w:rsidP="00736108">
      <w:pPr>
        <w:pStyle w:val="a8"/>
        <w:widowControl/>
        <w:spacing w:before="100" w:beforeAutospacing="1" w:after="100" w:afterAutospacing="1" w:line="460" w:lineRule="exact"/>
        <w:ind w:leftChars="0" w:left="958"/>
        <w:jc w:val="both"/>
        <w:textAlignment w:val="baseline"/>
        <w:rPr>
          <w:rFonts w:eastAsia="細明體" w:hAnsi="細明體"/>
          <w:szCs w:val="24"/>
        </w:rPr>
      </w:pPr>
      <w:r>
        <w:rPr>
          <w:rFonts w:eastAsia="細明體" w:hAnsi="細明體" w:hint="eastAsia"/>
          <w:szCs w:val="24"/>
        </w:rPr>
        <w:t xml:space="preserve">    </w:t>
      </w:r>
      <w:r w:rsidRPr="00883ED0">
        <w:rPr>
          <w:rFonts w:eastAsia="細明體" w:hAnsi="細明體" w:hint="eastAsia"/>
          <w:szCs w:val="24"/>
        </w:rPr>
        <w:t>此外臺灣人民幣業務的發展</w:t>
      </w:r>
      <w:r w:rsidR="00E01530">
        <w:rPr>
          <w:rFonts w:eastAsia="細明體" w:hAnsi="細明體" w:hint="eastAsia"/>
          <w:szCs w:val="24"/>
        </w:rPr>
        <w:t>也</w:t>
      </w:r>
      <w:r w:rsidRPr="00883ED0">
        <w:rPr>
          <w:rFonts w:eastAsia="細明體" w:hAnsi="細明體" w:hint="eastAsia"/>
          <w:szCs w:val="24"/>
        </w:rPr>
        <w:t>與香港一樣十分蓬勃，人民幣存款已超過</w:t>
      </w:r>
      <w:r w:rsidRPr="00883ED0">
        <w:rPr>
          <w:rFonts w:eastAsia="細明體" w:hAnsi="細明體"/>
          <w:szCs w:val="24"/>
        </w:rPr>
        <w:t>3</w:t>
      </w:r>
      <w:r w:rsidRPr="00883ED0">
        <w:rPr>
          <w:rFonts w:eastAsia="細明體" w:hAnsi="細明體" w:hint="eastAsia"/>
          <w:szCs w:val="24"/>
        </w:rPr>
        <w:t>千億人民幣，因此開放許多人民幣</w:t>
      </w:r>
      <w:r w:rsidR="0067620E">
        <w:rPr>
          <w:rFonts w:eastAsia="細明體" w:hAnsi="細明體" w:hint="eastAsia"/>
          <w:szCs w:val="24"/>
        </w:rPr>
        <w:t>商</w:t>
      </w:r>
      <w:r w:rsidRPr="00883ED0">
        <w:rPr>
          <w:rFonts w:eastAsia="細明體" w:hAnsi="細明體" w:hint="eastAsia"/>
          <w:szCs w:val="24"/>
        </w:rPr>
        <w:t>品，例如目前發行</w:t>
      </w:r>
      <w:r w:rsidR="0067620E">
        <w:rPr>
          <w:rFonts w:eastAsia="細明體" w:hAnsi="細明體" w:hint="eastAsia"/>
          <w:szCs w:val="24"/>
        </w:rPr>
        <w:t>人民幣計價</w:t>
      </w:r>
      <w:r w:rsidRPr="00883ED0">
        <w:rPr>
          <w:rFonts w:eastAsia="細明體" w:hAnsi="細明體" w:hint="eastAsia"/>
          <w:szCs w:val="24"/>
        </w:rPr>
        <w:t>債</w:t>
      </w:r>
      <w:r w:rsidR="0067620E">
        <w:rPr>
          <w:rFonts w:eastAsia="細明體" w:hAnsi="細明體" w:hint="eastAsia"/>
          <w:szCs w:val="24"/>
        </w:rPr>
        <w:t>券</w:t>
      </w:r>
      <w:r w:rsidRPr="00883ED0">
        <w:rPr>
          <w:rFonts w:eastAsia="細明體" w:hAnsi="細明體" w:hint="eastAsia"/>
          <w:szCs w:val="24"/>
        </w:rPr>
        <w:t>已經達</w:t>
      </w:r>
      <w:r w:rsidR="0067620E">
        <w:rPr>
          <w:rFonts w:eastAsia="細明體" w:hAnsi="細明體" w:hint="eastAsia"/>
          <w:szCs w:val="24"/>
        </w:rPr>
        <w:t>39</w:t>
      </w:r>
      <w:r w:rsidR="0067620E">
        <w:rPr>
          <w:rFonts w:eastAsia="細明體" w:hAnsi="細明體" w:hint="eastAsia"/>
          <w:szCs w:val="24"/>
        </w:rPr>
        <w:t>檔，餘額超過</w:t>
      </w:r>
      <w:r w:rsidRPr="00883ED0">
        <w:rPr>
          <w:rFonts w:eastAsia="細明體" w:hAnsi="細明體"/>
          <w:szCs w:val="24"/>
        </w:rPr>
        <w:t>250</w:t>
      </w:r>
      <w:r w:rsidRPr="00883ED0">
        <w:rPr>
          <w:rFonts w:eastAsia="細明體" w:hAnsi="細明體" w:hint="eastAsia"/>
          <w:szCs w:val="24"/>
        </w:rPr>
        <w:t>億人民幣，相關業務成長快速。</w:t>
      </w:r>
    </w:p>
    <w:p w:rsidR="00883ED0" w:rsidRPr="00883ED0" w:rsidRDefault="00883ED0" w:rsidP="00736108">
      <w:pPr>
        <w:pStyle w:val="a8"/>
        <w:widowControl/>
        <w:spacing w:before="100" w:beforeAutospacing="1" w:after="100" w:afterAutospacing="1" w:line="460" w:lineRule="exact"/>
        <w:ind w:leftChars="0" w:left="958"/>
        <w:jc w:val="both"/>
        <w:textAlignment w:val="baseline"/>
        <w:rPr>
          <w:rFonts w:eastAsia="細明體" w:hAnsi="細明體"/>
          <w:szCs w:val="24"/>
        </w:rPr>
      </w:pPr>
      <w:r>
        <w:rPr>
          <w:rFonts w:eastAsia="細明體" w:hAnsi="細明體" w:hint="eastAsia"/>
          <w:szCs w:val="24"/>
        </w:rPr>
        <w:t xml:space="preserve">    </w:t>
      </w:r>
      <w:r w:rsidRPr="00883ED0">
        <w:rPr>
          <w:rFonts w:eastAsia="細明體" w:hAnsi="細明體" w:hint="eastAsia"/>
          <w:szCs w:val="24"/>
        </w:rPr>
        <w:t>值得注意的是臺灣目前</w:t>
      </w:r>
      <w:r w:rsidR="0076505C">
        <w:rPr>
          <w:rFonts w:eastAsia="細明體" w:hAnsi="細明體" w:hint="eastAsia"/>
          <w:szCs w:val="24"/>
        </w:rPr>
        <w:t>亦</w:t>
      </w:r>
      <w:r w:rsidRPr="00883ED0">
        <w:rPr>
          <w:rFonts w:eastAsia="細明體" w:hAnsi="細明體" w:hint="eastAsia"/>
          <w:szCs w:val="24"/>
        </w:rPr>
        <w:t>面臨產業結構調整的問題，尤其</w:t>
      </w:r>
      <w:r w:rsidRPr="00883ED0">
        <w:rPr>
          <w:rFonts w:eastAsia="細明體" w:hAnsi="細明體"/>
          <w:szCs w:val="24"/>
        </w:rPr>
        <w:t>IT</w:t>
      </w:r>
      <w:r w:rsidRPr="00883ED0">
        <w:rPr>
          <w:rFonts w:eastAsia="細明體" w:hAnsi="細明體" w:hint="eastAsia"/>
          <w:szCs w:val="24"/>
        </w:rPr>
        <w:t>產業的轉變是另一項挑戰。因此以港為師，藉由吸取香港的經驗，將可作為政府在社會及產業轉型時施政的參考</w:t>
      </w:r>
      <w:r w:rsidR="0076505C">
        <w:rPr>
          <w:rFonts w:eastAsia="細明體" w:hAnsi="細明體" w:hint="eastAsia"/>
          <w:szCs w:val="24"/>
        </w:rPr>
        <w:t>對象</w:t>
      </w:r>
      <w:r w:rsidRPr="00883ED0">
        <w:rPr>
          <w:rFonts w:eastAsia="細明體" w:hAnsi="細明體" w:hint="eastAsia"/>
          <w:szCs w:val="24"/>
        </w:rPr>
        <w:t>。</w:t>
      </w:r>
    </w:p>
    <w:p w:rsidR="00883ED0" w:rsidRPr="00883ED0" w:rsidRDefault="00883ED0" w:rsidP="00736108">
      <w:pPr>
        <w:pStyle w:val="a8"/>
        <w:widowControl/>
        <w:spacing w:before="100" w:beforeAutospacing="1" w:after="100" w:afterAutospacing="1" w:line="460" w:lineRule="exact"/>
        <w:ind w:leftChars="0" w:left="958"/>
        <w:jc w:val="both"/>
        <w:textAlignment w:val="baseline"/>
        <w:rPr>
          <w:rFonts w:eastAsia="細明體" w:hAnsi="細明體"/>
          <w:szCs w:val="24"/>
        </w:rPr>
      </w:pPr>
      <w:r>
        <w:rPr>
          <w:rFonts w:eastAsia="細明體" w:hAnsi="細明體" w:hint="eastAsia"/>
          <w:szCs w:val="24"/>
        </w:rPr>
        <w:t xml:space="preserve">    </w:t>
      </w:r>
      <w:r w:rsidRPr="00883ED0">
        <w:rPr>
          <w:rFonts w:eastAsia="細明體" w:hAnsi="細明體" w:hint="eastAsia"/>
          <w:szCs w:val="24"/>
        </w:rPr>
        <w:t>本次討論「上市公司辦理現金增資發行普通股之相關規範」</w:t>
      </w:r>
      <w:r w:rsidR="0076505C">
        <w:rPr>
          <w:rFonts w:eastAsia="細明體" w:hAnsi="細明體" w:hint="eastAsia"/>
          <w:szCs w:val="24"/>
        </w:rPr>
        <w:t>等三項議題，</w:t>
      </w:r>
      <w:proofErr w:type="gramStart"/>
      <w:r w:rsidRPr="00883ED0">
        <w:rPr>
          <w:rFonts w:eastAsia="細明體" w:hAnsi="細明體" w:hint="eastAsia"/>
          <w:szCs w:val="24"/>
        </w:rPr>
        <w:t>均深具</w:t>
      </w:r>
      <w:proofErr w:type="gramEnd"/>
      <w:r w:rsidRPr="00883ED0">
        <w:rPr>
          <w:rFonts w:eastAsia="細明體" w:hAnsi="細明體" w:hint="eastAsia"/>
          <w:szCs w:val="24"/>
        </w:rPr>
        <w:t>意義</w:t>
      </w:r>
      <w:r w:rsidRPr="00883ED0">
        <w:rPr>
          <w:rFonts w:ascii="細明體" w:eastAsia="細明體" w:hAnsi="細明體" w:hint="eastAsia"/>
          <w:szCs w:val="24"/>
        </w:rPr>
        <w:t>，</w:t>
      </w:r>
      <w:r w:rsidR="0076505C">
        <w:rPr>
          <w:rFonts w:ascii="細明體" w:eastAsia="細明體" w:hAnsi="細明體" w:hint="eastAsia"/>
          <w:szCs w:val="24"/>
        </w:rPr>
        <w:t>都是本會審查相關案件時發現疑義，故擬</w:t>
      </w:r>
      <w:r w:rsidRPr="00883ED0">
        <w:rPr>
          <w:rFonts w:ascii="細明體" w:eastAsia="細明體" w:hAnsi="細明體" w:hint="eastAsia"/>
          <w:szCs w:val="24"/>
        </w:rPr>
        <w:t>進一步瞭解香港主管機關在制度</w:t>
      </w:r>
      <w:r w:rsidRPr="00883ED0">
        <w:rPr>
          <w:rFonts w:eastAsia="細明體" w:hAnsi="細明體" w:hint="eastAsia"/>
          <w:szCs w:val="24"/>
        </w:rPr>
        <w:t>設計時的考量因素，以為</w:t>
      </w:r>
      <w:r w:rsidR="0076505C">
        <w:rPr>
          <w:rFonts w:eastAsia="細明體" w:hAnsi="細明體" w:hint="eastAsia"/>
          <w:szCs w:val="24"/>
        </w:rPr>
        <w:t>將來</w:t>
      </w:r>
      <w:proofErr w:type="gramStart"/>
      <w:r w:rsidRPr="00883ED0">
        <w:rPr>
          <w:rFonts w:eastAsia="細明體" w:hAnsi="細明體" w:hint="eastAsia"/>
          <w:szCs w:val="24"/>
        </w:rPr>
        <w:t>研</w:t>
      </w:r>
      <w:proofErr w:type="gramEnd"/>
      <w:r w:rsidRPr="00883ED0">
        <w:rPr>
          <w:rFonts w:eastAsia="細明體" w:hAnsi="細明體" w:hint="eastAsia"/>
          <w:szCs w:val="24"/>
        </w:rPr>
        <w:t>議法規修正時的參考。</w:t>
      </w:r>
    </w:p>
    <w:p w:rsidR="00883ED0" w:rsidRDefault="00883ED0" w:rsidP="00736108">
      <w:pPr>
        <w:pStyle w:val="a8"/>
        <w:widowControl/>
        <w:spacing w:before="100" w:beforeAutospacing="1" w:after="100" w:afterAutospacing="1" w:line="460" w:lineRule="exact"/>
        <w:ind w:leftChars="0" w:left="958"/>
        <w:jc w:val="both"/>
        <w:textAlignment w:val="baseline"/>
        <w:rPr>
          <w:rFonts w:eastAsia="細明體" w:hAnsi="細明體"/>
          <w:szCs w:val="24"/>
        </w:rPr>
      </w:pPr>
      <w:r>
        <w:rPr>
          <w:rFonts w:eastAsia="細明體" w:hAnsi="細明體" w:hint="eastAsia"/>
          <w:szCs w:val="24"/>
        </w:rPr>
        <w:t xml:space="preserve">    </w:t>
      </w:r>
      <w:r w:rsidR="0076505C">
        <w:rPr>
          <w:rFonts w:eastAsia="細明體" w:hAnsi="細明體" w:hint="eastAsia"/>
          <w:szCs w:val="24"/>
        </w:rPr>
        <w:t>這次</w:t>
      </w:r>
      <w:r w:rsidRPr="00883ED0">
        <w:rPr>
          <w:rFonts w:eastAsia="細明體" w:hAnsi="細明體" w:hint="eastAsia"/>
          <w:szCs w:val="24"/>
        </w:rPr>
        <w:t>真的很高興能再次</w:t>
      </w:r>
      <w:r w:rsidR="008A37E2">
        <w:rPr>
          <w:rFonts w:eastAsia="細明體" w:hAnsi="細明體" w:hint="eastAsia"/>
          <w:szCs w:val="24"/>
        </w:rPr>
        <w:t>來到香港</w:t>
      </w:r>
      <w:r w:rsidRPr="00883ED0">
        <w:rPr>
          <w:rFonts w:eastAsia="細明體" w:hAnsi="細明體" w:hint="eastAsia"/>
          <w:szCs w:val="24"/>
        </w:rPr>
        <w:t>，也感謝香港朋友的熱情款待及悉心安排，使此趟行程令人感到充滿溫暖的情誼，謹代表本會</w:t>
      </w:r>
      <w:r w:rsidRPr="00883ED0">
        <w:rPr>
          <w:rFonts w:eastAsia="細明體" w:hAnsi="細明體" w:hint="eastAsia"/>
          <w:szCs w:val="24"/>
        </w:rPr>
        <w:t xml:space="preserve"> </w:t>
      </w:r>
      <w:r w:rsidR="0076505C">
        <w:rPr>
          <w:rFonts w:eastAsia="細明體" w:hAnsi="細明體" w:hint="eastAsia"/>
          <w:szCs w:val="24"/>
        </w:rPr>
        <w:t>曾</w:t>
      </w:r>
      <w:r w:rsidRPr="00883ED0">
        <w:rPr>
          <w:rFonts w:eastAsia="細明體" w:hAnsi="細明體" w:hint="eastAsia"/>
          <w:szCs w:val="24"/>
        </w:rPr>
        <w:t>主任委員及所有同仁獻上最誠摯的謝意及見面禮</w:t>
      </w:r>
      <w:r w:rsidRPr="00883ED0">
        <w:rPr>
          <w:rFonts w:eastAsia="細明體" w:hAnsi="細明體" w:hint="eastAsia"/>
          <w:szCs w:val="24"/>
        </w:rPr>
        <w:t>-</w:t>
      </w:r>
      <w:r w:rsidRPr="00883ED0">
        <w:rPr>
          <w:rFonts w:eastAsia="細明體" w:hAnsi="細明體" w:hint="eastAsia"/>
          <w:szCs w:val="24"/>
        </w:rPr>
        <w:t>琉璃</w:t>
      </w:r>
      <w:r w:rsidRPr="00883ED0">
        <w:rPr>
          <w:rFonts w:eastAsia="細明體" w:hAnsi="細明體" w:hint="eastAsia"/>
          <w:szCs w:val="24"/>
        </w:rPr>
        <w:t>(</w:t>
      </w:r>
      <w:r w:rsidRPr="00883ED0">
        <w:rPr>
          <w:rFonts w:eastAsia="細明體" w:hAnsi="細明體" w:hint="eastAsia"/>
          <w:szCs w:val="24"/>
        </w:rPr>
        <w:t>結伴</w:t>
      </w:r>
      <w:r w:rsidRPr="00883ED0">
        <w:rPr>
          <w:rFonts w:eastAsia="細明體" w:hAnsi="細明體" w:hint="eastAsia"/>
          <w:szCs w:val="24"/>
        </w:rPr>
        <w:t>)</w:t>
      </w:r>
      <w:r w:rsidRPr="00883ED0">
        <w:rPr>
          <w:rFonts w:eastAsia="細明體" w:hAnsi="細明體" w:hint="eastAsia"/>
          <w:szCs w:val="24"/>
        </w:rPr>
        <w:t>，期望彼此能持續保持情誼與緊密的交流，並祝今日會議圓滿成功，謝謝大家。</w:t>
      </w:r>
    </w:p>
    <w:p w:rsidR="00093C20" w:rsidRPr="00736108" w:rsidRDefault="00093C20" w:rsidP="00736108">
      <w:pPr>
        <w:widowControl/>
        <w:spacing w:before="100" w:beforeAutospacing="1" w:after="100" w:afterAutospacing="1" w:line="460" w:lineRule="exact"/>
        <w:jc w:val="both"/>
        <w:textAlignment w:val="baseline"/>
        <w:rPr>
          <w:rFonts w:eastAsia="細明體" w:hAnsi="細明體"/>
          <w:szCs w:val="24"/>
        </w:rPr>
      </w:pPr>
    </w:p>
    <w:p w:rsidR="00883ED0" w:rsidRPr="00F61091" w:rsidRDefault="003D56EE" w:rsidP="0000284D">
      <w:pPr>
        <w:pStyle w:val="31"/>
        <w:numPr>
          <w:ilvl w:val="0"/>
          <w:numId w:val="25"/>
        </w:numPr>
        <w:spacing w:line="460" w:lineRule="exact"/>
        <w:ind w:left="426"/>
        <w:rPr>
          <w:rFonts w:ascii="新細明體" w:eastAsia="新細明體" w:hAnsi="新細明體"/>
        </w:rPr>
      </w:pPr>
      <w:bookmarkStart w:id="12" w:name="_Toc408301459"/>
      <w:r w:rsidRPr="00F61091">
        <w:rPr>
          <w:rFonts w:ascii="新細明體" w:eastAsia="新細明體" w:hAnsi="新細明體" w:hint="eastAsia"/>
        </w:rPr>
        <w:t>交流議題1</w:t>
      </w:r>
      <w:r w:rsidR="00742897" w:rsidRPr="00F61091">
        <w:rPr>
          <w:rFonts w:ascii="新細明體" w:eastAsia="新細明體" w:hAnsi="新細明體" w:hint="eastAsia"/>
        </w:rPr>
        <w:t xml:space="preserve"> </w:t>
      </w:r>
      <w:r w:rsidR="00A86714">
        <w:rPr>
          <w:rFonts w:ascii="新細明體" w:eastAsia="新細明體" w:hAnsi="新細明體" w:hint="eastAsia"/>
        </w:rPr>
        <w:t>:</w:t>
      </w:r>
      <w:r w:rsidRPr="00F61091">
        <w:rPr>
          <w:rFonts w:ascii="新細明體" w:eastAsia="新細明體" w:hAnsi="新細明體" w:hint="eastAsia"/>
        </w:rPr>
        <w:t>上市公司辦理現金增資發行普通股之相關規範</w:t>
      </w:r>
      <w:bookmarkEnd w:id="12"/>
    </w:p>
    <w:p w:rsidR="00414686" w:rsidRDefault="00414686" w:rsidP="0000284D">
      <w:pPr>
        <w:pStyle w:val="a8"/>
        <w:numPr>
          <w:ilvl w:val="0"/>
          <w:numId w:val="56"/>
        </w:numPr>
        <w:spacing w:beforeLines="30" w:before="108" w:afterLines="30" w:after="108" w:line="460" w:lineRule="exact"/>
        <w:ind w:leftChars="0" w:left="851" w:hanging="567"/>
        <w:rPr>
          <w:rFonts w:ascii="新細明體" w:hAnsi="新細明體"/>
          <w:szCs w:val="24"/>
        </w:rPr>
      </w:pPr>
      <w:r w:rsidRPr="00D106CE">
        <w:rPr>
          <w:rFonts w:ascii="新細明體" w:hAnsi="新細明體" w:hint="eastAsia"/>
          <w:szCs w:val="24"/>
        </w:rPr>
        <w:t>背景說明</w:t>
      </w:r>
    </w:p>
    <w:p w:rsidR="00CF5740" w:rsidRDefault="00677D33" w:rsidP="00736108">
      <w:pPr>
        <w:pStyle w:val="a8"/>
        <w:spacing w:beforeLines="30" w:before="108" w:afterLines="30" w:after="108" w:line="460" w:lineRule="exact"/>
        <w:ind w:left="850" w:hangingChars="154" w:hanging="370"/>
        <w:rPr>
          <w:rFonts w:ascii="新細明體" w:hAnsi="新細明體"/>
          <w:szCs w:val="24"/>
        </w:rPr>
      </w:pPr>
      <w:r>
        <w:rPr>
          <w:rFonts w:ascii="新細明體" w:hAnsi="新細明體" w:hint="eastAsia"/>
          <w:szCs w:val="24"/>
        </w:rPr>
        <w:t xml:space="preserve">   </w:t>
      </w:r>
      <w:r w:rsidRPr="00677D33">
        <w:rPr>
          <w:rFonts w:ascii="新細明體" w:hAnsi="新細明體" w:hint="eastAsia"/>
          <w:szCs w:val="24"/>
        </w:rPr>
        <w:t>香港與臺灣現行</w:t>
      </w:r>
      <w:r w:rsidR="00C7119B">
        <w:rPr>
          <w:rFonts w:ascii="新細明體" w:hAnsi="新細明體" w:hint="eastAsia"/>
          <w:szCs w:val="24"/>
        </w:rPr>
        <w:t>對SPO</w:t>
      </w:r>
      <w:r w:rsidRPr="00677D33">
        <w:rPr>
          <w:rFonts w:ascii="新細明體" w:hAnsi="新細明體" w:hint="eastAsia"/>
          <w:szCs w:val="24"/>
        </w:rPr>
        <w:t>規範</w:t>
      </w:r>
      <w:r>
        <w:rPr>
          <w:rFonts w:ascii="新細明體" w:hAnsi="新細明體" w:hint="eastAsia"/>
          <w:szCs w:val="24"/>
        </w:rPr>
        <w:t>存在差異，例如</w:t>
      </w:r>
      <w:r w:rsidRPr="00677D33">
        <w:rPr>
          <w:rFonts w:ascii="新細明體" w:hAnsi="新細明體" w:hint="eastAsia"/>
          <w:szCs w:val="24"/>
        </w:rPr>
        <w:t>臺灣</w:t>
      </w:r>
      <w:r>
        <w:rPr>
          <w:rFonts w:ascii="新細明體" w:hAnsi="新細明體" w:hint="eastAsia"/>
          <w:szCs w:val="24"/>
        </w:rPr>
        <w:t>方面應</w:t>
      </w:r>
      <w:r w:rsidRPr="00677D33">
        <w:rPr>
          <w:rFonts w:ascii="新細明體" w:hAnsi="新細明體" w:hint="eastAsia"/>
          <w:szCs w:val="24"/>
        </w:rPr>
        <w:t>經董事會決議辦理</w:t>
      </w:r>
      <w:r>
        <w:rPr>
          <w:rFonts w:ascii="新細明體" w:hAnsi="新細明體" w:hint="eastAsia"/>
          <w:szCs w:val="24"/>
        </w:rPr>
        <w:t>，</w:t>
      </w:r>
      <w:r>
        <w:rPr>
          <w:rFonts w:ascii="新細明體" w:hAnsi="新細明體" w:hint="eastAsia"/>
          <w:szCs w:val="24"/>
        </w:rPr>
        <w:lastRenderedPageBreak/>
        <w:t>香港方面</w:t>
      </w:r>
      <w:r w:rsidRPr="00677D33">
        <w:rPr>
          <w:rFonts w:ascii="新細明體" w:hAnsi="新細明體" w:hint="eastAsia"/>
          <w:szCs w:val="24"/>
        </w:rPr>
        <w:t>需經股東會同意</w:t>
      </w:r>
      <w:r>
        <w:rPr>
          <w:rFonts w:ascii="新細明體" w:hAnsi="新細明體" w:hint="eastAsia"/>
          <w:szCs w:val="24"/>
        </w:rPr>
        <w:t>；以及</w:t>
      </w:r>
      <w:r w:rsidRPr="00677D33">
        <w:rPr>
          <w:rFonts w:ascii="新細明體" w:hAnsi="新細明體" w:hint="eastAsia"/>
          <w:szCs w:val="24"/>
        </w:rPr>
        <w:t>臺灣</w:t>
      </w:r>
      <w:r>
        <w:rPr>
          <w:rFonts w:ascii="新細明體" w:hAnsi="新細明體" w:hint="eastAsia"/>
          <w:szCs w:val="24"/>
        </w:rPr>
        <w:t>方面</w:t>
      </w:r>
      <w:r w:rsidRPr="00677D33">
        <w:rPr>
          <w:rFonts w:ascii="新細明體" w:hAnsi="新細明體" w:hint="eastAsia"/>
          <w:szCs w:val="24"/>
        </w:rPr>
        <w:t>應向證券主管機關申報生效</w:t>
      </w:r>
      <w:r>
        <w:rPr>
          <w:rFonts w:ascii="新細明體" w:hAnsi="新細明體" w:hint="eastAsia"/>
          <w:szCs w:val="24"/>
        </w:rPr>
        <w:t>，</w:t>
      </w:r>
      <w:r w:rsidRPr="00677D33">
        <w:rPr>
          <w:rFonts w:ascii="新細明體" w:hAnsi="新細明體" w:hint="eastAsia"/>
          <w:szCs w:val="24"/>
        </w:rPr>
        <w:t>香港</w:t>
      </w:r>
      <w:r w:rsidR="001F5506">
        <w:rPr>
          <w:rFonts w:ascii="新細明體" w:hAnsi="新細明體" w:hint="eastAsia"/>
          <w:szCs w:val="24"/>
        </w:rPr>
        <w:t>方面係</w:t>
      </w:r>
      <w:r w:rsidRPr="00677D33">
        <w:rPr>
          <w:rFonts w:ascii="新細明體" w:hAnsi="新細明體" w:hint="eastAsia"/>
          <w:szCs w:val="24"/>
        </w:rPr>
        <w:t>基於證監會授權由香港證交所負責審批。為配合外界需求及符合國際規範，擬透過交流進一步瞭解香港上市公司辦理SPO之相關規範及作業程序，以作為未來</w:t>
      </w:r>
      <w:proofErr w:type="gramStart"/>
      <w:r w:rsidRPr="00677D33">
        <w:rPr>
          <w:rFonts w:ascii="新細明體" w:hAnsi="新細明體" w:hint="eastAsia"/>
          <w:szCs w:val="24"/>
        </w:rPr>
        <w:t>研</w:t>
      </w:r>
      <w:proofErr w:type="gramEnd"/>
      <w:r w:rsidRPr="00677D33">
        <w:rPr>
          <w:rFonts w:ascii="新細明體" w:hAnsi="新細明體" w:hint="eastAsia"/>
          <w:szCs w:val="24"/>
        </w:rPr>
        <w:t>議相關制度之參考。</w:t>
      </w:r>
    </w:p>
    <w:p w:rsidR="001F5506" w:rsidRPr="00D106CE" w:rsidRDefault="001F5506" w:rsidP="0000284D">
      <w:pPr>
        <w:pStyle w:val="a8"/>
        <w:numPr>
          <w:ilvl w:val="0"/>
          <w:numId w:val="56"/>
        </w:numPr>
        <w:spacing w:beforeLines="30" w:before="108" w:afterLines="30" w:after="108" w:line="460" w:lineRule="exact"/>
        <w:ind w:leftChars="0" w:left="851" w:hanging="567"/>
        <w:rPr>
          <w:rFonts w:ascii="新細明體" w:hAnsi="新細明體"/>
          <w:szCs w:val="24"/>
        </w:rPr>
      </w:pPr>
      <w:r>
        <w:rPr>
          <w:rFonts w:ascii="新細明體" w:hAnsi="新細明體" w:hint="eastAsia"/>
          <w:szCs w:val="24"/>
        </w:rPr>
        <w:t>會議重點</w:t>
      </w:r>
    </w:p>
    <w:p w:rsidR="00742897" w:rsidRPr="00B95BB1" w:rsidRDefault="00B95BB1" w:rsidP="00736108">
      <w:pPr>
        <w:pStyle w:val="a8"/>
        <w:spacing w:beforeLines="30" w:before="108" w:afterLines="30" w:after="108" w:line="460" w:lineRule="exact"/>
        <w:ind w:left="850" w:hangingChars="154" w:hanging="370"/>
        <w:rPr>
          <w:rFonts w:ascii="新細明體" w:hAnsi="新細明體"/>
        </w:rPr>
      </w:pPr>
      <w:r>
        <w:rPr>
          <w:rFonts w:ascii="新細明體" w:hAnsi="新細明體" w:hint="eastAsia"/>
        </w:rPr>
        <w:t xml:space="preserve"> </w:t>
      </w:r>
      <w:r w:rsidR="00AB74E1">
        <w:rPr>
          <w:rFonts w:ascii="新細明體" w:hAnsi="新細明體" w:hint="eastAsia"/>
        </w:rPr>
        <w:t xml:space="preserve">　</w:t>
      </w:r>
      <w:r w:rsidR="00742897" w:rsidRPr="00B95BB1">
        <w:rPr>
          <w:rFonts w:ascii="新細明體" w:hAnsi="新細明體" w:hint="eastAsia"/>
        </w:rPr>
        <w:t>針對本次議題「</w:t>
      </w:r>
      <w:r w:rsidR="00742897" w:rsidRPr="00AB74E1">
        <w:rPr>
          <w:rFonts w:ascii="新細明體" w:hAnsi="新細明體" w:hint="eastAsia"/>
          <w:szCs w:val="24"/>
        </w:rPr>
        <w:t>上市公司</w:t>
      </w:r>
      <w:r w:rsidR="00742897" w:rsidRPr="00B95BB1">
        <w:rPr>
          <w:rFonts w:ascii="新細明體" w:hAnsi="新細明體" w:hint="eastAsia"/>
        </w:rPr>
        <w:t>辦理現金增資發行普通股之相關規範」，香港之相關規範</w:t>
      </w:r>
      <w:r w:rsidR="00AB74E1">
        <w:rPr>
          <w:rFonts w:ascii="新細明體" w:hAnsi="新細明體" w:hint="eastAsia"/>
        </w:rPr>
        <w:t>摘要重點</w:t>
      </w:r>
      <w:r w:rsidR="00742897" w:rsidRPr="00B95BB1">
        <w:rPr>
          <w:rFonts w:ascii="新細明體" w:hAnsi="新細明體" w:hint="eastAsia"/>
        </w:rPr>
        <w:t>如下:</w:t>
      </w:r>
    </w:p>
    <w:p w:rsidR="00A17E94" w:rsidRDefault="00742897" w:rsidP="0000284D">
      <w:pPr>
        <w:pStyle w:val="a8"/>
        <w:numPr>
          <w:ilvl w:val="0"/>
          <w:numId w:val="32"/>
        </w:numPr>
        <w:spacing w:line="460" w:lineRule="exact"/>
        <w:ind w:leftChars="0" w:left="1276" w:hanging="283"/>
        <w:rPr>
          <w:rFonts w:ascii="新細明體" w:hAnsi="新細明體"/>
          <w:bCs/>
        </w:rPr>
      </w:pPr>
      <w:r w:rsidRPr="005D46EB">
        <w:rPr>
          <w:rFonts w:ascii="新細明體" w:hAnsi="新細明體" w:hint="eastAsia"/>
          <w:bCs/>
        </w:rPr>
        <w:t>香港聯合交易所為上市公司於上市後之第一線監理機構，主要監理原則為：</w:t>
      </w:r>
    </w:p>
    <w:p w:rsidR="00A17E94" w:rsidRPr="00AB74E1" w:rsidRDefault="00A17E94" w:rsidP="0000284D">
      <w:pPr>
        <w:pStyle w:val="a8"/>
        <w:numPr>
          <w:ilvl w:val="0"/>
          <w:numId w:val="61"/>
        </w:numPr>
        <w:spacing w:line="460" w:lineRule="exact"/>
        <w:ind w:leftChars="0"/>
        <w:rPr>
          <w:rFonts w:ascii="新細明體" w:hAnsi="新細明體"/>
          <w:bCs/>
        </w:rPr>
      </w:pPr>
      <w:r w:rsidRPr="00AB74E1">
        <w:rPr>
          <w:rFonts w:ascii="新細明體" w:hAnsi="新細明體" w:hint="eastAsia"/>
          <w:bCs/>
        </w:rPr>
        <w:t>股東受到公平對待；</w:t>
      </w:r>
    </w:p>
    <w:p w:rsidR="00A17E94" w:rsidRPr="00AB74E1" w:rsidRDefault="00A17E94" w:rsidP="0000284D">
      <w:pPr>
        <w:pStyle w:val="a8"/>
        <w:numPr>
          <w:ilvl w:val="0"/>
          <w:numId w:val="61"/>
        </w:numPr>
        <w:spacing w:line="460" w:lineRule="exact"/>
        <w:ind w:leftChars="0"/>
        <w:rPr>
          <w:rFonts w:ascii="新細明體" w:hAnsi="新細明體"/>
          <w:bCs/>
        </w:rPr>
      </w:pPr>
      <w:r w:rsidRPr="00AB74E1">
        <w:rPr>
          <w:rFonts w:ascii="新細明體" w:hAnsi="新細明體" w:hint="eastAsia"/>
          <w:bCs/>
        </w:rPr>
        <w:t>股東掌握充分資料進行投資決策；</w:t>
      </w:r>
    </w:p>
    <w:p w:rsidR="00A17E94" w:rsidRPr="005D46EB" w:rsidRDefault="00742897" w:rsidP="0000284D">
      <w:pPr>
        <w:pStyle w:val="a8"/>
        <w:numPr>
          <w:ilvl w:val="0"/>
          <w:numId w:val="61"/>
        </w:numPr>
        <w:spacing w:line="460" w:lineRule="exact"/>
        <w:ind w:leftChars="0"/>
        <w:rPr>
          <w:rFonts w:ascii="新細明體" w:hAnsi="新細明體"/>
          <w:bCs/>
        </w:rPr>
      </w:pPr>
      <w:r w:rsidRPr="005D46EB">
        <w:rPr>
          <w:rFonts w:ascii="新細明體" w:hAnsi="新細明體" w:hint="eastAsia"/>
          <w:bCs/>
        </w:rPr>
        <w:t>尤其當公眾股東為少數股東時，董事應為股東整體利益行事及</w:t>
      </w:r>
    </w:p>
    <w:p w:rsidR="00742897" w:rsidRPr="005D46EB" w:rsidRDefault="00742897" w:rsidP="0000284D">
      <w:pPr>
        <w:pStyle w:val="a8"/>
        <w:numPr>
          <w:ilvl w:val="0"/>
          <w:numId w:val="61"/>
        </w:numPr>
        <w:spacing w:line="460" w:lineRule="exact"/>
        <w:ind w:leftChars="0"/>
        <w:rPr>
          <w:rFonts w:ascii="新細明體" w:hAnsi="新細明體"/>
          <w:bCs/>
        </w:rPr>
      </w:pPr>
      <w:r w:rsidRPr="005D46EB">
        <w:rPr>
          <w:rFonts w:ascii="新細明體" w:hAnsi="新細明體" w:hint="eastAsia"/>
          <w:bCs/>
        </w:rPr>
        <w:t>除非現有股東同意，否則上市公司發行新股應以向現有股東做出要約之供股方式發行新股，以免稀釋股東權。</w:t>
      </w:r>
    </w:p>
    <w:p w:rsidR="00883ED0" w:rsidRPr="005D46EB" w:rsidRDefault="00A17E94" w:rsidP="0000284D">
      <w:pPr>
        <w:pStyle w:val="a8"/>
        <w:numPr>
          <w:ilvl w:val="0"/>
          <w:numId w:val="32"/>
        </w:numPr>
        <w:spacing w:line="460" w:lineRule="exact"/>
        <w:ind w:leftChars="0" w:left="1276" w:hanging="283"/>
        <w:rPr>
          <w:rFonts w:ascii="新細明體" w:hAnsi="新細明體"/>
          <w:bCs/>
        </w:rPr>
      </w:pPr>
      <w:r w:rsidRPr="005D46EB">
        <w:rPr>
          <w:rFonts w:ascii="新細明體" w:hAnsi="新細明體" w:hint="eastAsia"/>
          <w:bCs/>
        </w:rPr>
        <w:t>上市公司辦理現金增資(香港稱再融資)方式為：</w:t>
      </w:r>
    </w:p>
    <w:p w:rsidR="00A17E94" w:rsidRPr="005D46EB" w:rsidRDefault="00A17E94" w:rsidP="0000284D">
      <w:pPr>
        <w:pStyle w:val="a8"/>
        <w:numPr>
          <w:ilvl w:val="0"/>
          <w:numId w:val="62"/>
        </w:numPr>
        <w:spacing w:line="460" w:lineRule="exact"/>
        <w:ind w:leftChars="0"/>
        <w:rPr>
          <w:rFonts w:ascii="新細明體" w:hAnsi="新細明體"/>
        </w:rPr>
      </w:pPr>
      <w:r w:rsidRPr="005D46EB">
        <w:rPr>
          <w:rFonts w:ascii="新細明體" w:hAnsi="新細明體" w:hint="eastAsia"/>
        </w:rPr>
        <w:t>面向公眾融資(即配售)：由發行人或中介機構</w:t>
      </w:r>
      <w:proofErr w:type="gramStart"/>
      <w:r w:rsidRPr="005D46EB">
        <w:rPr>
          <w:rFonts w:ascii="新細明體" w:hAnsi="新細明體" w:hint="eastAsia"/>
        </w:rPr>
        <w:t>洽</w:t>
      </w:r>
      <w:proofErr w:type="gramEnd"/>
      <w:r w:rsidRPr="005D46EB">
        <w:rPr>
          <w:rFonts w:ascii="新細明體" w:hAnsi="新細明體" w:hint="eastAsia"/>
        </w:rPr>
        <w:t>特定人認購，籌資速度最快。</w:t>
      </w:r>
    </w:p>
    <w:p w:rsidR="00A17E94" w:rsidRPr="005D46EB" w:rsidRDefault="00A17E94" w:rsidP="0000284D">
      <w:pPr>
        <w:pStyle w:val="a8"/>
        <w:numPr>
          <w:ilvl w:val="0"/>
          <w:numId w:val="62"/>
        </w:numPr>
        <w:spacing w:line="460" w:lineRule="exact"/>
        <w:ind w:leftChars="0"/>
        <w:rPr>
          <w:rFonts w:ascii="新細明體" w:hAnsi="新細明體"/>
        </w:rPr>
      </w:pPr>
      <w:r w:rsidRPr="005D46EB">
        <w:rPr>
          <w:rFonts w:ascii="新細明體" w:hAnsi="新細明體" w:hint="eastAsia"/>
        </w:rPr>
        <w:t>面向現有股東融資：</w:t>
      </w:r>
    </w:p>
    <w:p w:rsidR="00A17E94" w:rsidRPr="00CA0593" w:rsidRDefault="00CA0593" w:rsidP="00736108">
      <w:pPr>
        <w:spacing w:line="460" w:lineRule="exact"/>
        <w:ind w:leftChars="450" w:left="1274" w:hangingChars="81" w:hanging="194"/>
        <w:rPr>
          <w:rFonts w:ascii="新細明體" w:hAnsi="新細明體"/>
        </w:rPr>
      </w:pPr>
      <w:proofErr w:type="spellStart"/>
      <w:r>
        <w:rPr>
          <w:rFonts w:ascii="新細明體" w:hAnsi="新細明體" w:hint="eastAsia"/>
        </w:rPr>
        <w:t>i</w:t>
      </w:r>
      <w:proofErr w:type="spellEnd"/>
      <w:r>
        <w:rPr>
          <w:rFonts w:ascii="新細明體" w:hAnsi="新細明體" w:hint="eastAsia"/>
        </w:rPr>
        <w:t xml:space="preserve">. </w:t>
      </w:r>
      <w:r w:rsidR="00A17E94" w:rsidRPr="00CA0593">
        <w:rPr>
          <w:rFonts w:ascii="新細明體" w:hAnsi="新細明體" w:hint="eastAsia"/>
        </w:rPr>
        <w:t>可分為供股及公開招股兩種方式，這兩種方式主要差異在於供股係發行人按股東持股比例作出認購供股權之要約，該認購供股權可以在市場上轉讓出售；反之，公開招股則不一定按股東持股比例作認購證券的要約，如股東放棄認購就失效。</w:t>
      </w:r>
    </w:p>
    <w:p w:rsidR="007B64FC" w:rsidRPr="005D46EB" w:rsidRDefault="00CA0593" w:rsidP="00736108">
      <w:pPr>
        <w:spacing w:line="460" w:lineRule="exact"/>
        <w:ind w:leftChars="414" w:left="1275" w:hangingChars="117" w:hanging="281"/>
        <w:rPr>
          <w:rFonts w:ascii="新細明體" w:hAnsi="新細明體"/>
        </w:rPr>
      </w:pPr>
      <w:r>
        <w:rPr>
          <w:rFonts w:ascii="新細明體" w:hAnsi="新細明體" w:hint="eastAsia"/>
        </w:rPr>
        <w:t xml:space="preserve">ii. </w:t>
      </w:r>
      <w:r w:rsidR="007B64FC" w:rsidRPr="005D46EB">
        <w:rPr>
          <w:rFonts w:ascii="新細明體" w:hAnsi="新細明體" w:hint="eastAsia"/>
        </w:rPr>
        <w:t>原則無須股東會決議，若符合以下情況，則須經股東大會之批准：</w:t>
      </w:r>
    </w:p>
    <w:p w:rsidR="007B64FC" w:rsidRPr="00CA0593" w:rsidRDefault="00CA0593" w:rsidP="00736108">
      <w:pPr>
        <w:spacing w:line="460" w:lineRule="exact"/>
        <w:ind w:firstLineChars="450" w:firstLine="1080"/>
        <w:rPr>
          <w:rFonts w:ascii="新細明體" w:hAnsi="新細明體"/>
        </w:rPr>
      </w:pPr>
      <w:r>
        <w:rPr>
          <w:rFonts w:ascii="新細明體" w:hAnsi="新細明體" w:hint="eastAsia"/>
        </w:rPr>
        <w:t>(</w:t>
      </w:r>
      <w:proofErr w:type="spellStart"/>
      <w:r>
        <w:rPr>
          <w:rFonts w:ascii="新細明體" w:hAnsi="新細明體" w:hint="eastAsia"/>
        </w:rPr>
        <w:t>i</w:t>
      </w:r>
      <w:proofErr w:type="spellEnd"/>
      <w:r>
        <w:rPr>
          <w:rFonts w:ascii="新細明體" w:hAnsi="新細明體" w:hint="eastAsia"/>
        </w:rPr>
        <w:t>)</w:t>
      </w:r>
      <w:r w:rsidR="007B64FC" w:rsidRPr="00CA0593">
        <w:rPr>
          <w:rFonts w:ascii="新細明體" w:hAnsi="新細明體" w:hint="eastAsia"/>
        </w:rPr>
        <w:t>增發股數導致發行人已發行股東或市值增加50%以上；</w:t>
      </w:r>
    </w:p>
    <w:p w:rsidR="007B64FC" w:rsidRPr="00CA0593" w:rsidRDefault="00CA0593" w:rsidP="00736108">
      <w:pPr>
        <w:spacing w:line="460" w:lineRule="exact"/>
        <w:ind w:firstLineChars="450" w:firstLine="1080"/>
        <w:rPr>
          <w:rFonts w:ascii="新細明體" w:hAnsi="新細明體"/>
        </w:rPr>
      </w:pPr>
      <w:r>
        <w:rPr>
          <w:rFonts w:ascii="新細明體" w:hAnsi="新細明體" w:hint="eastAsia"/>
        </w:rPr>
        <w:t>(ii)</w:t>
      </w:r>
      <w:r w:rsidR="007B64FC" w:rsidRPr="00CA0593">
        <w:rPr>
          <w:rFonts w:ascii="新細明體" w:hAnsi="新細明體" w:hint="eastAsia"/>
        </w:rPr>
        <w:t>上市後首12個月內辦理增資；</w:t>
      </w:r>
    </w:p>
    <w:p w:rsidR="007B64FC" w:rsidRPr="00CA0593" w:rsidRDefault="00CA0593" w:rsidP="00736108">
      <w:pPr>
        <w:spacing w:line="460" w:lineRule="exact"/>
        <w:ind w:firstLineChars="450" w:firstLine="1080"/>
        <w:rPr>
          <w:rFonts w:ascii="新細明體" w:hAnsi="新細明體"/>
        </w:rPr>
      </w:pPr>
      <w:r>
        <w:rPr>
          <w:rFonts w:ascii="新細明體" w:hAnsi="新細明體" w:hint="eastAsia"/>
        </w:rPr>
        <w:t>(iii)</w:t>
      </w:r>
      <w:r w:rsidR="007B64FC" w:rsidRPr="00CA0593">
        <w:rPr>
          <w:rFonts w:ascii="新細明體" w:hAnsi="新細明體" w:hint="eastAsia"/>
        </w:rPr>
        <w:t>增資股由董事、最高行政人員或主要股東全數或部分包銷；</w:t>
      </w:r>
    </w:p>
    <w:p w:rsidR="007B64FC" w:rsidRPr="00CA0593" w:rsidRDefault="00CA0593" w:rsidP="00736108">
      <w:pPr>
        <w:spacing w:line="460" w:lineRule="exact"/>
        <w:ind w:leftChars="450" w:left="1440" w:hangingChars="150" w:hanging="360"/>
        <w:rPr>
          <w:rFonts w:ascii="新細明體" w:hAnsi="新細明體"/>
        </w:rPr>
      </w:pPr>
      <w:r>
        <w:rPr>
          <w:rFonts w:ascii="新細明體" w:hAnsi="新細明體" w:hint="eastAsia"/>
        </w:rPr>
        <w:t>(iv)</w:t>
      </w:r>
      <w:r w:rsidR="007B64FC" w:rsidRPr="00CA0593">
        <w:rPr>
          <w:rFonts w:ascii="新細明體" w:hAnsi="新細明體" w:hint="eastAsia"/>
        </w:rPr>
        <w:t>非因海外股東發行成本考量等符合聯交所規定情形下，</w:t>
      </w:r>
      <w:proofErr w:type="gramStart"/>
      <w:r w:rsidR="007B64FC" w:rsidRPr="00CA0593">
        <w:rPr>
          <w:rFonts w:ascii="新細明體" w:hAnsi="新細明體" w:hint="eastAsia"/>
        </w:rPr>
        <w:t>豁除海外</w:t>
      </w:r>
      <w:proofErr w:type="gramEnd"/>
      <w:r w:rsidR="007B64FC" w:rsidRPr="00CA0593">
        <w:rPr>
          <w:rFonts w:ascii="新細明體" w:hAnsi="新細明體" w:hint="eastAsia"/>
        </w:rPr>
        <w:t>股東認購權。</w:t>
      </w:r>
    </w:p>
    <w:p w:rsidR="00C67F54" w:rsidRPr="00716FA5" w:rsidRDefault="00C67F54" w:rsidP="00736108">
      <w:pPr>
        <w:spacing w:line="460" w:lineRule="exact"/>
        <w:ind w:leftChars="612" w:left="1469"/>
        <w:rPr>
          <w:rFonts w:ascii="新細明體" w:hAnsi="新細明體"/>
        </w:rPr>
      </w:pPr>
      <w:r w:rsidRPr="00716FA5">
        <w:rPr>
          <w:rFonts w:ascii="新細明體" w:hAnsi="新細明體" w:hint="eastAsia"/>
        </w:rPr>
        <w:t>上市公司增資辦理方式以配售方式居多，供股約占10%，公開招股則</w:t>
      </w:r>
      <w:r w:rsidRPr="00716FA5">
        <w:rPr>
          <w:rFonts w:ascii="新細明體" w:hAnsi="新細明體" w:hint="eastAsia"/>
        </w:rPr>
        <w:lastRenderedPageBreak/>
        <w:t>最少</w:t>
      </w:r>
      <w:proofErr w:type="gramStart"/>
      <w:r w:rsidRPr="00716FA5">
        <w:rPr>
          <w:rFonts w:ascii="新細明體" w:hAnsi="新細明體" w:hint="eastAsia"/>
        </w:rPr>
        <w:t>採</w:t>
      </w:r>
      <w:proofErr w:type="gramEnd"/>
      <w:r w:rsidRPr="00716FA5">
        <w:rPr>
          <w:rFonts w:ascii="新細明體" w:hAnsi="新細明體" w:hint="eastAsia"/>
        </w:rPr>
        <w:t>行。</w:t>
      </w:r>
    </w:p>
    <w:p w:rsidR="00762F8D" w:rsidRDefault="00762F8D" w:rsidP="0000284D">
      <w:pPr>
        <w:pStyle w:val="a8"/>
        <w:numPr>
          <w:ilvl w:val="0"/>
          <w:numId w:val="62"/>
        </w:numPr>
        <w:spacing w:line="460" w:lineRule="exact"/>
        <w:ind w:leftChars="0"/>
        <w:rPr>
          <w:rFonts w:ascii="新細明體" w:hAnsi="新細明體"/>
          <w:szCs w:val="24"/>
        </w:rPr>
      </w:pPr>
      <w:r w:rsidRPr="005D46EB">
        <w:rPr>
          <w:rFonts w:ascii="新細明體" w:hAnsi="新細明體" w:hint="eastAsia"/>
          <w:bCs/>
        </w:rPr>
        <w:t>香港證監會表示，針對增資案之監理強調相</w:t>
      </w:r>
      <w:r w:rsidRPr="005D46EB">
        <w:rPr>
          <w:rFonts w:ascii="新細明體" w:hAnsi="新細明體" w:hint="eastAsia"/>
          <w:szCs w:val="24"/>
        </w:rPr>
        <w:t>關資訊完整披露，之後於上市公司年報揭露執行情形及效益</w:t>
      </w:r>
      <w:r w:rsidRPr="00CA0593">
        <w:rPr>
          <w:rFonts w:ascii="新細明體" w:hAnsi="新細明體" w:hint="eastAsia"/>
        </w:rPr>
        <w:t>即可</w:t>
      </w:r>
      <w:r w:rsidRPr="005D46EB">
        <w:rPr>
          <w:rFonts w:ascii="新細明體" w:hAnsi="新細明體" w:hint="eastAsia"/>
          <w:szCs w:val="24"/>
        </w:rPr>
        <w:t>。其表示，於公司申請上市時即嚴格把關挑選質優公司才能獲准上市，嗣後對上市公司財務業務亦有建置相關監理措施，故香港聯交所針對增資案件除涉</w:t>
      </w:r>
      <w:r w:rsidR="00CA0593">
        <w:rPr>
          <w:rFonts w:ascii="新細明體" w:hAnsi="新細明體" w:hint="eastAsia"/>
          <w:szCs w:val="24"/>
        </w:rPr>
        <w:t>及</w:t>
      </w:r>
      <w:proofErr w:type="gramStart"/>
      <w:r w:rsidR="00CA0593">
        <w:rPr>
          <w:rFonts w:ascii="新細明體" w:hAnsi="新細明體" w:hint="eastAsia"/>
          <w:szCs w:val="24"/>
        </w:rPr>
        <w:t>併</w:t>
      </w:r>
      <w:proofErr w:type="gramEnd"/>
      <w:r w:rsidR="00CA0593">
        <w:rPr>
          <w:rFonts w:ascii="新細明體" w:hAnsi="新細明體" w:hint="eastAsia"/>
          <w:szCs w:val="24"/>
        </w:rPr>
        <w:t>購或關連人交易，須就該特定交易之適當性及適法性等進行瞭解外(例</w:t>
      </w:r>
      <w:r w:rsidRPr="005D46EB">
        <w:rPr>
          <w:rFonts w:ascii="新細明體" w:hAnsi="新細明體" w:hint="eastAsia"/>
          <w:szCs w:val="24"/>
        </w:rPr>
        <w:t>如用於充實營運資金者，主要審查其增資時程表是否合</w:t>
      </w:r>
      <w:proofErr w:type="gramStart"/>
      <w:r w:rsidRPr="005D46EB">
        <w:rPr>
          <w:rFonts w:ascii="新細明體" w:hAnsi="新細明體" w:hint="eastAsia"/>
          <w:szCs w:val="24"/>
        </w:rPr>
        <w:t>規</w:t>
      </w:r>
      <w:proofErr w:type="gramEnd"/>
      <w:r w:rsidR="00CA0593">
        <w:rPr>
          <w:rFonts w:ascii="新細明體" w:hAnsi="新細明體" w:hint="eastAsia"/>
          <w:szCs w:val="24"/>
        </w:rPr>
        <w:t>)</w:t>
      </w:r>
      <w:r w:rsidRPr="005D46EB">
        <w:rPr>
          <w:rFonts w:ascii="新細明體" w:hAnsi="新細明體" w:hint="eastAsia"/>
          <w:szCs w:val="24"/>
        </w:rPr>
        <w:t>，香港聯交所並無明定受理審查</w:t>
      </w:r>
      <w:proofErr w:type="gramStart"/>
      <w:r w:rsidRPr="005D46EB">
        <w:rPr>
          <w:rFonts w:ascii="新細明體" w:hAnsi="新細明體" w:hint="eastAsia"/>
          <w:szCs w:val="24"/>
        </w:rPr>
        <w:t>期間，</w:t>
      </w:r>
      <w:proofErr w:type="gramEnd"/>
      <w:r w:rsidRPr="005D46EB">
        <w:rPr>
          <w:rFonts w:ascii="新細明體" w:hAnsi="新細明體" w:hint="eastAsia"/>
          <w:szCs w:val="24"/>
        </w:rPr>
        <w:t>尤其香港證監會認為監理</w:t>
      </w:r>
      <w:proofErr w:type="gramStart"/>
      <w:r w:rsidRPr="005D46EB">
        <w:rPr>
          <w:rFonts w:ascii="新細明體" w:hAnsi="新細明體" w:hint="eastAsia"/>
          <w:szCs w:val="24"/>
        </w:rPr>
        <w:t>很難涉商業</w:t>
      </w:r>
      <w:proofErr w:type="gramEnd"/>
      <w:r w:rsidRPr="005D46EB">
        <w:rPr>
          <w:rFonts w:ascii="新細明體" w:hAnsi="新細明體" w:hint="eastAsia"/>
          <w:szCs w:val="24"/>
        </w:rPr>
        <w:t>判斷。</w:t>
      </w:r>
    </w:p>
    <w:p w:rsidR="00E44561" w:rsidRPr="005D46EB" w:rsidRDefault="00E44561" w:rsidP="00D1618E">
      <w:pPr>
        <w:pStyle w:val="a8"/>
        <w:spacing w:line="460" w:lineRule="exact"/>
        <w:ind w:leftChars="0" w:left="964"/>
        <w:rPr>
          <w:rFonts w:ascii="新細明體" w:hAnsi="新細明體"/>
          <w:szCs w:val="24"/>
        </w:rPr>
      </w:pPr>
    </w:p>
    <w:p w:rsidR="00206821" w:rsidRDefault="00E2531C" w:rsidP="0000284D">
      <w:pPr>
        <w:pStyle w:val="31"/>
        <w:numPr>
          <w:ilvl w:val="0"/>
          <w:numId w:val="25"/>
        </w:numPr>
        <w:spacing w:line="460" w:lineRule="exact"/>
        <w:ind w:left="425" w:hanging="482"/>
        <w:rPr>
          <w:rFonts w:ascii="新細明體" w:eastAsia="新細明體" w:hAnsi="新細明體"/>
        </w:rPr>
      </w:pPr>
      <w:bookmarkStart w:id="13" w:name="_Toc408301460"/>
      <w:r w:rsidRPr="00D106CE">
        <w:rPr>
          <w:rFonts w:ascii="新細明體" w:eastAsia="新細明體" w:hAnsi="新細明體" w:hint="eastAsia"/>
        </w:rPr>
        <w:t>交流議題</w:t>
      </w:r>
      <w:r w:rsidR="00206821">
        <w:rPr>
          <w:rFonts w:ascii="新細明體" w:eastAsia="新細明體" w:hAnsi="新細明體" w:hint="eastAsia"/>
        </w:rPr>
        <w:t>2</w:t>
      </w:r>
      <w:r w:rsidR="00B95BB1" w:rsidRPr="00D106CE">
        <w:rPr>
          <w:rFonts w:ascii="新細明體" w:eastAsia="新細明體" w:hAnsi="新細明體" w:hint="eastAsia"/>
        </w:rPr>
        <w:t xml:space="preserve"> </w:t>
      </w:r>
      <w:r w:rsidR="00A86714">
        <w:rPr>
          <w:rFonts w:ascii="新細明體" w:eastAsia="新細明體" w:hAnsi="新細明體" w:hint="eastAsia"/>
        </w:rPr>
        <w:t>:</w:t>
      </w:r>
      <w:r w:rsidRPr="00D106CE">
        <w:rPr>
          <w:rFonts w:ascii="新細明體" w:eastAsia="新細明體" w:hAnsi="新細明體" w:hint="eastAsia"/>
        </w:rPr>
        <w:t>清盤中的停牌上市公司財務報告之資訊交流</w:t>
      </w:r>
      <w:bookmarkEnd w:id="13"/>
    </w:p>
    <w:p w:rsidR="006541D1" w:rsidRPr="00B93ADC" w:rsidRDefault="00B93ADC" w:rsidP="0000284D">
      <w:pPr>
        <w:pStyle w:val="a8"/>
        <w:numPr>
          <w:ilvl w:val="0"/>
          <w:numId w:val="63"/>
        </w:numPr>
        <w:spacing w:line="460" w:lineRule="exact"/>
        <w:ind w:leftChars="0" w:left="851"/>
      </w:pPr>
      <w:r w:rsidRPr="00B93ADC">
        <w:rPr>
          <w:rFonts w:hint="eastAsia"/>
        </w:rPr>
        <w:t>背景說明</w:t>
      </w:r>
    </w:p>
    <w:p w:rsidR="006541D1" w:rsidRPr="00D106CE" w:rsidRDefault="006541D1" w:rsidP="00736108">
      <w:pPr>
        <w:spacing w:beforeLines="30" w:before="108" w:afterLines="30" w:after="108" w:line="460" w:lineRule="exact"/>
        <w:ind w:leftChars="354" w:left="850"/>
        <w:jc w:val="both"/>
        <w:rPr>
          <w:rFonts w:ascii="新細明體" w:hAnsi="新細明體"/>
          <w:szCs w:val="24"/>
        </w:rPr>
      </w:pPr>
      <w:proofErr w:type="gramStart"/>
      <w:r w:rsidRPr="00D106CE">
        <w:rPr>
          <w:rFonts w:ascii="新細明體" w:hAnsi="新細明體" w:hint="eastAsia"/>
          <w:szCs w:val="24"/>
        </w:rPr>
        <w:t>港交所</w:t>
      </w:r>
      <w:proofErr w:type="gramEnd"/>
      <w:r w:rsidRPr="00D106CE">
        <w:rPr>
          <w:rFonts w:ascii="新細明體" w:hAnsi="新細明體" w:hint="eastAsia"/>
          <w:szCs w:val="24"/>
        </w:rPr>
        <w:t>上市公司</w:t>
      </w:r>
      <w:proofErr w:type="gramStart"/>
      <w:r w:rsidRPr="00D106CE">
        <w:rPr>
          <w:rFonts w:ascii="新細明體" w:hAnsi="新細明體" w:hint="eastAsia"/>
          <w:szCs w:val="24"/>
        </w:rPr>
        <w:t>融達控</w:t>
      </w:r>
      <w:proofErr w:type="gramEnd"/>
      <w:r w:rsidRPr="00D106CE">
        <w:rPr>
          <w:rFonts w:ascii="新細明體" w:hAnsi="新細明體" w:hint="eastAsia"/>
          <w:szCs w:val="24"/>
        </w:rPr>
        <w:t>股有限公司</w:t>
      </w:r>
      <w:proofErr w:type="gramStart"/>
      <w:r w:rsidRPr="00D106CE">
        <w:rPr>
          <w:rFonts w:ascii="新細明體" w:hAnsi="新細明體" w:hint="eastAsia"/>
          <w:szCs w:val="24"/>
        </w:rPr>
        <w:t>及僑威集團</w:t>
      </w:r>
      <w:proofErr w:type="gramEnd"/>
      <w:r w:rsidRPr="00D106CE">
        <w:rPr>
          <w:rFonts w:ascii="新細明體" w:hAnsi="新細明體" w:hint="eastAsia"/>
          <w:szCs w:val="24"/>
        </w:rPr>
        <w:t>有限公司債權人於</w:t>
      </w:r>
      <w:proofErr w:type="gramStart"/>
      <w:r w:rsidRPr="00D106CE">
        <w:rPr>
          <w:rFonts w:ascii="新細明體" w:hAnsi="新細明體" w:hint="eastAsia"/>
          <w:szCs w:val="24"/>
        </w:rPr>
        <w:t>103</w:t>
      </w:r>
      <w:proofErr w:type="gramEnd"/>
      <w:r w:rsidRPr="00D106CE">
        <w:rPr>
          <w:rFonts w:ascii="新細明體" w:hAnsi="新細明體" w:hint="eastAsia"/>
          <w:szCs w:val="24"/>
        </w:rPr>
        <w:t>年度向法院申請清盤，法院指派臨時清盤人，</w:t>
      </w:r>
      <w:proofErr w:type="gramStart"/>
      <w:r w:rsidRPr="00D106CE">
        <w:rPr>
          <w:rFonts w:ascii="新細明體" w:hAnsi="新細明體" w:hint="eastAsia"/>
          <w:szCs w:val="24"/>
        </w:rPr>
        <w:t>經港交所</w:t>
      </w:r>
      <w:proofErr w:type="gramEnd"/>
      <w:r w:rsidRPr="00D106CE">
        <w:rPr>
          <w:rFonts w:ascii="新細明體" w:hAnsi="新細明體" w:hint="eastAsia"/>
          <w:szCs w:val="24"/>
        </w:rPr>
        <w:t>停牌後，未依香港規定</w:t>
      </w:r>
      <w:proofErr w:type="gramStart"/>
      <w:r w:rsidRPr="00D106CE">
        <w:rPr>
          <w:rFonts w:ascii="新細明體" w:hAnsi="新細明體" w:hint="eastAsia"/>
          <w:szCs w:val="24"/>
        </w:rPr>
        <w:t>期限刊發年度</w:t>
      </w:r>
      <w:proofErr w:type="gramEnd"/>
      <w:r w:rsidRPr="00D106CE">
        <w:rPr>
          <w:rFonts w:ascii="新細明體" w:hAnsi="新細明體" w:hint="eastAsia"/>
          <w:szCs w:val="24"/>
        </w:rPr>
        <w:t>財務報告，因該2公司亦在我國第二上市，</w:t>
      </w:r>
      <w:proofErr w:type="gramStart"/>
      <w:r w:rsidRPr="00D106CE">
        <w:rPr>
          <w:rFonts w:ascii="新細明體" w:hAnsi="新細明體" w:hint="eastAsia"/>
          <w:szCs w:val="24"/>
        </w:rPr>
        <w:t>惟港交</w:t>
      </w:r>
      <w:proofErr w:type="gramEnd"/>
      <w:r w:rsidRPr="00D106CE">
        <w:rPr>
          <w:rFonts w:ascii="新細明體" w:hAnsi="新細明體" w:hint="eastAsia"/>
          <w:szCs w:val="24"/>
        </w:rPr>
        <w:t>所與我國監理方式涉有下列不同，</w:t>
      </w:r>
      <w:proofErr w:type="gramStart"/>
      <w:r w:rsidRPr="00D106CE">
        <w:rPr>
          <w:rFonts w:ascii="新細明體" w:hAnsi="新細明體" w:hint="eastAsia"/>
          <w:szCs w:val="24"/>
        </w:rPr>
        <w:t>爰就港交所對類</w:t>
      </w:r>
      <w:proofErr w:type="gramEnd"/>
      <w:r w:rsidRPr="00D106CE">
        <w:rPr>
          <w:rFonts w:ascii="新細明體" w:hAnsi="新細明體" w:hint="eastAsia"/>
          <w:szCs w:val="24"/>
        </w:rPr>
        <w:t>此公司於停牌期間財務報告之監理理念進行交流：</w:t>
      </w:r>
    </w:p>
    <w:p w:rsidR="006541D1" w:rsidRPr="00D106CE" w:rsidRDefault="006541D1" w:rsidP="0000284D">
      <w:pPr>
        <w:pStyle w:val="a8"/>
        <w:numPr>
          <w:ilvl w:val="0"/>
          <w:numId w:val="57"/>
        </w:numPr>
        <w:spacing w:beforeLines="30" w:before="108" w:afterLines="30" w:after="108" w:line="460" w:lineRule="exact"/>
        <w:ind w:leftChars="0"/>
        <w:jc w:val="both"/>
        <w:rPr>
          <w:rFonts w:ascii="新細明體" w:hAnsi="新細明體"/>
          <w:szCs w:val="24"/>
        </w:rPr>
      </w:pPr>
      <w:proofErr w:type="gramStart"/>
      <w:r w:rsidRPr="00D106CE">
        <w:rPr>
          <w:rFonts w:ascii="新細明體" w:hAnsi="新細明體" w:hint="eastAsia"/>
          <w:szCs w:val="24"/>
        </w:rPr>
        <w:t>港交所</w:t>
      </w:r>
      <w:proofErr w:type="gramEnd"/>
      <w:r w:rsidRPr="00D106CE">
        <w:rPr>
          <w:rFonts w:ascii="新細明體" w:hAnsi="新細明體" w:hint="eastAsia"/>
          <w:szCs w:val="24"/>
        </w:rPr>
        <w:t>：對清盤中之停牌上市公司</w:t>
      </w:r>
      <w:proofErr w:type="gramStart"/>
      <w:r w:rsidRPr="00D106CE">
        <w:rPr>
          <w:rFonts w:ascii="新細明體" w:hAnsi="新細明體" w:hint="eastAsia"/>
          <w:szCs w:val="24"/>
        </w:rPr>
        <w:t>於復牌前</w:t>
      </w:r>
      <w:proofErr w:type="gramEnd"/>
      <w:r w:rsidRPr="00D106CE">
        <w:rPr>
          <w:rFonts w:ascii="新細明體" w:hAnsi="新細明體" w:hint="eastAsia"/>
          <w:szCs w:val="24"/>
        </w:rPr>
        <w:t>，公司若未</w:t>
      </w:r>
      <w:proofErr w:type="gramStart"/>
      <w:r w:rsidRPr="00D106CE">
        <w:rPr>
          <w:rFonts w:ascii="新細明體" w:hAnsi="新細明體" w:hint="eastAsia"/>
          <w:szCs w:val="24"/>
        </w:rPr>
        <w:t>依港交</w:t>
      </w:r>
      <w:proofErr w:type="gramEnd"/>
      <w:r w:rsidRPr="00D106CE">
        <w:rPr>
          <w:rFonts w:ascii="新細明體" w:hAnsi="新細明體" w:hint="eastAsia"/>
          <w:szCs w:val="24"/>
        </w:rPr>
        <w:t>所</w:t>
      </w:r>
      <w:proofErr w:type="gramStart"/>
      <w:r w:rsidRPr="00D106CE">
        <w:rPr>
          <w:rFonts w:ascii="新細明體" w:hAnsi="新細明體" w:hint="eastAsia"/>
          <w:szCs w:val="24"/>
        </w:rPr>
        <w:t>規定刊發相關</w:t>
      </w:r>
      <w:proofErr w:type="gramEnd"/>
      <w:r w:rsidRPr="00D106CE">
        <w:rPr>
          <w:rFonts w:ascii="新細明體" w:hAnsi="新細明體" w:hint="eastAsia"/>
          <w:szCs w:val="24"/>
        </w:rPr>
        <w:t>期間財務報告，</w:t>
      </w:r>
      <w:proofErr w:type="gramStart"/>
      <w:r w:rsidRPr="00D106CE">
        <w:rPr>
          <w:rFonts w:ascii="新細明體" w:hAnsi="新細明體" w:hint="eastAsia"/>
          <w:szCs w:val="24"/>
        </w:rPr>
        <w:t>港交所</w:t>
      </w:r>
      <w:proofErr w:type="gramEnd"/>
      <w:r w:rsidRPr="00D106CE">
        <w:rPr>
          <w:rFonts w:ascii="新細明體" w:hAnsi="新細明體" w:hint="eastAsia"/>
          <w:szCs w:val="24"/>
        </w:rPr>
        <w:t>未要求限期辦理。</w:t>
      </w:r>
    </w:p>
    <w:p w:rsidR="006541D1" w:rsidRPr="00D106CE" w:rsidRDefault="006541D1" w:rsidP="0000284D">
      <w:pPr>
        <w:pStyle w:val="a8"/>
        <w:numPr>
          <w:ilvl w:val="0"/>
          <w:numId w:val="57"/>
        </w:numPr>
        <w:spacing w:beforeLines="30" w:before="108" w:afterLines="30" w:after="108" w:line="460" w:lineRule="exact"/>
        <w:ind w:leftChars="0"/>
        <w:jc w:val="both"/>
        <w:rPr>
          <w:rFonts w:ascii="新細明體" w:hAnsi="新細明體"/>
          <w:szCs w:val="24"/>
        </w:rPr>
      </w:pPr>
      <w:r w:rsidRPr="00D106CE">
        <w:rPr>
          <w:rFonts w:ascii="新細明體" w:hAnsi="新細明體" w:hint="eastAsia"/>
          <w:szCs w:val="24"/>
        </w:rPr>
        <w:t>我國：上市公司之有價證券被停止買賣者，於停止買賣期間仍須依規定期限公告申報財務報告，如該公司未依規定期限辦理，證交所將</w:t>
      </w:r>
      <w:proofErr w:type="gramStart"/>
      <w:r w:rsidRPr="00D106CE">
        <w:rPr>
          <w:rFonts w:ascii="新細明體" w:hAnsi="新細明體" w:hint="eastAsia"/>
          <w:szCs w:val="24"/>
        </w:rPr>
        <w:t>併</w:t>
      </w:r>
      <w:proofErr w:type="gramEnd"/>
      <w:r w:rsidRPr="00D106CE">
        <w:rPr>
          <w:rFonts w:ascii="新細明體" w:hAnsi="新細明體" w:hint="eastAsia"/>
          <w:szCs w:val="24"/>
        </w:rPr>
        <w:t>案停止買賣，如其停止買賣滿六個月仍未改善或補正公告申報財務報告，證交所將終止其有價證券上市。</w:t>
      </w:r>
      <w:proofErr w:type="gramStart"/>
      <w:r w:rsidRPr="00D106CE">
        <w:rPr>
          <w:rFonts w:ascii="新細明體" w:hAnsi="新細明體" w:hint="eastAsia"/>
          <w:szCs w:val="24"/>
        </w:rPr>
        <w:t>另金管</w:t>
      </w:r>
      <w:proofErr w:type="gramEnd"/>
      <w:r w:rsidRPr="00D106CE">
        <w:rPr>
          <w:rFonts w:ascii="新細明體" w:hAnsi="新細明體" w:hint="eastAsia"/>
          <w:szCs w:val="24"/>
        </w:rPr>
        <w:t>會將處該公司負責人罰鍰，並限期該公司補正公告申報財務報告。</w:t>
      </w:r>
    </w:p>
    <w:p w:rsidR="00DE5404" w:rsidRPr="00206821" w:rsidRDefault="00DE5404" w:rsidP="0000284D">
      <w:pPr>
        <w:pStyle w:val="a8"/>
        <w:numPr>
          <w:ilvl w:val="0"/>
          <w:numId w:val="63"/>
        </w:numPr>
        <w:spacing w:line="460" w:lineRule="exact"/>
        <w:ind w:leftChars="0" w:left="851"/>
        <w:rPr>
          <w:rFonts w:ascii="新細明體" w:hAnsi="新細明體"/>
          <w:szCs w:val="24"/>
        </w:rPr>
      </w:pPr>
      <w:r w:rsidRPr="00206821">
        <w:rPr>
          <w:rFonts w:ascii="新細明體" w:hAnsi="新細明體" w:hint="eastAsia"/>
          <w:szCs w:val="24"/>
        </w:rPr>
        <w:t>會議重點</w:t>
      </w:r>
    </w:p>
    <w:p w:rsidR="006541D1" w:rsidRPr="00D106CE" w:rsidRDefault="006541D1" w:rsidP="0000284D">
      <w:pPr>
        <w:pStyle w:val="a8"/>
        <w:numPr>
          <w:ilvl w:val="0"/>
          <w:numId w:val="58"/>
        </w:numPr>
        <w:spacing w:beforeLines="30" w:before="108" w:afterLines="30" w:after="108" w:line="460" w:lineRule="exact"/>
        <w:ind w:leftChars="0" w:left="1134" w:hanging="283"/>
        <w:rPr>
          <w:rFonts w:ascii="新細明體" w:hAnsi="新細明體"/>
          <w:szCs w:val="24"/>
        </w:rPr>
      </w:pPr>
      <w:proofErr w:type="gramStart"/>
      <w:r w:rsidRPr="00D106CE">
        <w:rPr>
          <w:rFonts w:ascii="新細明體" w:hAnsi="新細明體" w:hint="eastAsia"/>
          <w:szCs w:val="24"/>
        </w:rPr>
        <w:t>港交所</w:t>
      </w:r>
      <w:proofErr w:type="gramEnd"/>
      <w:r w:rsidRPr="00D106CE">
        <w:rPr>
          <w:rFonts w:ascii="新細明體" w:hAnsi="新細明體" w:hint="eastAsia"/>
          <w:szCs w:val="24"/>
        </w:rPr>
        <w:t>相關規範</w:t>
      </w:r>
    </w:p>
    <w:p w:rsidR="006541D1" w:rsidRPr="00D106CE" w:rsidRDefault="006541D1" w:rsidP="0000284D">
      <w:pPr>
        <w:pStyle w:val="a8"/>
        <w:numPr>
          <w:ilvl w:val="0"/>
          <w:numId w:val="59"/>
        </w:numPr>
        <w:spacing w:beforeLines="30" w:before="108" w:afterLines="30" w:after="108" w:line="460" w:lineRule="exact"/>
        <w:ind w:leftChars="0" w:left="1418"/>
        <w:rPr>
          <w:rFonts w:ascii="新細明體" w:hAnsi="新細明體"/>
          <w:szCs w:val="24"/>
        </w:rPr>
      </w:pPr>
      <w:r w:rsidRPr="00D106CE">
        <w:rPr>
          <w:rFonts w:ascii="新細明體" w:hAnsi="新細明體" w:hint="eastAsia"/>
          <w:szCs w:val="24"/>
        </w:rPr>
        <w:t>「長時間停牌公司」</w:t>
      </w:r>
      <w:proofErr w:type="gramStart"/>
      <w:r w:rsidRPr="00D106CE">
        <w:rPr>
          <w:rFonts w:ascii="新細明體" w:hAnsi="新細明體" w:hint="eastAsia"/>
          <w:szCs w:val="24"/>
        </w:rPr>
        <w:t>係指停牌</w:t>
      </w:r>
      <w:proofErr w:type="gramEnd"/>
      <w:r w:rsidRPr="00D106CE">
        <w:rPr>
          <w:rFonts w:ascii="新細明體" w:hAnsi="新細明體" w:hint="eastAsia"/>
          <w:szCs w:val="24"/>
        </w:rPr>
        <w:t>三個月或以上之公司，包括《第17項應用指引》涵蓋之公司</w:t>
      </w:r>
      <w:proofErr w:type="gramStart"/>
      <w:r w:rsidRPr="00D106CE">
        <w:rPr>
          <w:rFonts w:ascii="新細明體" w:hAnsi="新細明體" w:hint="eastAsia"/>
          <w:szCs w:val="24"/>
        </w:rPr>
        <w:t>（</w:t>
      </w:r>
      <w:proofErr w:type="gramEnd"/>
      <w:r w:rsidRPr="00D106CE">
        <w:rPr>
          <w:rFonts w:ascii="新細明體" w:hAnsi="新細明體" w:hint="eastAsia"/>
          <w:szCs w:val="24"/>
        </w:rPr>
        <w:t>包括被債權人向法院申請清盤並進入清盤程序等)及因重大問題而停牌公司</w:t>
      </w:r>
      <w:proofErr w:type="gramStart"/>
      <w:r w:rsidRPr="00D106CE">
        <w:rPr>
          <w:rFonts w:ascii="新細明體" w:hAnsi="新細明體" w:hint="eastAsia"/>
          <w:szCs w:val="24"/>
        </w:rPr>
        <w:t>（</w:t>
      </w:r>
      <w:proofErr w:type="gramEnd"/>
      <w:r w:rsidRPr="00D106CE">
        <w:rPr>
          <w:rFonts w:ascii="新細明體" w:hAnsi="新細明體" w:hint="eastAsia"/>
          <w:szCs w:val="24"/>
        </w:rPr>
        <w:t>包括</w:t>
      </w:r>
      <w:proofErr w:type="gramStart"/>
      <w:r w:rsidRPr="00D106CE">
        <w:rPr>
          <w:rFonts w:ascii="新細明體" w:hAnsi="新細明體" w:hint="eastAsia"/>
          <w:szCs w:val="24"/>
        </w:rPr>
        <w:t>未能刊發財務</w:t>
      </w:r>
      <w:proofErr w:type="gramEnd"/>
      <w:r w:rsidRPr="00D106CE">
        <w:rPr>
          <w:rFonts w:ascii="新細明體" w:hAnsi="新細明體" w:hint="eastAsia"/>
          <w:szCs w:val="24"/>
        </w:rPr>
        <w:t>業績等</w:t>
      </w:r>
      <w:proofErr w:type="gramStart"/>
      <w:r w:rsidRPr="00D106CE">
        <w:rPr>
          <w:rFonts w:ascii="新細明體" w:hAnsi="新細明體" w:hint="eastAsia"/>
          <w:szCs w:val="24"/>
        </w:rPr>
        <w:t>）</w:t>
      </w:r>
      <w:proofErr w:type="gramEnd"/>
      <w:r w:rsidRPr="00D106CE">
        <w:rPr>
          <w:rFonts w:ascii="新細明體" w:hAnsi="新細明體" w:hint="eastAsia"/>
          <w:szCs w:val="24"/>
        </w:rPr>
        <w:t>。</w:t>
      </w:r>
    </w:p>
    <w:p w:rsidR="00D106CE" w:rsidRDefault="006541D1" w:rsidP="0000284D">
      <w:pPr>
        <w:pStyle w:val="a8"/>
        <w:numPr>
          <w:ilvl w:val="0"/>
          <w:numId w:val="59"/>
        </w:numPr>
        <w:spacing w:beforeLines="30" w:before="108" w:afterLines="30" w:after="108" w:line="460" w:lineRule="exact"/>
        <w:ind w:leftChars="0" w:left="1418"/>
        <w:rPr>
          <w:rFonts w:ascii="新細明體" w:hAnsi="新細明體"/>
          <w:szCs w:val="24"/>
        </w:rPr>
      </w:pPr>
      <w:r w:rsidRPr="00D106CE">
        <w:rPr>
          <w:rFonts w:ascii="新細明體" w:hAnsi="新細明體" w:hint="eastAsia"/>
          <w:szCs w:val="24"/>
        </w:rPr>
        <w:lastRenderedPageBreak/>
        <w:t>有關《第17項應用指引》涵蓋公司及</w:t>
      </w:r>
      <w:proofErr w:type="gramStart"/>
      <w:r w:rsidRPr="00D106CE">
        <w:rPr>
          <w:rFonts w:ascii="新細明體" w:hAnsi="新細明體" w:hint="eastAsia"/>
          <w:szCs w:val="24"/>
        </w:rPr>
        <w:t>未能刊發財務</w:t>
      </w:r>
      <w:proofErr w:type="gramEnd"/>
      <w:r w:rsidRPr="00D106CE">
        <w:rPr>
          <w:rFonts w:ascii="新細明體" w:hAnsi="新細明體" w:hint="eastAsia"/>
          <w:szCs w:val="24"/>
        </w:rPr>
        <w:t>業績公司有關停牌、</w:t>
      </w:r>
      <w:proofErr w:type="gramStart"/>
      <w:r w:rsidRPr="00D106CE">
        <w:rPr>
          <w:rFonts w:ascii="新細明體" w:hAnsi="新細明體" w:hint="eastAsia"/>
          <w:szCs w:val="24"/>
        </w:rPr>
        <w:t>除牌及復牌</w:t>
      </w:r>
      <w:proofErr w:type="gramEnd"/>
      <w:r w:rsidRPr="00D106CE">
        <w:rPr>
          <w:rFonts w:ascii="新細明體" w:hAnsi="新細明體" w:hint="eastAsia"/>
          <w:szCs w:val="24"/>
        </w:rPr>
        <w:t>規範彙總略</w:t>
      </w:r>
      <w:proofErr w:type="gramStart"/>
      <w:r w:rsidRPr="00D106CE">
        <w:rPr>
          <w:rFonts w:ascii="新細明體" w:hAnsi="新細明體" w:hint="eastAsia"/>
          <w:szCs w:val="24"/>
        </w:rPr>
        <w:t>以</w:t>
      </w:r>
      <w:proofErr w:type="gramEnd"/>
      <w:r w:rsidRPr="00D106CE">
        <w:rPr>
          <w:rFonts w:ascii="新細明體" w:hAnsi="新細明體" w:hint="eastAsia"/>
          <w:szCs w:val="24"/>
        </w:rPr>
        <w:t>：</w:t>
      </w:r>
    </w:p>
    <w:p w:rsidR="00294E7B" w:rsidRDefault="00294E7B" w:rsidP="00294E7B">
      <w:pPr>
        <w:pStyle w:val="a8"/>
        <w:spacing w:beforeLines="30" w:before="108" w:afterLines="30" w:after="108" w:line="460" w:lineRule="exact"/>
        <w:ind w:leftChars="0" w:left="1418"/>
        <w:rPr>
          <w:rFonts w:ascii="新細明體" w:hAnsi="新細明體"/>
          <w:szCs w:val="24"/>
        </w:rPr>
      </w:pPr>
    </w:p>
    <w:tbl>
      <w:tblPr>
        <w:tblpPr w:leftFromText="180" w:rightFromText="180" w:vertAnchor="text" w:horzAnchor="margin" w:tblpXSpec="right" w:tblpY="6"/>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1"/>
        <w:gridCol w:w="2835"/>
      </w:tblGrid>
      <w:tr w:rsidR="00294E7B" w:rsidRPr="00F07E0C" w:rsidTr="00294E7B">
        <w:trPr>
          <w:tblHeader/>
        </w:trPr>
        <w:tc>
          <w:tcPr>
            <w:tcW w:w="709" w:type="dxa"/>
          </w:tcPr>
          <w:p w:rsidR="00294E7B" w:rsidRPr="00D106CE" w:rsidRDefault="00294E7B" w:rsidP="00294E7B">
            <w:pPr>
              <w:spacing w:beforeLines="30" w:before="108" w:afterLines="30" w:after="108" w:line="360" w:lineRule="exact"/>
              <w:rPr>
                <w:rFonts w:ascii="新細明體" w:hAnsi="新細明體"/>
                <w:szCs w:val="24"/>
              </w:rPr>
            </w:pPr>
          </w:p>
        </w:tc>
        <w:tc>
          <w:tcPr>
            <w:tcW w:w="4961" w:type="dxa"/>
          </w:tcPr>
          <w:p w:rsidR="00294E7B" w:rsidRPr="00D106CE" w:rsidRDefault="00294E7B" w:rsidP="00294E7B">
            <w:pPr>
              <w:spacing w:beforeLines="30" w:before="108" w:afterLines="30" w:after="108" w:line="360" w:lineRule="exact"/>
              <w:rPr>
                <w:rFonts w:ascii="新細明體" w:hAnsi="新細明體"/>
                <w:szCs w:val="24"/>
              </w:rPr>
            </w:pPr>
            <w:r w:rsidRPr="00D106CE">
              <w:rPr>
                <w:rFonts w:ascii="新細明體" w:hAnsi="新細明體" w:hint="eastAsia"/>
                <w:szCs w:val="24"/>
              </w:rPr>
              <w:t>第</w:t>
            </w:r>
            <w:r w:rsidRPr="00D106CE">
              <w:rPr>
                <w:rFonts w:ascii="新細明體" w:hAnsi="新細明體"/>
                <w:szCs w:val="24"/>
              </w:rPr>
              <w:t>17</w:t>
            </w:r>
            <w:r w:rsidRPr="00D106CE">
              <w:rPr>
                <w:rFonts w:ascii="新細明體" w:hAnsi="新細明體" w:hint="eastAsia"/>
                <w:szCs w:val="24"/>
              </w:rPr>
              <w:t>項應用指引涵蓋之公司</w:t>
            </w:r>
          </w:p>
        </w:tc>
        <w:tc>
          <w:tcPr>
            <w:tcW w:w="2835" w:type="dxa"/>
          </w:tcPr>
          <w:p w:rsidR="00294E7B" w:rsidRPr="00D106CE" w:rsidRDefault="00294E7B" w:rsidP="00294E7B">
            <w:pPr>
              <w:spacing w:beforeLines="30" w:before="108" w:afterLines="30" w:after="108" w:line="360" w:lineRule="exact"/>
              <w:rPr>
                <w:rFonts w:ascii="新細明體" w:hAnsi="新細明體"/>
                <w:szCs w:val="24"/>
              </w:rPr>
            </w:pPr>
            <w:proofErr w:type="gramStart"/>
            <w:r w:rsidRPr="00D106CE">
              <w:rPr>
                <w:rFonts w:ascii="新細明體" w:hAnsi="新細明體" w:hint="eastAsia"/>
                <w:szCs w:val="24"/>
              </w:rPr>
              <w:t>未能刊發財務</w:t>
            </w:r>
            <w:proofErr w:type="gramEnd"/>
            <w:r w:rsidRPr="00D106CE">
              <w:rPr>
                <w:rFonts w:ascii="新細明體" w:hAnsi="新細明體" w:hint="eastAsia"/>
                <w:szCs w:val="24"/>
              </w:rPr>
              <w:t>業績公司</w:t>
            </w:r>
          </w:p>
        </w:tc>
      </w:tr>
      <w:tr w:rsidR="00294E7B" w:rsidRPr="00F07E0C" w:rsidTr="00294E7B">
        <w:tc>
          <w:tcPr>
            <w:tcW w:w="709" w:type="dxa"/>
          </w:tcPr>
          <w:p w:rsidR="00294E7B" w:rsidRPr="00D106CE" w:rsidRDefault="00294E7B" w:rsidP="00294E7B">
            <w:pPr>
              <w:spacing w:beforeLines="30" w:before="108" w:afterLines="30" w:after="108" w:line="360" w:lineRule="exact"/>
              <w:rPr>
                <w:rFonts w:ascii="新細明體" w:hAnsi="新細明體"/>
                <w:szCs w:val="24"/>
              </w:rPr>
            </w:pPr>
            <w:r w:rsidRPr="00D106CE">
              <w:rPr>
                <w:rFonts w:ascii="新細明體" w:hAnsi="新細明體" w:hint="eastAsia"/>
                <w:szCs w:val="24"/>
              </w:rPr>
              <w:t>停牌</w:t>
            </w:r>
          </w:p>
        </w:tc>
        <w:tc>
          <w:tcPr>
            <w:tcW w:w="4961" w:type="dxa"/>
          </w:tcPr>
          <w:p w:rsidR="00294E7B" w:rsidRPr="00D106CE" w:rsidRDefault="00294E7B" w:rsidP="00294E7B">
            <w:pPr>
              <w:spacing w:beforeLines="30" w:before="108" w:afterLines="30" w:after="108" w:line="360" w:lineRule="exact"/>
              <w:rPr>
                <w:rFonts w:ascii="新細明體" w:hAnsi="新細明體"/>
                <w:szCs w:val="24"/>
              </w:rPr>
            </w:pPr>
            <w:r w:rsidRPr="00D106CE">
              <w:rPr>
                <w:rFonts w:ascii="新細明體" w:hAnsi="新細明體" w:hint="eastAsia"/>
                <w:szCs w:val="24"/>
              </w:rPr>
              <w:t>發行人自行提出停牌要求或</w:t>
            </w:r>
            <w:proofErr w:type="gramStart"/>
            <w:r w:rsidRPr="00D106CE">
              <w:rPr>
                <w:rFonts w:ascii="新細明體" w:hAnsi="新細明體" w:hint="eastAsia"/>
                <w:szCs w:val="24"/>
              </w:rPr>
              <w:t>按港交所</w:t>
            </w:r>
            <w:proofErr w:type="gramEnd"/>
            <w:r w:rsidRPr="00D106CE">
              <w:rPr>
                <w:rFonts w:ascii="新細明體" w:hAnsi="新細明體" w:hint="eastAsia"/>
                <w:szCs w:val="24"/>
              </w:rPr>
              <w:t>指令而停牌。</w:t>
            </w:r>
          </w:p>
        </w:tc>
        <w:tc>
          <w:tcPr>
            <w:tcW w:w="2835" w:type="dxa"/>
          </w:tcPr>
          <w:p w:rsidR="00294E7B" w:rsidRPr="00D106CE" w:rsidRDefault="00294E7B" w:rsidP="00294E7B">
            <w:pPr>
              <w:spacing w:beforeLines="30" w:before="108" w:afterLines="30" w:after="108" w:line="360" w:lineRule="exact"/>
              <w:rPr>
                <w:rFonts w:ascii="新細明體" w:hAnsi="新細明體"/>
                <w:szCs w:val="24"/>
              </w:rPr>
            </w:pPr>
            <w:proofErr w:type="gramStart"/>
            <w:r w:rsidRPr="00D106CE">
              <w:rPr>
                <w:rFonts w:ascii="新細明體" w:hAnsi="新細明體" w:hint="eastAsia"/>
                <w:szCs w:val="24"/>
              </w:rPr>
              <w:t>港交所</w:t>
            </w:r>
            <w:proofErr w:type="gramEnd"/>
            <w:r w:rsidRPr="00D106CE">
              <w:rPr>
                <w:rFonts w:ascii="新細明體" w:hAnsi="新細明體" w:hint="eastAsia"/>
                <w:szCs w:val="24"/>
              </w:rPr>
              <w:t>要求停牌。</w:t>
            </w:r>
          </w:p>
        </w:tc>
      </w:tr>
      <w:tr w:rsidR="00294E7B" w:rsidRPr="00F07E0C" w:rsidTr="00294E7B">
        <w:tc>
          <w:tcPr>
            <w:tcW w:w="709" w:type="dxa"/>
          </w:tcPr>
          <w:p w:rsidR="00294E7B" w:rsidRPr="00D106CE" w:rsidRDefault="00294E7B" w:rsidP="00294E7B">
            <w:pPr>
              <w:spacing w:beforeLines="30" w:before="108" w:afterLines="30" w:after="108" w:line="360" w:lineRule="exact"/>
              <w:rPr>
                <w:rFonts w:ascii="新細明體" w:hAnsi="新細明體"/>
                <w:szCs w:val="24"/>
              </w:rPr>
            </w:pPr>
            <w:proofErr w:type="gramStart"/>
            <w:r w:rsidRPr="00D106CE">
              <w:rPr>
                <w:rFonts w:ascii="新細明體" w:hAnsi="新細明體" w:hint="eastAsia"/>
                <w:bCs/>
                <w:szCs w:val="24"/>
              </w:rPr>
              <w:t>除牌程序</w:t>
            </w:r>
            <w:proofErr w:type="gramEnd"/>
          </w:p>
        </w:tc>
        <w:tc>
          <w:tcPr>
            <w:tcW w:w="4961" w:type="dxa"/>
          </w:tcPr>
          <w:p w:rsidR="00294E7B" w:rsidRPr="00D106CE" w:rsidRDefault="00294E7B" w:rsidP="0000284D">
            <w:pPr>
              <w:numPr>
                <w:ilvl w:val="0"/>
                <w:numId w:val="55"/>
              </w:numPr>
              <w:spacing w:beforeLines="30" w:before="108" w:afterLines="30" w:after="108" w:line="360" w:lineRule="exact"/>
              <w:jc w:val="both"/>
              <w:rPr>
                <w:rFonts w:ascii="新細明體" w:hAnsi="新細明體"/>
                <w:szCs w:val="24"/>
              </w:rPr>
            </w:pPr>
            <w:r w:rsidRPr="00D106CE">
              <w:rPr>
                <w:rFonts w:ascii="新細明體" w:hAnsi="新細明體" w:hint="eastAsia"/>
                <w:szCs w:val="24"/>
              </w:rPr>
              <w:t>如停牌持續一段</w:t>
            </w:r>
            <w:proofErr w:type="gramStart"/>
            <w:r w:rsidRPr="00D106CE">
              <w:rPr>
                <w:rFonts w:ascii="新細明體" w:hAnsi="新細明體" w:hint="eastAsia"/>
                <w:szCs w:val="24"/>
              </w:rPr>
              <w:t>期間，</w:t>
            </w:r>
            <w:proofErr w:type="gramEnd"/>
            <w:r w:rsidRPr="00D106CE">
              <w:rPr>
                <w:rFonts w:ascii="新細明體" w:hAnsi="新細明體" w:hint="eastAsia"/>
                <w:szCs w:val="24"/>
              </w:rPr>
              <w:t>將</w:t>
            </w:r>
            <w:proofErr w:type="gramStart"/>
            <w:r w:rsidRPr="00D106CE">
              <w:rPr>
                <w:rFonts w:ascii="新細明體" w:hAnsi="新細明體" w:hint="eastAsia"/>
                <w:szCs w:val="24"/>
              </w:rPr>
              <w:t>進入除牌程序</w:t>
            </w:r>
            <w:proofErr w:type="gramEnd"/>
            <w:r w:rsidRPr="00D106CE">
              <w:rPr>
                <w:rFonts w:ascii="新細明體" w:hAnsi="新細明體" w:hint="eastAsia"/>
                <w:szCs w:val="24"/>
              </w:rPr>
              <w:t>。</w:t>
            </w:r>
          </w:p>
          <w:p w:rsidR="00294E7B" w:rsidRPr="00D106CE" w:rsidRDefault="00294E7B" w:rsidP="0000284D">
            <w:pPr>
              <w:numPr>
                <w:ilvl w:val="0"/>
                <w:numId w:val="55"/>
              </w:numPr>
              <w:spacing w:beforeLines="30" w:before="108" w:afterLines="30" w:after="108" w:line="360" w:lineRule="exact"/>
              <w:jc w:val="both"/>
              <w:rPr>
                <w:rFonts w:ascii="新細明體" w:hAnsi="新細明體"/>
                <w:szCs w:val="24"/>
              </w:rPr>
            </w:pPr>
            <w:proofErr w:type="gramStart"/>
            <w:r w:rsidRPr="00D106CE">
              <w:rPr>
                <w:rFonts w:ascii="新細明體" w:hAnsi="新細明體" w:hint="eastAsia"/>
                <w:szCs w:val="24"/>
              </w:rPr>
              <w:t>除牌程序</w:t>
            </w:r>
            <w:proofErr w:type="gramEnd"/>
            <w:r w:rsidRPr="00D106CE">
              <w:rPr>
                <w:rFonts w:ascii="新細明體" w:hAnsi="新細明體" w:hint="eastAsia"/>
                <w:szCs w:val="24"/>
              </w:rPr>
              <w:t>共三階段，每</w:t>
            </w:r>
            <w:proofErr w:type="gramStart"/>
            <w:r w:rsidRPr="00D106CE">
              <w:rPr>
                <w:rFonts w:ascii="新細明體" w:hAnsi="新細明體" w:hint="eastAsia"/>
                <w:szCs w:val="24"/>
              </w:rPr>
              <w:t>個</w:t>
            </w:r>
            <w:proofErr w:type="gramEnd"/>
            <w:r w:rsidRPr="00D106CE">
              <w:rPr>
                <w:rFonts w:ascii="新細明體" w:hAnsi="新細明體" w:hint="eastAsia"/>
                <w:szCs w:val="24"/>
              </w:rPr>
              <w:t>階段最短六個月，</w:t>
            </w:r>
            <w:r w:rsidR="008A37E2">
              <w:rPr>
                <w:rFonts w:ascii="新細明體" w:hAnsi="新細明體" w:hint="eastAsia"/>
                <w:szCs w:val="24"/>
              </w:rPr>
              <w:t>期</w:t>
            </w:r>
            <w:r w:rsidRPr="00D106CE">
              <w:rPr>
                <w:rFonts w:ascii="新細明體" w:hAnsi="新細明體" w:hint="eastAsia"/>
                <w:szCs w:val="24"/>
              </w:rPr>
              <w:t>間公司可</w:t>
            </w:r>
            <w:proofErr w:type="gramStart"/>
            <w:r w:rsidRPr="00D106CE">
              <w:rPr>
                <w:rFonts w:ascii="新細明體" w:hAnsi="新細明體" w:hint="eastAsia"/>
                <w:szCs w:val="24"/>
              </w:rPr>
              <w:t>提交復牌建議</w:t>
            </w:r>
            <w:proofErr w:type="gramEnd"/>
            <w:r w:rsidRPr="00D106CE">
              <w:rPr>
                <w:rFonts w:ascii="新細明體" w:hAnsi="新細明體" w:hint="eastAsia"/>
                <w:szCs w:val="24"/>
              </w:rPr>
              <w:t>。</w:t>
            </w:r>
            <w:proofErr w:type="gramStart"/>
            <w:r w:rsidRPr="00D106CE">
              <w:rPr>
                <w:rFonts w:ascii="新細明體" w:hAnsi="新細明體" w:hint="eastAsia"/>
                <w:szCs w:val="24"/>
              </w:rPr>
              <w:t>港交所</w:t>
            </w:r>
            <w:proofErr w:type="gramEnd"/>
            <w:r w:rsidRPr="00D106CE">
              <w:rPr>
                <w:rFonts w:ascii="新細明體" w:hAnsi="新細明體" w:hint="eastAsia"/>
                <w:szCs w:val="24"/>
              </w:rPr>
              <w:t>監察有關情況發展，並在每</w:t>
            </w:r>
            <w:proofErr w:type="gramStart"/>
            <w:r w:rsidRPr="00D106CE">
              <w:rPr>
                <w:rFonts w:ascii="新細明體" w:hAnsi="新細明體" w:hint="eastAsia"/>
                <w:szCs w:val="24"/>
              </w:rPr>
              <w:t>個</w:t>
            </w:r>
            <w:proofErr w:type="gramEnd"/>
            <w:r w:rsidRPr="00D106CE">
              <w:rPr>
                <w:rFonts w:ascii="新細明體" w:hAnsi="新細明體" w:hint="eastAsia"/>
                <w:szCs w:val="24"/>
              </w:rPr>
              <w:t>期限結束時，決定公司是否進入程序下一階段。若公司已處於最後階段，則其上市地位將予取消。</w:t>
            </w:r>
          </w:p>
        </w:tc>
        <w:tc>
          <w:tcPr>
            <w:tcW w:w="2835" w:type="dxa"/>
          </w:tcPr>
          <w:p w:rsidR="00294E7B" w:rsidRPr="00D106CE" w:rsidRDefault="00294E7B" w:rsidP="00294E7B">
            <w:pPr>
              <w:spacing w:beforeLines="30" w:before="108" w:afterLines="30" w:after="108" w:line="360" w:lineRule="exact"/>
              <w:ind w:left="240" w:hangingChars="100" w:hanging="240"/>
              <w:jc w:val="both"/>
              <w:rPr>
                <w:rFonts w:ascii="新細明體" w:hAnsi="新細明體"/>
                <w:szCs w:val="24"/>
              </w:rPr>
            </w:pPr>
            <w:r w:rsidRPr="00D106CE">
              <w:rPr>
                <w:rFonts w:ascii="新細明體" w:hAnsi="新細明體" w:hint="eastAsia"/>
                <w:szCs w:val="24"/>
              </w:rPr>
              <w:t>1.沒有</w:t>
            </w:r>
            <w:proofErr w:type="gramStart"/>
            <w:r w:rsidRPr="00D106CE">
              <w:rPr>
                <w:rFonts w:ascii="新細明體" w:hAnsi="新細明體" w:hint="eastAsia"/>
                <w:szCs w:val="24"/>
              </w:rPr>
              <w:t>既定除牌程</w:t>
            </w:r>
            <w:r w:rsidR="008A37E2">
              <w:rPr>
                <w:rFonts w:ascii="新細明體" w:hAnsi="新細明體" w:hint="eastAsia"/>
                <w:szCs w:val="24"/>
              </w:rPr>
              <w:t>序</w:t>
            </w:r>
            <w:proofErr w:type="gramEnd"/>
            <w:r w:rsidRPr="00D106CE">
              <w:rPr>
                <w:rFonts w:ascii="新細明體" w:hAnsi="新細明體" w:hint="eastAsia"/>
                <w:szCs w:val="24"/>
              </w:rPr>
              <w:t>。</w:t>
            </w:r>
          </w:p>
          <w:p w:rsidR="00294E7B" w:rsidRPr="00D106CE" w:rsidRDefault="00294E7B" w:rsidP="00294E7B">
            <w:pPr>
              <w:spacing w:beforeLines="30" w:before="108" w:afterLines="30" w:after="108" w:line="360" w:lineRule="exact"/>
              <w:ind w:left="240" w:hangingChars="100" w:hanging="240"/>
              <w:jc w:val="both"/>
              <w:rPr>
                <w:rFonts w:ascii="新細明體" w:hAnsi="新細明體"/>
                <w:szCs w:val="24"/>
              </w:rPr>
            </w:pPr>
            <w:r w:rsidRPr="00D106CE">
              <w:rPr>
                <w:rFonts w:ascii="新細明體" w:hAnsi="新細明體" w:hint="eastAsia"/>
                <w:szCs w:val="24"/>
              </w:rPr>
              <w:t>2.若停牌持續較長時間而公司無採取適當行動，則可能</w:t>
            </w:r>
            <w:proofErr w:type="gramStart"/>
            <w:r w:rsidRPr="00D106CE">
              <w:rPr>
                <w:rFonts w:ascii="新細明體" w:hAnsi="新細明體" w:hint="eastAsia"/>
                <w:szCs w:val="24"/>
              </w:rPr>
              <w:t>導致港交所</w:t>
            </w:r>
            <w:proofErr w:type="gramEnd"/>
            <w:r w:rsidRPr="00D106CE">
              <w:rPr>
                <w:rFonts w:ascii="新細明體" w:hAnsi="新細明體" w:hint="eastAsia"/>
                <w:szCs w:val="24"/>
              </w:rPr>
              <w:t>將</w:t>
            </w:r>
            <w:proofErr w:type="gramStart"/>
            <w:r w:rsidRPr="00D106CE">
              <w:rPr>
                <w:rFonts w:ascii="新細明體" w:hAnsi="新細明體" w:hint="eastAsia"/>
                <w:szCs w:val="24"/>
              </w:rPr>
              <w:t>其除牌</w:t>
            </w:r>
            <w:proofErr w:type="gramEnd"/>
            <w:r w:rsidRPr="00D106CE">
              <w:rPr>
                <w:rFonts w:ascii="新細明體" w:hAnsi="新細明體" w:hint="eastAsia"/>
                <w:szCs w:val="24"/>
              </w:rPr>
              <w:t>。</w:t>
            </w:r>
          </w:p>
        </w:tc>
      </w:tr>
      <w:tr w:rsidR="00294E7B" w:rsidRPr="00F07E0C" w:rsidTr="00294E7B">
        <w:tc>
          <w:tcPr>
            <w:tcW w:w="709" w:type="dxa"/>
          </w:tcPr>
          <w:p w:rsidR="00294E7B" w:rsidRPr="00D106CE" w:rsidRDefault="00294E7B" w:rsidP="00294E7B">
            <w:pPr>
              <w:spacing w:beforeLines="30" w:before="108" w:afterLines="30" w:after="108" w:line="360" w:lineRule="exact"/>
              <w:rPr>
                <w:rFonts w:ascii="新細明體" w:hAnsi="新細明體"/>
                <w:szCs w:val="24"/>
              </w:rPr>
            </w:pPr>
            <w:proofErr w:type="gramStart"/>
            <w:r w:rsidRPr="00D106CE">
              <w:rPr>
                <w:rFonts w:ascii="新細明體" w:hAnsi="新細明體" w:hint="eastAsia"/>
                <w:szCs w:val="24"/>
              </w:rPr>
              <w:t>復牌條件</w:t>
            </w:r>
            <w:proofErr w:type="gramEnd"/>
          </w:p>
        </w:tc>
        <w:tc>
          <w:tcPr>
            <w:tcW w:w="4961" w:type="dxa"/>
          </w:tcPr>
          <w:p w:rsidR="00294E7B" w:rsidRPr="00D106CE" w:rsidRDefault="00294E7B" w:rsidP="00294E7B">
            <w:pPr>
              <w:spacing w:beforeLines="30" w:before="108" w:afterLines="30" w:after="108" w:line="360" w:lineRule="exact"/>
              <w:jc w:val="both"/>
              <w:rPr>
                <w:rFonts w:ascii="新細明體" w:hAnsi="新細明體"/>
                <w:szCs w:val="24"/>
              </w:rPr>
            </w:pPr>
            <w:r w:rsidRPr="00D106CE">
              <w:rPr>
                <w:rFonts w:ascii="新細明體" w:hAnsi="新細明體" w:hint="eastAsia"/>
                <w:szCs w:val="24"/>
              </w:rPr>
              <w:t>上市公司需能解决及已向市場公布導致其停牌的全部問題，方可申請復牌。如公司因債務糾紛清盤中；且</w:t>
            </w:r>
            <w:proofErr w:type="gramStart"/>
            <w:r w:rsidRPr="00D106CE">
              <w:rPr>
                <w:rFonts w:ascii="新細明體" w:hAnsi="新細明體" w:hint="eastAsia"/>
                <w:szCs w:val="24"/>
              </w:rPr>
              <w:t>未能刊發財務</w:t>
            </w:r>
            <w:proofErr w:type="gramEnd"/>
            <w:r w:rsidRPr="00D106CE">
              <w:rPr>
                <w:rFonts w:ascii="新細明體" w:hAnsi="新細明體" w:hint="eastAsia"/>
                <w:szCs w:val="24"/>
              </w:rPr>
              <w:t>業績及核數師提出關注事項，則</w:t>
            </w:r>
            <w:proofErr w:type="gramStart"/>
            <w:r w:rsidRPr="00D106CE">
              <w:rPr>
                <w:rFonts w:ascii="新細明體" w:hAnsi="新細明體" w:hint="eastAsia"/>
                <w:szCs w:val="24"/>
              </w:rPr>
              <w:t>港交所復牌</w:t>
            </w:r>
            <w:proofErr w:type="gramEnd"/>
            <w:r w:rsidRPr="00D106CE">
              <w:rPr>
                <w:rFonts w:ascii="新細明體" w:hAnsi="新細明體" w:hint="eastAsia"/>
                <w:szCs w:val="24"/>
              </w:rPr>
              <w:t>條件爲：(1)證明公司有足夠的業務運作/資產；(2)撤銷清盤呈請及撤銷臨時清盤人；(3)</w:t>
            </w:r>
            <w:proofErr w:type="gramStart"/>
            <w:r w:rsidRPr="00D106CE">
              <w:rPr>
                <w:rFonts w:ascii="新細明體" w:hAnsi="新細明體" w:hint="eastAsia"/>
                <w:szCs w:val="24"/>
              </w:rPr>
              <w:t>刊發財務</w:t>
            </w:r>
            <w:proofErr w:type="gramEnd"/>
            <w:r w:rsidRPr="00D106CE">
              <w:rPr>
                <w:rFonts w:ascii="新細明體" w:hAnsi="新細明體" w:hint="eastAsia"/>
                <w:szCs w:val="24"/>
              </w:rPr>
              <w:t>報告及解決核數師提出的關注事項</w:t>
            </w:r>
          </w:p>
        </w:tc>
        <w:tc>
          <w:tcPr>
            <w:tcW w:w="2835" w:type="dxa"/>
          </w:tcPr>
          <w:p w:rsidR="00294E7B" w:rsidRPr="00D106CE" w:rsidRDefault="00294E7B" w:rsidP="00294E7B">
            <w:pPr>
              <w:spacing w:beforeLines="30" w:before="108" w:afterLines="30" w:after="108" w:line="360" w:lineRule="exact"/>
              <w:jc w:val="both"/>
              <w:rPr>
                <w:rFonts w:ascii="新細明體" w:hAnsi="新細明體"/>
                <w:szCs w:val="24"/>
              </w:rPr>
            </w:pPr>
            <w:r w:rsidRPr="00D106CE">
              <w:rPr>
                <w:rFonts w:ascii="新細明體" w:hAnsi="新細明體" w:hint="eastAsia"/>
                <w:szCs w:val="24"/>
              </w:rPr>
              <w:t>公司</w:t>
            </w:r>
            <w:proofErr w:type="gramStart"/>
            <w:r w:rsidRPr="00D106CE">
              <w:rPr>
                <w:rFonts w:ascii="新細明體" w:hAnsi="新細明體" w:hint="eastAsia"/>
                <w:szCs w:val="24"/>
              </w:rPr>
              <w:t>須刊發</w:t>
            </w:r>
            <w:proofErr w:type="gramEnd"/>
            <w:r w:rsidRPr="00D106CE">
              <w:rPr>
                <w:rFonts w:ascii="新細明體" w:hAnsi="新細明體" w:hint="eastAsia"/>
                <w:szCs w:val="24"/>
              </w:rPr>
              <w:t>所有尚未發佈財務業績，及處理審計事宜方面保留意見。</w:t>
            </w:r>
          </w:p>
        </w:tc>
      </w:tr>
    </w:tbl>
    <w:p w:rsidR="00294E7B" w:rsidRPr="00093C20" w:rsidRDefault="00294E7B" w:rsidP="00294E7B">
      <w:pPr>
        <w:pStyle w:val="a8"/>
        <w:spacing w:beforeLines="30" w:before="108" w:afterLines="30" w:after="108" w:line="460" w:lineRule="exact"/>
        <w:ind w:leftChars="0" w:left="1418"/>
        <w:rPr>
          <w:rFonts w:ascii="新細明體" w:hAnsi="新細明體"/>
          <w:szCs w:val="24"/>
        </w:rPr>
      </w:pPr>
    </w:p>
    <w:p w:rsidR="006541D1" w:rsidRPr="00D106CE" w:rsidRDefault="006541D1" w:rsidP="0000284D">
      <w:pPr>
        <w:pStyle w:val="a8"/>
        <w:numPr>
          <w:ilvl w:val="0"/>
          <w:numId w:val="59"/>
        </w:numPr>
        <w:spacing w:beforeLines="30" w:before="108" w:afterLines="30" w:after="108" w:line="460" w:lineRule="exact"/>
        <w:ind w:leftChars="0" w:left="1418"/>
        <w:rPr>
          <w:rFonts w:ascii="新細明體" w:hAnsi="新細明體"/>
          <w:szCs w:val="24"/>
        </w:rPr>
      </w:pPr>
      <w:r w:rsidRPr="00D106CE">
        <w:rPr>
          <w:rFonts w:ascii="新細明體" w:hAnsi="新細明體" w:hint="eastAsia"/>
          <w:szCs w:val="24"/>
        </w:rPr>
        <w:t>長時間停牌公司披露</w:t>
      </w:r>
    </w:p>
    <w:p w:rsidR="006541D1" w:rsidRPr="00DE5404" w:rsidRDefault="00DE5404" w:rsidP="00736108">
      <w:pPr>
        <w:spacing w:line="460" w:lineRule="exact"/>
        <w:ind w:leftChars="600" w:left="1699" w:hangingChars="108" w:hanging="259"/>
        <w:jc w:val="both"/>
        <w:rPr>
          <w:rFonts w:ascii="新細明體" w:hAnsi="新細明體"/>
          <w:szCs w:val="24"/>
        </w:rPr>
      </w:pPr>
      <w:proofErr w:type="spellStart"/>
      <w:r>
        <w:rPr>
          <w:rFonts w:ascii="新細明體" w:hAnsi="新細明體" w:hint="eastAsia"/>
          <w:szCs w:val="24"/>
        </w:rPr>
        <w:t>i</w:t>
      </w:r>
      <w:proofErr w:type="spellEnd"/>
      <w:r>
        <w:rPr>
          <w:rFonts w:ascii="新細明體" w:hAnsi="新細明體" w:hint="eastAsia"/>
          <w:szCs w:val="24"/>
        </w:rPr>
        <w:t xml:space="preserve">. </w:t>
      </w:r>
      <w:r w:rsidR="006541D1" w:rsidRPr="00DE5404">
        <w:rPr>
          <w:rFonts w:ascii="新細明體" w:hAnsi="新細明體" w:hint="eastAsia"/>
          <w:szCs w:val="24"/>
        </w:rPr>
        <w:t>長時間停牌公司須依規定適時發佈所需資料，包括公司營運重大發展及任何內幕消息。</w:t>
      </w:r>
    </w:p>
    <w:p w:rsidR="006541D1" w:rsidRPr="00DE5404" w:rsidRDefault="00DE5404" w:rsidP="00736108">
      <w:pPr>
        <w:spacing w:line="460" w:lineRule="exact"/>
        <w:ind w:leftChars="600" w:left="1699" w:hangingChars="108" w:hanging="259"/>
        <w:jc w:val="both"/>
        <w:rPr>
          <w:rFonts w:ascii="新細明體" w:hAnsi="新細明體"/>
          <w:szCs w:val="24"/>
        </w:rPr>
      </w:pPr>
      <w:r>
        <w:rPr>
          <w:rFonts w:ascii="新細明體" w:hAnsi="新細明體" w:hint="eastAsia"/>
          <w:szCs w:val="24"/>
        </w:rPr>
        <w:t xml:space="preserve">ii. </w:t>
      </w:r>
      <w:r w:rsidR="006541D1" w:rsidRPr="00DE5404">
        <w:rPr>
          <w:rFonts w:ascii="新細明體" w:hAnsi="新細明體" w:hint="eastAsia"/>
          <w:szCs w:val="24"/>
        </w:rPr>
        <w:t>長時間停牌公司須發佈有關其復牌條件之資料，以及定期向市場提供其履行復牌條件進展或股票除牌最新情況。</w:t>
      </w:r>
    </w:p>
    <w:p w:rsidR="006541D1" w:rsidRPr="00206821" w:rsidRDefault="00DE5404" w:rsidP="0000284D">
      <w:pPr>
        <w:pStyle w:val="a8"/>
        <w:numPr>
          <w:ilvl w:val="0"/>
          <w:numId w:val="58"/>
        </w:numPr>
        <w:spacing w:beforeLines="30" w:before="108" w:afterLines="30" w:after="108" w:line="460" w:lineRule="exact"/>
        <w:ind w:leftChars="0" w:left="1134" w:hanging="283"/>
        <w:rPr>
          <w:rFonts w:ascii="新細明體" w:hAnsi="新細明體"/>
          <w:szCs w:val="24"/>
        </w:rPr>
      </w:pPr>
      <w:r w:rsidRPr="00206821">
        <w:rPr>
          <w:rFonts w:ascii="新細明體" w:hAnsi="新細明體" w:hint="eastAsia"/>
          <w:szCs w:val="24"/>
        </w:rPr>
        <w:t>停牌</w:t>
      </w:r>
      <w:r w:rsidR="00EB32E7" w:rsidRPr="00206821">
        <w:rPr>
          <w:rFonts w:ascii="新細明體" w:hAnsi="新細明體" w:hint="eastAsia"/>
          <w:szCs w:val="24"/>
        </w:rPr>
        <w:t>期間之作法</w:t>
      </w:r>
    </w:p>
    <w:p w:rsidR="006541D1" w:rsidRPr="00D106CE" w:rsidRDefault="006541D1" w:rsidP="0000284D">
      <w:pPr>
        <w:pStyle w:val="a8"/>
        <w:numPr>
          <w:ilvl w:val="0"/>
          <w:numId w:val="60"/>
        </w:numPr>
        <w:spacing w:beforeLines="30" w:before="108" w:afterLines="30" w:after="108" w:line="460" w:lineRule="exact"/>
        <w:ind w:leftChars="0"/>
        <w:rPr>
          <w:rFonts w:ascii="新細明體" w:hAnsi="新細明體"/>
          <w:szCs w:val="24"/>
        </w:rPr>
      </w:pPr>
      <w:r w:rsidRPr="00D106CE">
        <w:rPr>
          <w:rFonts w:ascii="新細明體" w:hAnsi="新細明體" w:hint="eastAsia"/>
          <w:szCs w:val="24"/>
        </w:rPr>
        <w:t>香港證監會表示，長時間停牌公司於停牌期間仍須</w:t>
      </w:r>
      <w:proofErr w:type="gramStart"/>
      <w:r w:rsidRPr="00D106CE">
        <w:rPr>
          <w:rFonts w:ascii="新細明體" w:hAnsi="新細明體" w:hint="eastAsia"/>
          <w:szCs w:val="24"/>
        </w:rPr>
        <w:t>依港交</w:t>
      </w:r>
      <w:proofErr w:type="gramEnd"/>
      <w:r w:rsidRPr="00D106CE">
        <w:rPr>
          <w:rFonts w:ascii="新細明體" w:hAnsi="新細明體" w:hint="eastAsia"/>
          <w:szCs w:val="24"/>
        </w:rPr>
        <w:t>所規定適時發佈相關資訊，惟因長時間停牌公司實務狀況確有困難而</w:t>
      </w:r>
      <w:proofErr w:type="gramStart"/>
      <w:r w:rsidRPr="00D106CE">
        <w:rPr>
          <w:rFonts w:ascii="新細明體" w:hAnsi="新細明體" w:hint="eastAsia"/>
          <w:szCs w:val="24"/>
        </w:rPr>
        <w:t>無法刊發財務</w:t>
      </w:r>
      <w:proofErr w:type="gramEnd"/>
      <w:r w:rsidRPr="00D106CE">
        <w:rPr>
          <w:rFonts w:ascii="新細明體" w:hAnsi="新細明體" w:hint="eastAsia"/>
          <w:szCs w:val="24"/>
        </w:rPr>
        <w:t>報告，</w:t>
      </w:r>
      <w:proofErr w:type="gramStart"/>
      <w:r w:rsidRPr="00D106CE">
        <w:rPr>
          <w:rFonts w:ascii="新細明體" w:hAnsi="新細明體" w:hint="eastAsia"/>
          <w:szCs w:val="24"/>
        </w:rPr>
        <w:t>港交所爰</w:t>
      </w:r>
      <w:proofErr w:type="gramEnd"/>
      <w:r w:rsidRPr="00D106CE">
        <w:rPr>
          <w:rFonts w:ascii="新細明體" w:hAnsi="新細明體" w:hint="eastAsia"/>
          <w:szCs w:val="24"/>
        </w:rPr>
        <w:t>未限期公司辦理，惟設有專案小組與該等公司連</w:t>
      </w:r>
      <w:proofErr w:type="gramStart"/>
      <w:r w:rsidRPr="00D106CE">
        <w:rPr>
          <w:rFonts w:ascii="新細明體" w:hAnsi="新細明體" w:hint="eastAsia"/>
          <w:szCs w:val="24"/>
        </w:rPr>
        <w:t>繫</w:t>
      </w:r>
      <w:proofErr w:type="gramEnd"/>
      <w:r w:rsidRPr="00D106CE">
        <w:rPr>
          <w:rFonts w:ascii="新細明體" w:hAnsi="新細明體" w:hint="eastAsia"/>
          <w:szCs w:val="24"/>
        </w:rPr>
        <w:t>，於日</w:t>
      </w:r>
      <w:r w:rsidRPr="00D106CE">
        <w:rPr>
          <w:rFonts w:ascii="新細明體" w:hAnsi="新細明體" w:hint="eastAsia"/>
          <w:szCs w:val="24"/>
        </w:rPr>
        <w:lastRenderedPageBreak/>
        <w:t>常監察公司活動，並跟進公司披露情況，及要求公司向市場披露有關其業務最新重大資料</w:t>
      </w:r>
      <w:proofErr w:type="gramStart"/>
      <w:r w:rsidRPr="00D106CE">
        <w:rPr>
          <w:rFonts w:ascii="新細明體" w:hAnsi="新細明體" w:hint="eastAsia"/>
          <w:szCs w:val="24"/>
        </w:rPr>
        <w:t>及復牌進展</w:t>
      </w:r>
      <w:proofErr w:type="gramEnd"/>
      <w:r w:rsidRPr="00D106CE">
        <w:rPr>
          <w:rFonts w:ascii="新細明體" w:hAnsi="新細明體" w:hint="eastAsia"/>
          <w:szCs w:val="24"/>
        </w:rPr>
        <w:t>。</w:t>
      </w:r>
      <w:proofErr w:type="gramStart"/>
      <w:r w:rsidRPr="00D106CE">
        <w:rPr>
          <w:rFonts w:ascii="新細明體" w:hAnsi="新細明體" w:hint="eastAsia"/>
          <w:szCs w:val="24"/>
        </w:rPr>
        <w:t>另港交</w:t>
      </w:r>
      <w:proofErr w:type="gramEnd"/>
      <w:r w:rsidRPr="00D106CE">
        <w:rPr>
          <w:rFonts w:ascii="新細明體" w:hAnsi="新細明體" w:hint="eastAsia"/>
          <w:szCs w:val="24"/>
        </w:rPr>
        <w:t>所每月於其「披露易」網站</w:t>
      </w:r>
      <w:proofErr w:type="gramStart"/>
      <w:r w:rsidRPr="00D106CE">
        <w:rPr>
          <w:rFonts w:ascii="新細明體" w:hAnsi="新細明體" w:hint="eastAsia"/>
          <w:szCs w:val="24"/>
        </w:rPr>
        <w:t>刊發長間停</w:t>
      </w:r>
      <w:proofErr w:type="gramEnd"/>
      <w:r w:rsidRPr="00D106CE">
        <w:rPr>
          <w:rFonts w:ascii="新細明體" w:hAnsi="新細明體" w:hint="eastAsia"/>
          <w:szCs w:val="24"/>
        </w:rPr>
        <w:t>牌公司報告，</w:t>
      </w:r>
      <w:proofErr w:type="gramStart"/>
      <w:r w:rsidRPr="00D106CE">
        <w:rPr>
          <w:rFonts w:ascii="新細明體" w:hAnsi="新細明體" w:hint="eastAsia"/>
          <w:szCs w:val="24"/>
        </w:rPr>
        <w:t>列述渠</w:t>
      </w:r>
      <w:proofErr w:type="gramEnd"/>
      <w:r w:rsidRPr="00D106CE">
        <w:rPr>
          <w:rFonts w:ascii="新細明體" w:hAnsi="新細明體" w:hint="eastAsia"/>
          <w:szCs w:val="24"/>
        </w:rPr>
        <w:t>等公司停牌日期、</w:t>
      </w:r>
      <w:proofErr w:type="gramStart"/>
      <w:r w:rsidRPr="00D106CE">
        <w:rPr>
          <w:rFonts w:ascii="新細明體" w:hAnsi="新細明體" w:hint="eastAsia"/>
          <w:szCs w:val="24"/>
        </w:rPr>
        <w:t>復牌條件</w:t>
      </w:r>
      <w:proofErr w:type="gramEnd"/>
      <w:r w:rsidRPr="00D106CE">
        <w:rPr>
          <w:rFonts w:ascii="新細明體" w:hAnsi="新細明體" w:hint="eastAsia"/>
          <w:szCs w:val="24"/>
        </w:rPr>
        <w:t>、根據公司公告主要發展及公司未解決事項，使投資人瞭解其停牌概況。</w:t>
      </w:r>
    </w:p>
    <w:p w:rsidR="006541D1" w:rsidRPr="00D106CE" w:rsidRDefault="006541D1" w:rsidP="0000284D">
      <w:pPr>
        <w:pStyle w:val="a8"/>
        <w:numPr>
          <w:ilvl w:val="0"/>
          <w:numId w:val="60"/>
        </w:numPr>
        <w:spacing w:beforeLines="30" w:before="108" w:afterLines="30" w:after="108" w:line="460" w:lineRule="exact"/>
        <w:ind w:leftChars="0"/>
        <w:rPr>
          <w:rFonts w:ascii="新細明體" w:hAnsi="新細明體"/>
          <w:szCs w:val="24"/>
        </w:rPr>
      </w:pPr>
      <w:proofErr w:type="gramStart"/>
      <w:r w:rsidRPr="00D106CE">
        <w:rPr>
          <w:rFonts w:ascii="新細明體" w:hAnsi="新細明體" w:hint="eastAsia"/>
          <w:szCs w:val="24"/>
        </w:rPr>
        <w:t>依據港交所</w:t>
      </w:r>
      <w:proofErr w:type="gramEnd"/>
      <w:r w:rsidRPr="00D106CE">
        <w:rPr>
          <w:rFonts w:ascii="新細明體" w:hAnsi="新細明體" w:hint="eastAsia"/>
          <w:szCs w:val="24"/>
        </w:rPr>
        <w:t>103年12月5日於其「披露易」網站</w:t>
      </w:r>
      <w:proofErr w:type="gramStart"/>
      <w:r w:rsidRPr="00D106CE">
        <w:rPr>
          <w:rFonts w:ascii="新細明體" w:hAnsi="新細明體" w:hint="eastAsia"/>
          <w:szCs w:val="24"/>
        </w:rPr>
        <w:t>刊發長</w:t>
      </w:r>
      <w:proofErr w:type="gramEnd"/>
      <w:r w:rsidRPr="00D106CE">
        <w:rPr>
          <w:rFonts w:ascii="新細明體" w:hAnsi="新細明體" w:hint="eastAsia"/>
          <w:szCs w:val="24"/>
        </w:rPr>
        <w:t>期間停牌公司報告顯示有38家上市公司為長時間停牌公司，約占整體上市公司2%，過去3年經</w:t>
      </w:r>
      <w:proofErr w:type="gramStart"/>
      <w:r w:rsidRPr="00D106CE">
        <w:rPr>
          <w:rFonts w:ascii="新細明體" w:hAnsi="新細明體" w:hint="eastAsia"/>
          <w:szCs w:val="24"/>
        </w:rPr>
        <w:t>港交所除牌</w:t>
      </w:r>
      <w:proofErr w:type="gramEnd"/>
      <w:r w:rsidRPr="00D106CE">
        <w:rPr>
          <w:rFonts w:ascii="新細明體" w:hAnsi="新細明體" w:hint="eastAsia"/>
          <w:szCs w:val="24"/>
        </w:rPr>
        <w:t>後下市家數亦甚少，</w:t>
      </w:r>
      <w:proofErr w:type="gramStart"/>
      <w:r w:rsidRPr="00D106CE">
        <w:rPr>
          <w:rFonts w:ascii="新細明體" w:hAnsi="新細明體" w:hint="eastAsia"/>
          <w:szCs w:val="24"/>
        </w:rPr>
        <w:t>惟前揭長</w:t>
      </w:r>
      <w:proofErr w:type="gramEnd"/>
      <w:r w:rsidRPr="00D106CE">
        <w:rPr>
          <w:rFonts w:ascii="新細明體" w:hAnsi="新細明體" w:hint="eastAsia"/>
          <w:szCs w:val="24"/>
        </w:rPr>
        <w:t>期間停牌公司有公司</w:t>
      </w:r>
      <w:proofErr w:type="gramStart"/>
      <w:r w:rsidRPr="00D106CE">
        <w:rPr>
          <w:rFonts w:ascii="新細明體" w:hAnsi="新細明體" w:hint="eastAsia"/>
          <w:szCs w:val="24"/>
        </w:rPr>
        <w:t>停牌長達</w:t>
      </w:r>
      <w:proofErr w:type="gramEnd"/>
      <w:r w:rsidRPr="00D106CE">
        <w:rPr>
          <w:rFonts w:ascii="新細明體" w:hAnsi="新細明體" w:hint="eastAsia"/>
          <w:szCs w:val="24"/>
        </w:rPr>
        <w:t>4年（因其復牌建議構成反收購行動，公司另須遞交新上市申請），香港證監會表示，為上市證券市場之公平及持續運作，前已</w:t>
      </w:r>
      <w:proofErr w:type="gramStart"/>
      <w:r w:rsidRPr="00D106CE">
        <w:rPr>
          <w:rFonts w:ascii="新細明體" w:hAnsi="新細明體" w:hint="eastAsia"/>
          <w:szCs w:val="24"/>
        </w:rPr>
        <w:t>檢討港交所</w:t>
      </w:r>
      <w:proofErr w:type="gramEnd"/>
      <w:r w:rsidRPr="00D106CE">
        <w:rPr>
          <w:rFonts w:ascii="新細明體" w:hAnsi="新細明體" w:hint="eastAsia"/>
          <w:szCs w:val="24"/>
        </w:rPr>
        <w:t>處理長期間停牌公司之方針並建議其應盡可能避免長期間停牌，</w:t>
      </w:r>
      <w:proofErr w:type="gramStart"/>
      <w:r w:rsidRPr="00D106CE">
        <w:rPr>
          <w:rFonts w:ascii="新細明體" w:hAnsi="新細明體" w:hint="eastAsia"/>
          <w:szCs w:val="24"/>
        </w:rPr>
        <w:t>港交所嗣已刊發</w:t>
      </w:r>
      <w:proofErr w:type="gramEnd"/>
      <w:r w:rsidRPr="00D106CE">
        <w:rPr>
          <w:rFonts w:ascii="新細明體" w:hAnsi="新細明體" w:hint="eastAsia"/>
          <w:szCs w:val="24"/>
        </w:rPr>
        <w:t>指引信，以提高透明度及加強投資人</w:t>
      </w:r>
      <w:proofErr w:type="gramStart"/>
      <w:r w:rsidRPr="00D106CE">
        <w:rPr>
          <w:rFonts w:ascii="新細明體" w:hAnsi="新細明體" w:hint="eastAsia"/>
          <w:szCs w:val="24"/>
        </w:rPr>
        <w:t>瞭解港交所</w:t>
      </w:r>
      <w:proofErr w:type="gramEnd"/>
      <w:r w:rsidRPr="00D106CE">
        <w:rPr>
          <w:rFonts w:ascii="新細明體" w:hAnsi="新細明體" w:hint="eastAsia"/>
          <w:szCs w:val="24"/>
        </w:rPr>
        <w:t>處理渠等公司之方針。另本局出席人員亦於會中向香港證監會分享我國之監理方式。</w:t>
      </w:r>
    </w:p>
    <w:p w:rsidR="006541D1" w:rsidRPr="006541D1" w:rsidRDefault="006541D1" w:rsidP="006541D1">
      <w:pPr>
        <w:pStyle w:val="31"/>
        <w:spacing w:line="440" w:lineRule="exact"/>
        <w:ind w:left="426"/>
        <w:rPr>
          <w:rFonts w:ascii="新細明體" w:eastAsia="新細明體" w:hAnsi="新細明體"/>
        </w:rPr>
      </w:pPr>
    </w:p>
    <w:p w:rsidR="001E1018" w:rsidRPr="00F61091" w:rsidRDefault="00E2531C" w:rsidP="0000284D">
      <w:pPr>
        <w:pStyle w:val="31"/>
        <w:numPr>
          <w:ilvl w:val="0"/>
          <w:numId w:val="25"/>
        </w:numPr>
        <w:spacing w:line="460" w:lineRule="exact"/>
        <w:ind w:left="426"/>
        <w:rPr>
          <w:rFonts w:ascii="新細明體" w:eastAsia="新細明體" w:hAnsi="新細明體"/>
        </w:rPr>
      </w:pPr>
      <w:bookmarkStart w:id="14" w:name="_Toc408301461"/>
      <w:r w:rsidRPr="00F61091">
        <w:rPr>
          <w:rFonts w:ascii="新細明體" w:eastAsia="新細明體" w:hAnsi="新細明體" w:hint="eastAsia"/>
        </w:rPr>
        <w:t>交流議題</w:t>
      </w:r>
      <w:r w:rsidR="00206821">
        <w:rPr>
          <w:rFonts w:ascii="新細明體" w:eastAsia="新細明體" w:hAnsi="新細明體" w:hint="eastAsia"/>
        </w:rPr>
        <w:t>3</w:t>
      </w:r>
      <w:r w:rsidR="00A86714">
        <w:rPr>
          <w:rFonts w:ascii="新細明體" w:eastAsia="新細明體" w:hAnsi="新細明體" w:hint="eastAsia"/>
        </w:rPr>
        <w:t xml:space="preserve"> :</w:t>
      </w:r>
      <w:r w:rsidRPr="00F61091">
        <w:rPr>
          <w:rFonts w:ascii="新細明體" w:eastAsia="新細明體" w:hAnsi="新細明體" w:hint="eastAsia"/>
        </w:rPr>
        <w:t>專業投資者制度之修訂之考量原因</w:t>
      </w:r>
      <w:bookmarkEnd w:id="14"/>
    </w:p>
    <w:p w:rsidR="00E2531C" w:rsidRDefault="002577F3" w:rsidP="0000284D">
      <w:pPr>
        <w:pStyle w:val="a8"/>
        <w:numPr>
          <w:ilvl w:val="0"/>
          <w:numId w:val="26"/>
        </w:numPr>
        <w:spacing w:line="460" w:lineRule="exact"/>
        <w:ind w:leftChars="0"/>
        <w:jc w:val="both"/>
        <w:rPr>
          <w:rFonts w:ascii="新細明體" w:hAnsi="新細明體"/>
          <w:szCs w:val="24"/>
        </w:rPr>
      </w:pPr>
      <w:r>
        <w:rPr>
          <w:rFonts w:ascii="新細明體" w:hAnsi="新細明體" w:hint="eastAsia"/>
          <w:szCs w:val="24"/>
        </w:rPr>
        <w:t>背景說明</w:t>
      </w:r>
    </w:p>
    <w:p w:rsidR="002577F3" w:rsidRPr="002577F3" w:rsidRDefault="002577F3" w:rsidP="00736108">
      <w:pPr>
        <w:spacing w:line="460" w:lineRule="exact"/>
        <w:ind w:left="993"/>
        <w:jc w:val="both"/>
        <w:rPr>
          <w:rFonts w:ascii="新細明體" w:hAnsi="新細明體"/>
          <w:szCs w:val="24"/>
        </w:rPr>
      </w:pPr>
      <w:r w:rsidRPr="002577F3">
        <w:rPr>
          <w:rFonts w:ascii="新細明體" w:hAnsi="新細明體" w:hint="eastAsia"/>
          <w:szCs w:val="24"/>
        </w:rPr>
        <w:t>香港證監會於2013年發布法規諮詢文件，擬修訂專業投資者制度，主要檢討項目包括：</w:t>
      </w:r>
    </w:p>
    <w:p w:rsidR="002577F3" w:rsidRPr="002577F3" w:rsidRDefault="002577F3" w:rsidP="0000284D">
      <w:pPr>
        <w:pStyle w:val="a8"/>
        <w:numPr>
          <w:ilvl w:val="0"/>
          <w:numId w:val="27"/>
        </w:numPr>
        <w:spacing w:line="460" w:lineRule="exact"/>
        <w:ind w:leftChars="0" w:left="1276" w:hanging="283"/>
        <w:jc w:val="both"/>
        <w:rPr>
          <w:rFonts w:ascii="新細明體" w:hAnsi="新細明體"/>
          <w:szCs w:val="24"/>
        </w:rPr>
      </w:pPr>
      <w:r w:rsidRPr="002577F3">
        <w:rPr>
          <w:rFonts w:ascii="新細明體" w:hAnsi="新細明體" w:hint="eastAsia"/>
          <w:szCs w:val="24"/>
        </w:rPr>
        <w:t>個人</w:t>
      </w:r>
      <w:proofErr w:type="gramStart"/>
      <w:r w:rsidRPr="002577F3">
        <w:rPr>
          <w:rFonts w:ascii="新細明體" w:hAnsi="新細明體" w:hint="eastAsia"/>
          <w:szCs w:val="24"/>
        </w:rPr>
        <w:t>及法團專業</w:t>
      </w:r>
      <w:proofErr w:type="gramEnd"/>
      <w:r w:rsidRPr="002577F3">
        <w:rPr>
          <w:rFonts w:ascii="新細明體" w:hAnsi="新細明體" w:hint="eastAsia"/>
          <w:szCs w:val="24"/>
        </w:rPr>
        <w:t>投資者是否繼續獲准參與私人配售活動</w:t>
      </w:r>
      <w:r w:rsidR="00EC1B00">
        <w:rPr>
          <w:rFonts w:ascii="新細明體" w:hAnsi="新細明體" w:hint="eastAsia"/>
          <w:szCs w:val="24"/>
        </w:rPr>
        <w:t>？</w:t>
      </w:r>
    </w:p>
    <w:p w:rsidR="002577F3" w:rsidRPr="001D0DCB" w:rsidRDefault="002577F3" w:rsidP="0000284D">
      <w:pPr>
        <w:pStyle w:val="a8"/>
        <w:numPr>
          <w:ilvl w:val="0"/>
          <w:numId w:val="27"/>
        </w:numPr>
        <w:spacing w:line="460" w:lineRule="exact"/>
        <w:ind w:leftChars="0" w:left="1276" w:hanging="283"/>
        <w:jc w:val="both"/>
        <w:rPr>
          <w:rFonts w:ascii="新細明體" w:hAnsi="新細明體"/>
          <w:szCs w:val="24"/>
        </w:rPr>
      </w:pPr>
      <w:r w:rsidRPr="002577F3">
        <w:rPr>
          <w:rFonts w:ascii="新細明體" w:hAnsi="新細明體" w:hint="eastAsia"/>
          <w:szCs w:val="24"/>
        </w:rPr>
        <w:t>是否應調高專業投資者之總值限額（目前適用於個人及法團為800</w:t>
      </w:r>
      <w:r w:rsidRPr="001D0DCB">
        <w:rPr>
          <w:rFonts w:ascii="新細明體" w:hAnsi="新細明體" w:hint="eastAsia"/>
          <w:szCs w:val="24"/>
        </w:rPr>
        <w:t>萬</w:t>
      </w:r>
      <w:r w:rsidR="00EC1B00" w:rsidRPr="002577F3">
        <w:rPr>
          <w:rFonts w:ascii="新細明體" w:hAnsi="新細明體" w:hint="eastAsia"/>
          <w:szCs w:val="24"/>
        </w:rPr>
        <w:t>港幣</w:t>
      </w:r>
      <w:r w:rsidRPr="001D0DCB">
        <w:rPr>
          <w:rFonts w:ascii="新細明體" w:hAnsi="新細明體" w:hint="eastAsia"/>
          <w:szCs w:val="24"/>
        </w:rPr>
        <w:t>投資組合最低總值限額、適用於法團為4000萬</w:t>
      </w:r>
      <w:r w:rsidR="00EC1B00" w:rsidRPr="001D0DCB">
        <w:rPr>
          <w:rFonts w:ascii="新細明體" w:hAnsi="新細明體" w:hint="eastAsia"/>
          <w:szCs w:val="24"/>
        </w:rPr>
        <w:t>港幣</w:t>
      </w:r>
      <w:r w:rsidRPr="001D0DCB">
        <w:rPr>
          <w:rFonts w:ascii="新細明體" w:hAnsi="新細明體" w:hint="eastAsia"/>
          <w:szCs w:val="24"/>
        </w:rPr>
        <w:t>總資產最低總值限額）?</w:t>
      </w:r>
    </w:p>
    <w:p w:rsidR="002577F3" w:rsidRPr="001D0DCB" w:rsidRDefault="002577F3" w:rsidP="0000284D">
      <w:pPr>
        <w:pStyle w:val="a8"/>
        <w:numPr>
          <w:ilvl w:val="0"/>
          <w:numId w:val="27"/>
        </w:numPr>
        <w:spacing w:line="460" w:lineRule="exact"/>
        <w:ind w:leftChars="0" w:left="1276" w:hanging="283"/>
        <w:jc w:val="both"/>
        <w:rPr>
          <w:rFonts w:ascii="新細明體" w:hAnsi="新細明體"/>
          <w:szCs w:val="24"/>
        </w:rPr>
      </w:pPr>
      <w:r w:rsidRPr="001D0DCB">
        <w:rPr>
          <w:rFonts w:ascii="新細明體" w:hAnsi="新細明體" w:hint="eastAsia"/>
          <w:szCs w:val="24"/>
        </w:rPr>
        <w:t>由於大部分銷售失當行為個案均牽涉個人專業投資者，故檢討豁免中介機構對此類專業投資者無須遵循相關操守準則規範的作法，是否允當?</w:t>
      </w:r>
    </w:p>
    <w:p w:rsidR="002577F3" w:rsidRPr="001D0DCB" w:rsidRDefault="00EC1B00" w:rsidP="00736108">
      <w:pPr>
        <w:spacing w:line="460" w:lineRule="exact"/>
        <w:ind w:left="993"/>
        <w:jc w:val="both"/>
        <w:rPr>
          <w:rFonts w:ascii="新細明體" w:hAnsi="新細明體"/>
          <w:szCs w:val="24"/>
        </w:rPr>
      </w:pPr>
      <w:r>
        <w:rPr>
          <w:rFonts w:ascii="新細明體" w:hAnsi="新細明體" w:hint="eastAsia"/>
          <w:szCs w:val="24"/>
        </w:rPr>
        <w:t>本</w:t>
      </w:r>
      <w:r w:rsidR="002577F3" w:rsidRPr="001D0DCB">
        <w:rPr>
          <w:rFonts w:ascii="新細明體" w:hAnsi="新細明體" w:hint="eastAsia"/>
          <w:szCs w:val="24"/>
        </w:rPr>
        <w:t>會近期</w:t>
      </w:r>
      <w:proofErr w:type="gramStart"/>
      <w:r w:rsidR="002577F3" w:rsidRPr="001D0DCB">
        <w:rPr>
          <w:rFonts w:ascii="新細明體" w:hAnsi="新細明體" w:hint="eastAsia"/>
          <w:szCs w:val="24"/>
        </w:rPr>
        <w:t>政策係朝放寬</w:t>
      </w:r>
      <w:proofErr w:type="gramEnd"/>
      <w:r w:rsidR="002577F3" w:rsidRPr="001D0DCB">
        <w:rPr>
          <w:rFonts w:ascii="新細明體" w:hAnsi="新細明體" w:hint="eastAsia"/>
          <w:szCs w:val="24"/>
        </w:rPr>
        <w:t>專業投資人之投資商品範圍等方向規劃，</w:t>
      </w:r>
      <w:proofErr w:type="gramStart"/>
      <w:r w:rsidR="002577F3" w:rsidRPr="001D0DCB">
        <w:rPr>
          <w:rFonts w:ascii="新細明體" w:hAnsi="新細明體" w:hint="eastAsia"/>
          <w:szCs w:val="24"/>
        </w:rPr>
        <w:t>爰</w:t>
      </w:r>
      <w:proofErr w:type="gramEnd"/>
      <w:r w:rsidR="002577F3" w:rsidRPr="001D0DCB">
        <w:rPr>
          <w:rFonts w:ascii="新細明體" w:hAnsi="新細明體" w:hint="eastAsia"/>
          <w:szCs w:val="24"/>
        </w:rPr>
        <w:t>擬瞭解香港證監會之監管理念，以為</w:t>
      </w:r>
      <w:r>
        <w:rPr>
          <w:rFonts w:ascii="新細明體" w:hAnsi="新細明體" w:hint="eastAsia"/>
          <w:szCs w:val="24"/>
        </w:rPr>
        <w:t>將來修訂法規之</w:t>
      </w:r>
      <w:r w:rsidR="002577F3" w:rsidRPr="001D0DCB">
        <w:rPr>
          <w:rFonts w:ascii="新細明體" w:hAnsi="新細明體" w:hint="eastAsia"/>
          <w:szCs w:val="24"/>
        </w:rPr>
        <w:t>參考。</w:t>
      </w:r>
    </w:p>
    <w:p w:rsidR="002577F3" w:rsidRPr="001D0DCB" w:rsidRDefault="002577F3" w:rsidP="0000284D">
      <w:pPr>
        <w:pStyle w:val="a8"/>
        <w:numPr>
          <w:ilvl w:val="0"/>
          <w:numId w:val="26"/>
        </w:numPr>
        <w:spacing w:line="460" w:lineRule="exact"/>
        <w:ind w:leftChars="0"/>
        <w:jc w:val="both"/>
        <w:rPr>
          <w:rFonts w:ascii="新細明體" w:hAnsi="新細明體"/>
          <w:szCs w:val="24"/>
        </w:rPr>
      </w:pPr>
      <w:r w:rsidRPr="001D0DCB">
        <w:rPr>
          <w:rFonts w:ascii="新細明體" w:hAnsi="新細明體" w:hint="eastAsia"/>
          <w:szCs w:val="24"/>
        </w:rPr>
        <w:t>會議重點</w:t>
      </w:r>
    </w:p>
    <w:p w:rsidR="002577F3" w:rsidRPr="001D0DCB" w:rsidRDefault="002577F3" w:rsidP="0000284D">
      <w:pPr>
        <w:pStyle w:val="a8"/>
        <w:numPr>
          <w:ilvl w:val="0"/>
          <w:numId w:val="28"/>
        </w:numPr>
        <w:spacing w:line="460" w:lineRule="exact"/>
        <w:ind w:leftChars="0"/>
        <w:jc w:val="both"/>
        <w:rPr>
          <w:rFonts w:ascii="新細明體" w:hAnsi="新細明體"/>
          <w:szCs w:val="24"/>
        </w:rPr>
      </w:pPr>
      <w:r w:rsidRPr="001D0DCB">
        <w:rPr>
          <w:rFonts w:ascii="新細明體" w:hAnsi="新細明體" w:hint="eastAsia"/>
          <w:szCs w:val="24"/>
        </w:rPr>
        <w:t>針對本會所詢問之專業投資者分級制度問題，香港證監會諮詢總結的重要決定如下，相關修訂將於2016.3.25生效：</w:t>
      </w:r>
    </w:p>
    <w:p w:rsidR="002577F3" w:rsidRPr="001D0DCB" w:rsidRDefault="002577F3" w:rsidP="0000284D">
      <w:pPr>
        <w:pStyle w:val="a8"/>
        <w:numPr>
          <w:ilvl w:val="0"/>
          <w:numId w:val="29"/>
        </w:numPr>
        <w:spacing w:line="460" w:lineRule="exact"/>
        <w:ind w:leftChars="0"/>
        <w:jc w:val="both"/>
        <w:rPr>
          <w:rFonts w:ascii="新細明體" w:hAnsi="新細明體"/>
          <w:szCs w:val="24"/>
        </w:rPr>
      </w:pPr>
      <w:r w:rsidRPr="001D0DCB">
        <w:rPr>
          <w:rFonts w:ascii="新細明體" w:hAnsi="新細明體" w:hint="eastAsia"/>
          <w:szCs w:val="24"/>
        </w:rPr>
        <w:lastRenderedPageBreak/>
        <w:t>個人</w:t>
      </w:r>
      <w:proofErr w:type="gramStart"/>
      <w:r w:rsidRPr="001D0DCB">
        <w:rPr>
          <w:rFonts w:ascii="新細明體" w:hAnsi="新細明體" w:hint="eastAsia"/>
          <w:szCs w:val="24"/>
        </w:rPr>
        <w:t>及法團專業</w:t>
      </w:r>
      <w:proofErr w:type="gramEnd"/>
      <w:r w:rsidRPr="001D0DCB">
        <w:rPr>
          <w:rFonts w:ascii="新細明體" w:hAnsi="新細明體" w:hint="eastAsia"/>
          <w:szCs w:val="24"/>
        </w:rPr>
        <w:t>投資者若符合「專業投資者規則」所訂明的總值限額將繼續獲准參與私人配售活動。</w:t>
      </w:r>
    </w:p>
    <w:p w:rsidR="002577F3" w:rsidRPr="001D0DCB" w:rsidRDefault="002577F3" w:rsidP="0000284D">
      <w:pPr>
        <w:pStyle w:val="a8"/>
        <w:numPr>
          <w:ilvl w:val="0"/>
          <w:numId w:val="29"/>
        </w:numPr>
        <w:spacing w:line="460" w:lineRule="exact"/>
        <w:ind w:leftChars="0"/>
        <w:jc w:val="both"/>
        <w:rPr>
          <w:rFonts w:ascii="新細明體" w:hAnsi="新細明體"/>
          <w:szCs w:val="24"/>
        </w:rPr>
      </w:pPr>
      <w:r w:rsidRPr="001D0DCB">
        <w:rPr>
          <w:rFonts w:ascii="新細明體" w:hAnsi="新細明體" w:hint="eastAsia"/>
          <w:szCs w:val="24"/>
        </w:rPr>
        <w:t>「專業投資者規則」所規定的總值限額將維持不變：</w:t>
      </w:r>
    </w:p>
    <w:p w:rsidR="002577F3" w:rsidRPr="001D0DCB" w:rsidRDefault="002577F3" w:rsidP="0000284D">
      <w:pPr>
        <w:pStyle w:val="a8"/>
        <w:numPr>
          <w:ilvl w:val="0"/>
          <w:numId w:val="29"/>
        </w:numPr>
        <w:spacing w:line="460" w:lineRule="exact"/>
        <w:ind w:leftChars="0"/>
        <w:jc w:val="both"/>
        <w:rPr>
          <w:rFonts w:ascii="新細明體" w:hAnsi="新細明體"/>
          <w:szCs w:val="24"/>
        </w:rPr>
      </w:pPr>
      <w:r w:rsidRPr="001D0DCB">
        <w:rPr>
          <w:rFonts w:ascii="新細明體" w:hAnsi="新細明體" w:hint="eastAsia"/>
          <w:szCs w:val="24"/>
        </w:rPr>
        <w:t>不允許中介人在向個人專業投資者提供服務時豁免遵從「證券及期貨事務監察委員會</w:t>
      </w:r>
      <w:proofErr w:type="gramStart"/>
      <w:r w:rsidRPr="001D0DCB">
        <w:rPr>
          <w:rFonts w:ascii="新細明體" w:hAnsi="新細明體" w:hint="eastAsia"/>
          <w:szCs w:val="24"/>
        </w:rPr>
        <w:t>持牌人或</w:t>
      </w:r>
      <w:proofErr w:type="gramEnd"/>
      <w:r w:rsidRPr="001D0DCB">
        <w:rPr>
          <w:rFonts w:ascii="新細明體" w:hAnsi="新細明體" w:hint="eastAsia"/>
          <w:szCs w:val="24"/>
        </w:rPr>
        <w:t>註冊人操守準則」內的合適性規定，以及豁免對投資人保障有重大影響的其他基本規定。</w:t>
      </w:r>
    </w:p>
    <w:p w:rsidR="002577F3" w:rsidRPr="001D0DCB" w:rsidRDefault="002577F3" w:rsidP="00736108">
      <w:pPr>
        <w:pStyle w:val="a8"/>
        <w:spacing w:line="460" w:lineRule="exact"/>
        <w:ind w:leftChars="766" w:left="1840" w:hanging="2"/>
        <w:jc w:val="both"/>
        <w:rPr>
          <w:rFonts w:ascii="新細明體" w:hAnsi="新細明體"/>
          <w:szCs w:val="24"/>
        </w:rPr>
      </w:pPr>
      <w:r w:rsidRPr="001D0DCB">
        <w:rPr>
          <w:rFonts w:ascii="新細明體" w:hAnsi="新細明體" w:hint="eastAsia"/>
          <w:szCs w:val="24"/>
        </w:rPr>
        <w:t>上開合適性規定，指中介人在作出建議或招攬行為時，須確保其</w:t>
      </w:r>
      <w:r w:rsidR="00EC1B00">
        <w:rPr>
          <w:rFonts w:ascii="新細明體" w:hAnsi="新細明體" w:hint="eastAsia"/>
          <w:szCs w:val="24"/>
        </w:rPr>
        <w:t xml:space="preserve">　　</w:t>
      </w:r>
      <w:r w:rsidRPr="001D0DCB">
        <w:rPr>
          <w:rFonts w:ascii="新細明體" w:hAnsi="新細明體" w:hint="eastAsia"/>
          <w:szCs w:val="24"/>
        </w:rPr>
        <w:t>向客戶作出的建議或招攬行為，在所有情況下都是合理的。</w:t>
      </w:r>
    </w:p>
    <w:p w:rsidR="002577F3" w:rsidRPr="001D0DCB" w:rsidRDefault="002577F3" w:rsidP="0000284D">
      <w:pPr>
        <w:pStyle w:val="a8"/>
        <w:numPr>
          <w:ilvl w:val="0"/>
          <w:numId w:val="29"/>
        </w:numPr>
        <w:spacing w:line="460" w:lineRule="exact"/>
        <w:ind w:leftChars="0"/>
        <w:jc w:val="both"/>
        <w:rPr>
          <w:rFonts w:ascii="新細明體" w:hAnsi="新細明體"/>
          <w:szCs w:val="24"/>
        </w:rPr>
      </w:pPr>
      <w:r w:rsidRPr="001D0DCB">
        <w:rPr>
          <w:rFonts w:ascii="新細明體" w:hAnsi="新細明體" w:hint="eastAsia"/>
          <w:szCs w:val="24"/>
        </w:rPr>
        <w:t>採取以原則為本的條件來</w:t>
      </w:r>
      <w:proofErr w:type="gramStart"/>
      <w:r w:rsidRPr="001D0DCB">
        <w:rPr>
          <w:rFonts w:ascii="新細明體" w:hAnsi="新細明體" w:hint="eastAsia"/>
          <w:szCs w:val="24"/>
        </w:rPr>
        <w:t>評估法團專業</w:t>
      </w:r>
      <w:proofErr w:type="gramEnd"/>
      <w:r w:rsidRPr="001D0DCB">
        <w:rPr>
          <w:rFonts w:ascii="新細明體" w:hAnsi="新細明體" w:hint="eastAsia"/>
          <w:szCs w:val="24"/>
        </w:rPr>
        <w:t>者的資格條件，取代目前的量化評估方法。</w:t>
      </w:r>
    </w:p>
    <w:p w:rsidR="002577F3" w:rsidRPr="001D0DCB" w:rsidRDefault="002577F3" w:rsidP="00736108">
      <w:pPr>
        <w:pStyle w:val="a8"/>
        <w:spacing w:line="460" w:lineRule="exact"/>
        <w:ind w:leftChars="0" w:left="1440"/>
        <w:jc w:val="both"/>
        <w:rPr>
          <w:rFonts w:ascii="新細明體" w:hAnsi="新細明體"/>
          <w:szCs w:val="24"/>
        </w:rPr>
      </w:pPr>
      <w:r w:rsidRPr="001D0DCB">
        <w:rPr>
          <w:rFonts w:ascii="新細明體" w:hAnsi="新細明體" w:hint="eastAsia"/>
          <w:szCs w:val="24"/>
        </w:rPr>
        <w:t xml:space="preserve">    新法團專業投資者評估標準，包括三項條件：</w:t>
      </w:r>
    </w:p>
    <w:p w:rsidR="002577F3" w:rsidRPr="001D0DCB" w:rsidRDefault="002577F3" w:rsidP="0000284D">
      <w:pPr>
        <w:pStyle w:val="a8"/>
        <w:numPr>
          <w:ilvl w:val="0"/>
          <w:numId w:val="31"/>
        </w:numPr>
        <w:spacing w:line="460" w:lineRule="exact"/>
        <w:ind w:leftChars="0" w:hanging="219"/>
        <w:rPr>
          <w:rFonts w:ascii="新細明體" w:hAnsi="新細明體"/>
          <w:szCs w:val="24"/>
        </w:rPr>
      </w:pPr>
      <w:proofErr w:type="gramStart"/>
      <w:r w:rsidRPr="001D0DCB">
        <w:rPr>
          <w:rFonts w:ascii="新細明體" w:hAnsi="新細明體" w:hint="eastAsia"/>
          <w:szCs w:val="24"/>
        </w:rPr>
        <w:t>法團專業</w:t>
      </w:r>
      <w:proofErr w:type="gramEnd"/>
      <w:r w:rsidRPr="001D0DCB">
        <w:rPr>
          <w:rFonts w:ascii="新細明體" w:hAnsi="新細明體" w:hint="eastAsia"/>
          <w:szCs w:val="24"/>
        </w:rPr>
        <w:t>投資者擁有合適的企業架構和投資程序及監控措施。</w:t>
      </w:r>
    </w:p>
    <w:p w:rsidR="002577F3" w:rsidRPr="001D0DCB" w:rsidRDefault="002577F3" w:rsidP="0000284D">
      <w:pPr>
        <w:pStyle w:val="a8"/>
        <w:numPr>
          <w:ilvl w:val="0"/>
          <w:numId w:val="31"/>
        </w:numPr>
        <w:spacing w:line="460" w:lineRule="exact"/>
        <w:ind w:leftChars="0" w:hanging="219"/>
        <w:rPr>
          <w:rFonts w:ascii="新細明體" w:hAnsi="新細明體"/>
          <w:szCs w:val="24"/>
        </w:rPr>
      </w:pPr>
      <w:r w:rsidRPr="001D0DCB">
        <w:rPr>
          <w:rFonts w:ascii="新細明體" w:hAnsi="新細明體" w:hint="eastAsia"/>
          <w:szCs w:val="24"/>
        </w:rPr>
        <w:t>負責作出投資決定的人士具備充分的投資背景。</w:t>
      </w:r>
    </w:p>
    <w:p w:rsidR="00B579A0" w:rsidRPr="00E44561" w:rsidRDefault="002577F3" w:rsidP="0000284D">
      <w:pPr>
        <w:pStyle w:val="a8"/>
        <w:numPr>
          <w:ilvl w:val="0"/>
          <w:numId w:val="31"/>
        </w:numPr>
        <w:spacing w:line="460" w:lineRule="exact"/>
        <w:ind w:leftChars="0" w:hanging="219"/>
        <w:rPr>
          <w:rFonts w:ascii="新細明體" w:hAnsi="新細明體"/>
          <w:szCs w:val="24"/>
        </w:rPr>
      </w:pPr>
      <w:proofErr w:type="gramStart"/>
      <w:r w:rsidRPr="001D0DCB">
        <w:rPr>
          <w:rFonts w:ascii="新細明體" w:hAnsi="新細明體" w:hint="eastAsia"/>
          <w:szCs w:val="24"/>
        </w:rPr>
        <w:t>法團專業</w:t>
      </w:r>
      <w:proofErr w:type="gramEnd"/>
      <w:r w:rsidRPr="001D0DCB">
        <w:rPr>
          <w:rFonts w:ascii="新細明體" w:hAnsi="新細明體" w:hint="eastAsia"/>
          <w:szCs w:val="24"/>
        </w:rPr>
        <w:t>投資者對所涉及的風險有所認知。</w:t>
      </w:r>
    </w:p>
    <w:p w:rsidR="00B579A0" w:rsidRPr="001D0DCB" w:rsidRDefault="00B579A0" w:rsidP="0000284D">
      <w:pPr>
        <w:pStyle w:val="a8"/>
        <w:numPr>
          <w:ilvl w:val="0"/>
          <w:numId w:val="28"/>
        </w:numPr>
        <w:spacing w:line="460" w:lineRule="exact"/>
        <w:ind w:leftChars="0"/>
        <w:jc w:val="both"/>
        <w:rPr>
          <w:rFonts w:ascii="新細明體" w:hAnsi="新細明體"/>
          <w:szCs w:val="24"/>
        </w:rPr>
      </w:pPr>
      <w:r w:rsidRPr="001D0DCB">
        <w:rPr>
          <w:rFonts w:ascii="新細明體" w:hAnsi="新細明體" w:hint="eastAsia"/>
          <w:szCs w:val="24"/>
        </w:rPr>
        <w:t>檢討專業投資者制度之背景</w:t>
      </w:r>
    </w:p>
    <w:p w:rsidR="00B579A0" w:rsidRPr="001D0DCB" w:rsidRDefault="00B579A0" w:rsidP="00736108">
      <w:pPr>
        <w:spacing w:line="460" w:lineRule="exact"/>
        <w:ind w:leftChars="590" w:left="1416" w:firstLineChars="236" w:firstLine="566"/>
        <w:jc w:val="both"/>
        <w:rPr>
          <w:rFonts w:ascii="新細明體" w:hAnsi="新細明體"/>
          <w:szCs w:val="24"/>
        </w:rPr>
      </w:pPr>
      <w:r w:rsidRPr="001D0DCB">
        <w:rPr>
          <w:rFonts w:ascii="新細明體" w:hAnsi="新細明體"/>
          <w:szCs w:val="24"/>
        </w:rPr>
        <w:t>2011</w:t>
      </w:r>
      <w:r w:rsidRPr="001D0DCB">
        <w:rPr>
          <w:rFonts w:ascii="新細明體" w:hAnsi="新細明體" w:hint="eastAsia"/>
          <w:szCs w:val="24"/>
        </w:rPr>
        <w:t>年香港立法會審議修正之專業投資者規則時，香港證監會提出承諾擬全面檢討現行的專業投資者制度，以決定應否進一步修訂、簡化或改善該制度。</w:t>
      </w:r>
    </w:p>
    <w:p w:rsidR="00B579A0" w:rsidRPr="001D0DCB" w:rsidRDefault="00B579A0" w:rsidP="00736108">
      <w:pPr>
        <w:spacing w:line="460" w:lineRule="exact"/>
        <w:ind w:leftChars="590" w:left="1416" w:firstLineChars="236" w:firstLine="566"/>
        <w:jc w:val="both"/>
        <w:rPr>
          <w:rFonts w:ascii="新細明體" w:hAnsi="新細明體"/>
          <w:szCs w:val="24"/>
        </w:rPr>
      </w:pPr>
      <w:r w:rsidRPr="001D0DCB">
        <w:rPr>
          <w:rFonts w:ascii="新細明體" w:hAnsi="新細明體" w:hint="eastAsia"/>
          <w:szCs w:val="24"/>
        </w:rPr>
        <w:t>有關專業投資者的財力資格條件部分，經考量目前的限額與其他主要國家相當，例如個人專業投資者的最低限額較英國為高，但較新加坡及澳洲為低；且諮詢過程中亦有意見指調高門檻可能會帶來潛在的負面影響，所以決定維持現狀。另有關總值限額僅為一個門檻，重要的是中介人必須對這些專業投資者進行知識及經驗</w:t>
      </w:r>
      <w:r w:rsidR="00EC1B00">
        <w:rPr>
          <w:rFonts w:ascii="新細明體" w:hAnsi="新細明體" w:hint="eastAsia"/>
          <w:szCs w:val="24"/>
        </w:rPr>
        <w:t>評</w:t>
      </w:r>
      <w:r w:rsidRPr="001D0DCB">
        <w:rPr>
          <w:rFonts w:ascii="新細明體" w:hAnsi="新細明體" w:hint="eastAsia"/>
          <w:szCs w:val="24"/>
        </w:rPr>
        <w:t>估。</w:t>
      </w:r>
    </w:p>
    <w:p w:rsidR="00B579A0" w:rsidRPr="001D0DCB" w:rsidRDefault="00B579A0" w:rsidP="0000284D">
      <w:pPr>
        <w:pStyle w:val="a8"/>
        <w:numPr>
          <w:ilvl w:val="0"/>
          <w:numId w:val="28"/>
        </w:numPr>
        <w:spacing w:line="460" w:lineRule="exact"/>
        <w:ind w:leftChars="0"/>
        <w:jc w:val="both"/>
        <w:rPr>
          <w:rFonts w:ascii="新細明體" w:hAnsi="新細明體"/>
          <w:szCs w:val="24"/>
        </w:rPr>
      </w:pPr>
      <w:r w:rsidRPr="001D0DCB">
        <w:rPr>
          <w:rFonts w:ascii="新細明體" w:hAnsi="新細明體" w:hint="eastAsia"/>
          <w:szCs w:val="24"/>
        </w:rPr>
        <w:t>有關中介人對個人專業投資者與一般投資人進行KYC或KYP之差異</w:t>
      </w:r>
    </w:p>
    <w:p w:rsidR="00B579A0" w:rsidRDefault="001D0DCB" w:rsidP="00736108">
      <w:pPr>
        <w:spacing w:line="460" w:lineRule="exact"/>
        <w:ind w:leftChars="590" w:left="1416"/>
        <w:jc w:val="both"/>
        <w:rPr>
          <w:rFonts w:ascii="新細明體" w:hAnsi="新細明體"/>
          <w:szCs w:val="24"/>
        </w:rPr>
      </w:pPr>
      <w:r>
        <w:rPr>
          <w:rFonts w:ascii="新細明體" w:hAnsi="新細明體" w:hint="eastAsia"/>
          <w:szCs w:val="24"/>
        </w:rPr>
        <w:t xml:space="preserve">    </w:t>
      </w:r>
      <w:r w:rsidR="00B579A0" w:rsidRPr="001D0DCB">
        <w:rPr>
          <w:rFonts w:ascii="新細明體" w:hAnsi="新細明體" w:hint="eastAsia"/>
          <w:szCs w:val="24"/>
        </w:rPr>
        <w:t>有關中介人對個人專業投資者進行</w:t>
      </w:r>
      <w:r w:rsidR="00B579A0" w:rsidRPr="001D0DCB">
        <w:rPr>
          <w:rFonts w:ascii="新細明體" w:hAnsi="新細明體"/>
          <w:szCs w:val="24"/>
        </w:rPr>
        <w:t>KYC</w:t>
      </w:r>
      <w:r w:rsidR="00B579A0" w:rsidRPr="001D0DCB">
        <w:rPr>
          <w:rFonts w:ascii="新細明體" w:hAnsi="新細明體" w:hint="eastAsia"/>
          <w:szCs w:val="24"/>
        </w:rPr>
        <w:t>或</w:t>
      </w:r>
      <w:r w:rsidR="00B579A0" w:rsidRPr="001D0DCB">
        <w:rPr>
          <w:rFonts w:ascii="新細明體" w:hAnsi="新細明體"/>
          <w:szCs w:val="24"/>
        </w:rPr>
        <w:t>KYP</w:t>
      </w:r>
      <w:r w:rsidR="00B579A0" w:rsidRPr="001D0DCB">
        <w:rPr>
          <w:rFonts w:ascii="新細明體" w:hAnsi="新細明體" w:hint="eastAsia"/>
          <w:szCs w:val="24"/>
        </w:rPr>
        <w:t>，其與一般投資人之程序並無差別，惟</w:t>
      </w:r>
      <w:proofErr w:type="gramStart"/>
      <w:r w:rsidR="00B579A0" w:rsidRPr="001D0DCB">
        <w:rPr>
          <w:rFonts w:ascii="新細明體" w:hAnsi="新細明體" w:hint="eastAsia"/>
          <w:szCs w:val="24"/>
        </w:rPr>
        <w:t>評估法團投資者</w:t>
      </w:r>
      <w:proofErr w:type="gramEnd"/>
      <w:r w:rsidR="00B579A0" w:rsidRPr="001D0DCB">
        <w:rPr>
          <w:rFonts w:ascii="新細明體" w:hAnsi="新細明體" w:hint="eastAsia"/>
          <w:szCs w:val="24"/>
        </w:rPr>
        <w:t>尚須符合前開三項要件。有關「認識你的客戶」程序旨在確保中介人了解客戶的情況及需要，以及向其客戶提供最合適的服務。因此，中介人須採取一切合理步驟，以確立客戶的財政狀況、投資經驗及投資目標。另中介人在經營其業務時，須以誠實、公平和維護客戶最佳利益的態度行事及確保市場廉潔穩健，</w:t>
      </w:r>
      <w:r w:rsidR="00B579A0" w:rsidRPr="001D0DCB">
        <w:rPr>
          <w:rFonts w:ascii="新細明體" w:hAnsi="新細明體" w:hint="eastAsia"/>
          <w:szCs w:val="24"/>
        </w:rPr>
        <w:lastRenderedPageBreak/>
        <w:t>亦須以適當的技能、小心審慎和勤勉盡責的態度行事。此外香港金融管理局並規定銷售機構銷售產品予投資人應要進行錄音，以降低投資糾紛之產生。</w:t>
      </w:r>
    </w:p>
    <w:p w:rsidR="000130AD" w:rsidRDefault="000130AD" w:rsidP="00ED21EE">
      <w:pPr>
        <w:spacing w:line="460" w:lineRule="exact"/>
        <w:ind w:leftChars="590" w:left="1416"/>
        <w:jc w:val="both"/>
        <w:rPr>
          <w:rFonts w:ascii="新細明體" w:hAnsi="新細明體"/>
          <w:szCs w:val="24"/>
        </w:rPr>
      </w:pPr>
    </w:p>
    <w:p w:rsidR="000130AD" w:rsidRPr="00E37467" w:rsidRDefault="000130AD" w:rsidP="0000284D">
      <w:pPr>
        <w:pStyle w:val="31"/>
        <w:numPr>
          <w:ilvl w:val="0"/>
          <w:numId w:val="25"/>
        </w:numPr>
        <w:spacing w:line="460" w:lineRule="exact"/>
        <w:ind w:left="426"/>
        <w:rPr>
          <w:rFonts w:ascii="新細明體" w:eastAsia="新細明體" w:hAnsi="新細明體"/>
          <w:b w:val="0"/>
        </w:rPr>
      </w:pPr>
      <w:bookmarkStart w:id="15" w:name="_Toc408301462"/>
      <w:r w:rsidRPr="00B95BB1">
        <w:rPr>
          <w:rFonts w:ascii="新細明體" w:eastAsia="新細明體" w:hAnsi="新細明體" w:hint="eastAsia"/>
        </w:rPr>
        <w:t>交流議題</w:t>
      </w:r>
      <w:r w:rsidR="00206821">
        <w:rPr>
          <w:rFonts w:ascii="新細明體" w:eastAsia="新細明體" w:hAnsi="新細明體" w:hint="eastAsia"/>
        </w:rPr>
        <w:t>4</w:t>
      </w:r>
      <w:r w:rsidR="00A86714">
        <w:rPr>
          <w:rFonts w:ascii="新細明體" w:eastAsia="新細明體" w:hAnsi="新細明體" w:hint="eastAsia"/>
        </w:rPr>
        <w:t xml:space="preserve"> :</w:t>
      </w:r>
      <w:proofErr w:type="gramStart"/>
      <w:r>
        <w:rPr>
          <w:rFonts w:ascii="新細明體" w:eastAsia="新細明體" w:hAnsi="新細明體" w:hint="eastAsia"/>
        </w:rPr>
        <w:t>創櫃板</w:t>
      </w:r>
      <w:proofErr w:type="gramEnd"/>
      <w:r>
        <w:rPr>
          <w:rFonts w:ascii="新細明體" w:eastAsia="新細明體" w:hAnsi="新細明體" w:hint="eastAsia"/>
        </w:rPr>
        <w:t>簡介</w:t>
      </w:r>
      <w:bookmarkEnd w:id="15"/>
    </w:p>
    <w:p w:rsidR="000130AD" w:rsidRPr="00E44561" w:rsidRDefault="000130AD" w:rsidP="00D87576">
      <w:pPr>
        <w:spacing w:line="460" w:lineRule="exact"/>
        <w:ind w:leftChars="177" w:left="425"/>
      </w:pPr>
      <w:r w:rsidRPr="00E44561">
        <w:rPr>
          <w:rFonts w:hint="eastAsia"/>
        </w:rPr>
        <w:t>(</w:t>
      </w:r>
      <w:r w:rsidRPr="00E44561">
        <w:rPr>
          <w:rFonts w:hint="eastAsia"/>
        </w:rPr>
        <w:t>此節為會議中臨時討論之議題，由證</w:t>
      </w:r>
      <w:proofErr w:type="gramStart"/>
      <w:r w:rsidRPr="00E44561">
        <w:rPr>
          <w:rFonts w:hint="eastAsia"/>
        </w:rPr>
        <w:t>期局吳局長裕群</w:t>
      </w:r>
      <w:proofErr w:type="gramEnd"/>
      <w:r w:rsidRPr="00E44561">
        <w:rPr>
          <w:rFonts w:hint="eastAsia"/>
        </w:rPr>
        <w:t>主講，</w:t>
      </w:r>
      <w:proofErr w:type="gramStart"/>
      <w:r w:rsidRPr="00E44561">
        <w:rPr>
          <w:rFonts w:hint="eastAsia"/>
        </w:rPr>
        <w:t>謹摘陳</w:t>
      </w:r>
      <w:proofErr w:type="gramEnd"/>
      <w:r w:rsidRPr="00E44561">
        <w:rPr>
          <w:rFonts w:hint="eastAsia"/>
        </w:rPr>
        <w:t>內容如下</w:t>
      </w:r>
      <w:r w:rsidRPr="00E44561">
        <w:rPr>
          <w:rFonts w:hint="eastAsia"/>
        </w:rPr>
        <w:t>)</w:t>
      </w:r>
    </w:p>
    <w:p w:rsidR="000130AD" w:rsidRPr="00716FA5" w:rsidRDefault="000130AD" w:rsidP="00D87576">
      <w:pPr>
        <w:spacing w:line="460" w:lineRule="exact"/>
        <w:ind w:leftChars="177" w:left="425" w:firstLine="567"/>
        <w:jc w:val="both"/>
        <w:rPr>
          <w:rFonts w:ascii="新細明體" w:hAnsi="新細明體"/>
          <w:bCs/>
        </w:rPr>
      </w:pPr>
      <w:proofErr w:type="gramStart"/>
      <w:r w:rsidRPr="00716FA5">
        <w:rPr>
          <w:rFonts w:ascii="新細明體" w:hAnsi="新細明體" w:hint="eastAsia"/>
          <w:bCs/>
        </w:rPr>
        <w:t>本次亦針對</w:t>
      </w:r>
      <w:proofErr w:type="gramEnd"/>
      <w:r w:rsidRPr="00716FA5">
        <w:rPr>
          <w:rFonts w:ascii="新細明體" w:hAnsi="新細明體" w:hint="eastAsia"/>
          <w:bCs/>
        </w:rPr>
        <w:t>我國參考美國JOBS Act鼓勵新興成長企業上市豁免規定及股權基礎之群眾集資平台相關規範，由財團法人中華民國證券櫃檯買賣中心(以下簡稱櫃買中心)於103年1月建置「</w:t>
      </w:r>
      <w:proofErr w:type="gramStart"/>
      <w:r w:rsidRPr="00716FA5">
        <w:rPr>
          <w:rFonts w:ascii="新細明體" w:hAnsi="新細明體" w:hint="eastAsia"/>
          <w:bCs/>
        </w:rPr>
        <w:t>創櫃板</w:t>
      </w:r>
      <w:proofErr w:type="gramEnd"/>
      <w:r w:rsidRPr="00716FA5">
        <w:rPr>
          <w:rFonts w:ascii="新細明體" w:hAnsi="新細明體" w:hint="eastAsia"/>
          <w:bCs/>
        </w:rPr>
        <w:t>」</w:t>
      </w:r>
      <w:r w:rsidR="008A37E2">
        <w:rPr>
          <w:rFonts w:ascii="新細明體" w:hAnsi="新細明體" w:hint="eastAsia"/>
          <w:bCs/>
        </w:rPr>
        <w:t>，其</w:t>
      </w:r>
      <w:r w:rsidRPr="00716FA5">
        <w:rPr>
          <w:rFonts w:ascii="新細明體" w:hAnsi="新細明體" w:hint="eastAsia"/>
          <w:bCs/>
        </w:rPr>
        <w:t>相關制度簡介如下：</w:t>
      </w:r>
    </w:p>
    <w:p w:rsidR="000130AD" w:rsidRPr="00E44561" w:rsidRDefault="000130AD" w:rsidP="0000284D">
      <w:pPr>
        <w:pStyle w:val="a8"/>
        <w:numPr>
          <w:ilvl w:val="0"/>
          <w:numId w:val="34"/>
        </w:numPr>
        <w:tabs>
          <w:tab w:val="num" w:pos="851"/>
        </w:tabs>
        <w:spacing w:line="460" w:lineRule="exact"/>
        <w:ind w:leftChars="0"/>
        <w:jc w:val="both"/>
        <w:rPr>
          <w:rFonts w:ascii="新細明體" w:hAnsi="新細明體"/>
        </w:rPr>
      </w:pPr>
      <w:proofErr w:type="gramStart"/>
      <w:r w:rsidRPr="00E44561">
        <w:rPr>
          <w:rFonts w:ascii="新細明體" w:hAnsi="新細明體" w:hint="eastAsia"/>
        </w:rPr>
        <w:t>創櫃板</w:t>
      </w:r>
      <w:proofErr w:type="gramEnd"/>
      <w:r w:rsidRPr="00E44561">
        <w:rPr>
          <w:rFonts w:ascii="新細明體" w:hAnsi="新細明體" w:hint="eastAsia"/>
        </w:rPr>
        <w:t>主要目的在於協助富有創意、創新之微型企業順利籌措資金，豁免向本會申報生效及辦理公開發行規定之適用。</w:t>
      </w:r>
    </w:p>
    <w:p w:rsidR="000130AD" w:rsidRPr="00E44561" w:rsidRDefault="000130AD" w:rsidP="0000284D">
      <w:pPr>
        <w:pStyle w:val="a8"/>
        <w:numPr>
          <w:ilvl w:val="0"/>
          <w:numId w:val="34"/>
        </w:numPr>
        <w:tabs>
          <w:tab w:val="num" w:pos="851"/>
        </w:tabs>
        <w:spacing w:line="460" w:lineRule="exact"/>
        <w:ind w:leftChars="0"/>
        <w:jc w:val="both"/>
        <w:rPr>
          <w:rFonts w:ascii="新細明體" w:hAnsi="新細明體"/>
        </w:rPr>
      </w:pPr>
      <w:r w:rsidRPr="00E44561">
        <w:rPr>
          <w:rFonts w:ascii="新細明體" w:hAnsi="新細明體" w:hint="eastAsia"/>
        </w:rPr>
        <w:t>申請公司之資本額原則為</w:t>
      </w:r>
      <w:proofErr w:type="gramStart"/>
      <w:r w:rsidRPr="00E44561">
        <w:rPr>
          <w:rFonts w:ascii="新細明體" w:hAnsi="新細明體" w:hint="eastAsia"/>
        </w:rPr>
        <w:t>未逾新臺幣</w:t>
      </w:r>
      <w:proofErr w:type="gramEnd"/>
      <w:r w:rsidRPr="00E44561">
        <w:rPr>
          <w:rFonts w:ascii="新細明體" w:hAnsi="新細明體" w:hint="eastAsia"/>
        </w:rPr>
        <w:t>5,000萬元，但取具中央目的事業主管機關等之「推薦函」或「公司具創新創意意見書」者，不在此限。</w:t>
      </w:r>
    </w:p>
    <w:p w:rsidR="000130AD" w:rsidRPr="00E44561" w:rsidRDefault="000130AD" w:rsidP="0000284D">
      <w:pPr>
        <w:pStyle w:val="a8"/>
        <w:numPr>
          <w:ilvl w:val="0"/>
          <w:numId w:val="34"/>
        </w:numPr>
        <w:tabs>
          <w:tab w:val="num" w:pos="851"/>
        </w:tabs>
        <w:spacing w:line="460" w:lineRule="exact"/>
        <w:ind w:leftChars="0"/>
        <w:jc w:val="both"/>
        <w:rPr>
          <w:rFonts w:ascii="新細明體" w:hAnsi="新細明體"/>
        </w:rPr>
      </w:pPr>
      <w:proofErr w:type="gramStart"/>
      <w:r w:rsidRPr="00E44561">
        <w:rPr>
          <w:rFonts w:ascii="新細明體" w:hAnsi="新細明體" w:hint="eastAsia"/>
        </w:rPr>
        <w:t>由櫃買</w:t>
      </w:r>
      <w:proofErr w:type="gramEnd"/>
      <w:r w:rsidRPr="00E44561">
        <w:rPr>
          <w:rFonts w:ascii="新細明體" w:hAnsi="新細明體" w:hint="eastAsia"/>
        </w:rPr>
        <w:t>中心洽請外部產業專家對申請公司之創新創意進行審查，通過審查後</w:t>
      </w:r>
      <w:proofErr w:type="gramStart"/>
      <w:r w:rsidRPr="00E44561">
        <w:rPr>
          <w:rFonts w:ascii="新細明體" w:hAnsi="新細明體" w:hint="eastAsia"/>
        </w:rPr>
        <w:t>將由櫃買</w:t>
      </w:r>
      <w:proofErr w:type="gramEnd"/>
      <w:r w:rsidRPr="00E44561">
        <w:rPr>
          <w:rFonts w:ascii="新細明體" w:hAnsi="新細明體" w:hint="eastAsia"/>
        </w:rPr>
        <w:t>中心循「公設之聯合輔導機制」進行統籌輔導，將結合相關單位提供該等微型創新企業會計、內控、行銷及法制等輔導，並輔導其建置簡易內部控制及會計制度及有效執行，轉導期間原則以2年為限。</w:t>
      </w:r>
    </w:p>
    <w:p w:rsidR="000130AD" w:rsidRPr="00E44561" w:rsidRDefault="000130AD" w:rsidP="0000284D">
      <w:pPr>
        <w:pStyle w:val="a8"/>
        <w:numPr>
          <w:ilvl w:val="0"/>
          <w:numId w:val="34"/>
        </w:numPr>
        <w:tabs>
          <w:tab w:val="num" w:pos="851"/>
        </w:tabs>
        <w:spacing w:line="460" w:lineRule="exact"/>
        <w:ind w:leftChars="0"/>
        <w:jc w:val="both"/>
        <w:rPr>
          <w:rFonts w:ascii="新細明體" w:hAnsi="新細明體"/>
        </w:rPr>
      </w:pPr>
      <w:proofErr w:type="gramStart"/>
      <w:r w:rsidRPr="00E44561">
        <w:rPr>
          <w:rFonts w:ascii="新細明體" w:hAnsi="新細明體" w:hint="eastAsia"/>
        </w:rPr>
        <w:t>嗣經櫃</w:t>
      </w:r>
      <w:proofErr w:type="gramEnd"/>
      <w:r w:rsidRPr="00E44561">
        <w:rPr>
          <w:rFonts w:ascii="新細明體" w:hAnsi="新細明體" w:hint="eastAsia"/>
        </w:rPr>
        <w:t>買中心綜合評輔導成效、募資計畫及符合登錄要件者，申請公司</w:t>
      </w:r>
      <w:proofErr w:type="gramStart"/>
      <w:r w:rsidRPr="00E44561">
        <w:rPr>
          <w:rFonts w:ascii="新細明體" w:hAnsi="新細明體" w:hint="eastAsia"/>
        </w:rPr>
        <w:t>即可洽櫃</w:t>
      </w:r>
      <w:proofErr w:type="gramEnd"/>
      <w:r w:rsidRPr="00E44561">
        <w:rPr>
          <w:rFonts w:ascii="新細明體" w:hAnsi="新細明體" w:hint="eastAsia"/>
        </w:rPr>
        <w:t>買中心擇定登錄</w:t>
      </w:r>
      <w:proofErr w:type="gramStart"/>
      <w:r w:rsidRPr="00E44561">
        <w:rPr>
          <w:rFonts w:ascii="新細明體" w:hAnsi="新細明體" w:hint="eastAsia"/>
        </w:rPr>
        <w:t>創櫃板</w:t>
      </w:r>
      <w:proofErr w:type="gramEnd"/>
      <w:r w:rsidRPr="00E44561">
        <w:rPr>
          <w:rFonts w:ascii="新細明體" w:hAnsi="新細明體" w:hint="eastAsia"/>
        </w:rPr>
        <w:t>日期，正式成為</w:t>
      </w:r>
      <w:proofErr w:type="gramStart"/>
      <w:r w:rsidRPr="00E44561">
        <w:rPr>
          <w:rFonts w:ascii="新細明體" w:hAnsi="新細明體" w:hint="eastAsia"/>
        </w:rPr>
        <w:t>創櫃板</w:t>
      </w:r>
      <w:proofErr w:type="gramEnd"/>
      <w:r w:rsidRPr="00E44561">
        <w:rPr>
          <w:rFonts w:ascii="新細明體" w:hAnsi="新細明體" w:hint="eastAsia"/>
        </w:rPr>
        <w:t>公司；另為激勵登錄「</w:t>
      </w:r>
      <w:proofErr w:type="gramStart"/>
      <w:r w:rsidRPr="00E44561">
        <w:rPr>
          <w:rFonts w:ascii="新細明體" w:hAnsi="新細明體" w:hint="eastAsia"/>
        </w:rPr>
        <w:t>創櫃板</w:t>
      </w:r>
      <w:proofErr w:type="gramEnd"/>
      <w:r w:rsidRPr="00E44561">
        <w:rPr>
          <w:rFonts w:ascii="新細明體" w:hAnsi="新細明體" w:hint="eastAsia"/>
        </w:rPr>
        <w:t>」之公司加速成長，進而上(興)櫃掛牌交易，及集中資源用於輔導具潛力之微型創新企業，以免資源分散，故登錄</w:t>
      </w:r>
      <w:proofErr w:type="gramStart"/>
      <w:r w:rsidRPr="00E44561">
        <w:rPr>
          <w:rFonts w:ascii="新細明體" w:hAnsi="新細明體" w:hint="eastAsia"/>
        </w:rPr>
        <w:t>創櫃板</w:t>
      </w:r>
      <w:proofErr w:type="gramEnd"/>
      <w:r w:rsidRPr="00E44561">
        <w:rPr>
          <w:rFonts w:ascii="新細明體" w:hAnsi="新細明體" w:hint="eastAsia"/>
        </w:rPr>
        <w:t>期間不宜逾3年。</w:t>
      </w:r>
    </w:p>
    <w:p w:rsidR="000130AD" w:rsidRPr="00E44561" w:rsidRDefault="000130AD" w:rsidP="0000284D">
      <w:pPr>
        <w:pStyle w:val="a8"/>
        <w:numPr>
          <w:ilvl w:val="0"/>
          <w:numId w:val="34"/>
        </w:numPr>
        <w:tabs>
          <w:tab w:val="num" w:pos="851"/>
        </w:tabs>
        <w:spacing w:line="460" w:lineRule="exact"/>
        <w:ind w:leftChars="0"/>
        <w:jc w:val="both"/>
        <w:rPr>
          <w:rFonts w:ascii="新細明體" w:hAnsi="新細明體"/>
        </w:rPr>
      </w:pPr>
      <w:r w:rsidRPr="00E44561">
        <w:rPr>
          <w:rFonts w:ascii="新細明體" w:hAnsi="新細明體" w:hint="eastAsia"/>
        </w:rPr>
        <w:t>申請公司透過「</w:t>
      </w:r>
      <w:proofErr w:type="gramStart"/>
      <w:r w:rsidRPr="00E44561">
        <w:rPr>
          <w:rFonts w:ascii="新細明體" w:hAnsi="新細明體" w:hint="eastAsia"/>
        </w:rPr>
        <w:t>創櫃板</w:t>
      </w:r>
      <w:proofErr w:type="gramEnd"/>
      <w:r w:rsidRPr="00E44561">
        <w:rPr>
          <w:rFonts w:ascii="新細明體" w:hAnsi="新細明體" w:hint="eastAsia"/>
        </w:rPr>
        <w:t>」籌資金額原則為最近</w:t>
      </w:r>
      <w:proofErr w:type="gramStart"/>
      <w:r w:rsidRPr="00E44561">
        <w:rPr>
          <w:rFonts w:ascii="新細明體" w:hAnsi="新細明體" w:hint="eastAsia"/>
        </w:rPr>
        <w:t>一</w:t>
      </w:r>
      <w:proofErr w:type="gramEnd"/>
      <w:r w:rsidRPr="00E44561">
        <w:rPr>
          <w:rFonts w:ascii="新細明體" w:hAnsi="新細明體" w:hint="eastAsia"/>
        </w:rPr>
        <w:t>年內增加股本面額累計</w:t>
      </w:r>
      <w:proofErr w:type="gramStart"/>
      <w:r w:rsidRPr="00E44561">
        <w:rPr>
          <w:rFonts w:ascii="新細明體" w:hAnsi="新細明體" w:hint="eastAsia"/>
        </w:rPr>
        <w:t>不得逾新臺幣</w:t>
      </w:r>
      <w:proofErr w:type="gramEnd"/>
      <w:r w:rsidRPr="00E44561">
        <w:rPr>
          <w:rFonts w:ascii="新細明體" w:hAnsi="新細明體" w:hint="eastAsia"/>
        </w:rPr>
        <w:t>1,500萬元。</w:t>
      </w:r>
    </w:p>
    <w:p w:rsidR="000130AD" w:rsidRPr="00E44561" w:rsidRDefault="000130AD" w:rsidP="0000284D">
      <w:pPr>
        <w:pStyle w:val="a8"/>
        <w:numPr>
          <w:ilvl w:val="0"/>
          <w:numId w:val="34"/>
        </w:numPr>
        <w:tabs>
          <w:tab w:val="num" w:pos="851"/>
        </w:tabs>
        <w:spacing w:line="460" w:lineRule="exact"/>
        <w:ind w:leftChars="0"/>
        <w:jc w:val="both"/>
        <w:rPr>
          <w:rFonts w:ascii="新細明體" w:hAnsi="新細明體"/>
        </w:rPr>
      </w:pPr>
      <w:r w:rsidRPr="00E44561">
        <w:rPr>
          <w:rFonts w:ascii="新細明體" w:hAnsi="新細明體" w:hint="eastAsia"/>
        </w:rPr>
        <w:t>投資人認購「</w:t>
      </w:r>
      <w:proofErr w:type="gramStart"/>
      <w:r w:rsidRPr="00E44561">
        <w:rPr>
          <w:rFonts w:ascii="新細明體" w:hAnsi="新細明體" w:hint="eastAsia"/>
        </w:rPr>
        <w:t>創櫃板</w:t>
      </w:r>
      <w:proofErr w:type="gramEnd"/>
      <w:r w:rsidRPr="00E44561">
        <w:rPr>
          <w:rFonts w:ascii="新細明體" w:hAnsi="新細明體" w:hint="eastAsia"/>
        </w:rPr>
        <w:t>」股份金額限制部分：</w:t>
      </w:r>
    </w:p>
    <w:p w:rsidR="000130AD" w:rsidRPr="00E44561" w:rsidRDefault="000130AD" w:rsidP="0000284D">
      <w:pPr>
        <w:pStyle w:val="a8"/>
        <w:numPr>
          <w:ilvl w:val="0"/>
          <w:numId w:val="35"/>
        </w:numPr>
        <w:spacing w:line="460" w:lineRule="exact"/>
        <w:ind w:leftChars="0" w:left="1134" w:hanging="283"/>
        <w:jc w:val="both"/>
        <w:rPr>
          <w:rFonts w:ascii="新細明體" w:hAnsi="新細明體"/>
        </w:rPr>
      </w:pPr>
      <w:r w:rsidRPr="00E44561">
        <w:rPr>
          <w:rFonts w:ascii="新細明體" w:hAnsi="新細明體" w:hint="eastAsia"/>
        </w:rPr>
        <w:t>非專業投資人最近</w:t>
      </w:r>
      <w:proofErr w:type="gramStart"/>
      <w:r w:rsidRPr="00E44561">
        <w:rPr>
          <w:rFonts w:ascii="新細明體" w:hAnsi="新細明體" w:hint="eastAsia"/>
        </w:rPr>
        <w:t>一</w:t>
      </w:r>
      <w:proofErr w:type="gramEnd"/>
      <w:r w:rsidRPr="00E44561">
        <w:rPr>
          <w:rFonts w:ascii="新細明體" w:hAnsi="新細明體" w:hint="eastAsia"/>
        </w:rPr>
        <w:t>年內透過</w:t>
      </w:r>
      <w:proofErr w:type="gramStart"/>
      <w:r w:rsidRPr="00E44561">
        <w:rPr>
          <w:rFonts w:ascii="新細明體" w:hAnsi="新細明體" w:hint="eastAsia"/>
        </w:rPr>
        <w:t>創櫃板對所有創櫃板</w:t>
      </w:r>
      <w:proofErr w:type="gramEnd"/>
      <w:r w:rsidRPr="00E44561">
        <w:rPr>
          <w:rFonts w:ascii="新細明體" w:hAnsi="新細明體" w:hint="eastAsia"/>
        </w:rPr>
        <w:t>公司認購投資股票累計金額</w:t>
      </w:r>
      <w:proofErr w:type="gramStart"/>
      <w:r w:rsidRPr="00E44561">
        <w:rPr>
          <w:rFonts w:ascii="新細明體" w:hAnsi="新細明體" w:hint="eastAsia"/>
        </w:rPr>
        <w:t>不得逾新臺幣</w:t>
      </w:r>
      <w:proofErr w:type="gramEnd"/>
      <w:r w:rsidRPr="00E44561">
        <w:rPr>
          <w:rFonts w:ascii="新細明體" w:hAnsi="新細明體" w:hint="eastAsia"/>
        </w:rPr>
        <w:t>6萬元。</w:t>
      </w:r>
    </w:p>
    <w:p w:rsidR="000130AD" w:rsidRPr="001A7743" w:rsidRDefault="000130AD" w:rsidP="0000284D">
      <w:pPr>
        <w:pStyle w:val="a8"/>
        <w:numPr>
          <w:ilvl w:val="0"/>
          <w:numId w:val="35"/>
        </w:numPr>
        <w:spacing w:line="460" w:lineRule="exact"/>
        <w:ind w:leftChars="0" w:left="1134" w:hanging="283"/>
        <w:jc w:val="both"/>
        <w:rPr>
          <w:rFonts w:ascii="新細明體" w:hAnsi="新細明體"/>
        </w:rPr>
      </w:pPr>
      <w:r w:rsidRPr="001A7743">
        <w:rPr>
          <w:rFonts w:ascii="新細明體" w:hAnsi="新細明體" w:hint="eastAsia"/>
        </w:rPr>
        <w:t>專業投資人則無認購金額之限制。</w:t>
      </w:r>
    </w:p>
    <w:p w:rsidR="000130AD" w:rsidRPr="006541D1" w:rsidRDefault="000130AD" w:rsidP="0000284D">
      <w:pPr>
        <w:pStyle w:val="a8"/>
        <w:numPr>
          <w:ilvl w:val="0"/>
          <w:numId w:val="34"/>
        </w:numPr>
        <w:tabs>
          <w:tab w:val="num" w:pos="851"/>
        </w:tabs>
        <w:spacing w:line="460" w:lineRule="exact"/>
        <w:ind w:leftChars="0"/>
        <w:jc w:val="both"/>
      </w:pPr>
      <w:r w:rsidRPr="00E44561">
        <w:rPr>
          <w:rFonts w:ascii="新細明體" w:hAnsi="新細明體" w:hint="eastAsia"/>
        </w:rPr>
        <w:t>截至103年11月底為止，已有39家公司登錄</w:t>
      </w:r>
      <w:proofErr w:type="gramStart"/>
      <w:r w:rsidRPr="00E44561">
        <w:rPr>
          <w:rFonts w:ascii="新細明體" w:hAnsi="新細明體" w:hint="eastAsia"/>
        </w:rPr>
        <w:t>創櫃板</w:t>
      </w:r>
      <w:proofErr w:type="gramEnd"/>
      <w:r w:rsidRPr="00E44561">
        <w:rPr>
          <w:rFonts w:ascii="新細明體" w:hAnsi="新細明體" w:hint="eastAsia"/>
        </w:rPr>
        <w:t>，籌資金</w:t>
      </w:r>
      <w:proofErr w:type="gramStart"/>
      <w:r w:rsidRPr="00E44561">
        <w:rPr>
          <w:rFonts w:ascii="新細明體" w:hAnsi="新細明體" w:hint="eastAsia"/>
        </w:rPr>
        <w:t>額約新臺幣</w:t>
      </w:r>
      <w:proofErr w:type="gramEnd"/>
      <w:r w:rsidRPr="00E44561">
        <w:rPr>
          <w:rFonts w:ascii="新細明體" w:hAnsi="新細明體" w:hint="eastAsia"/>
        </w:rPr>
        <w:t>1.7億元。</w:t>
      </w:r>
    </w:p>
    <w:p w:rsidR="000130AD" w:rsidRPr="00227894" w:rsidRDefault="00C610E5" w:rsidP="00D87576">
      <w:pPr>
        <w:pStyle w:val="a8"/>
        <w:spacing w:line="460" w:lineRule="exact"/>
        <w:ind w:leftChars="0" w:left="960"/>
        <w:jc w:val="both"/>
      </w:pPr>
      <w:r>
        <w:rPr>
          <w:rFonts w:hint="eastAsia"/>
        </w:rPr>
        <w:t>香港證監會</w:t>
      </w:r>
      <w:proofErr w:type="gramStart"/>
      <w:r>
        <w:rPr>
          <w:rFonts w:hint="eastAsia"/>
        </w:rPr>
        <w:t>對創櫃板</w:t>
      </w:r>
      <w:proofErr w:type="gramEnd"/>
      <w:r>
        <w:rPr>
          <w:rFonts w:hint="eastAsia"/>
        </w:rPr>
        <w:t>之制度感到十分興趣</w:t>
      </w:r>
      <w:r w:rsidR="008A37E2">
        <w:rPr>
          <w:rFonts w:hint="eastAsia"/>
        </w:rPr>
        <w:t>並表示肯定</w:t>
      </w:r>
      <w:r>
        <w:rPr>
          <w:rFonts w:hint="eastAsia"/>
        </w:rPr>
        <w:t>，希望能</w:t>
      </w:r>
      <w:r w:rsidR="008A37E2">
        <w:rPr>
          <w:rFonts w:hint="eastAsia"/>
        </w:rPr>
        <w:t>提供</w:t>
      </w:r>
      <w:r>
        <w:rPr>
          <w:rFonts w:hint="eastAsia"/>
        </w:rPr>
        <w:t>相關網</w:t>
      </w:r>
      <w:r>
        <w:rPr>
          <w:rFonts w:hint="eastAsia"/>
        </w:rPr>
        <w:lastRenderedPageBreak/>
        <w:t>站訊息</w:t>
      </w:r>
      <w:r w:rsidR="001744B8">
        <w:rPr>
          <w:rFonts w:hint="eastAsia"/>
        </w:rPr>
        <w:t>供其</w:t>
      </w:r>
      <w:r>
        <w:rPr>
          <w:rFonts w:hint="eastAsia"/>
        </w:rPr>
        <w:t>參考，</w:t>
      </w:r>
      <w:r w:rsidR="001744B8">
        <w:rPr>
          <w:rFonts w:hint="eastAsia"/>
        </w:rPr>
        <w:t>我方</w:t>
      </w:r>
      <w:r w:rsidR="008A37E2">
        <w:rPr>
          <w:rFonts w:hint="eastAsia"/>
        </w:rPr>
        <w:t>業</w:t>
      </w:r>
      <w:r w:rsidR="001744B8">
        <w:rPr>
          <w:rFonts w:hint="eastAsia"/>
        </w:rPr>
        <w:t>於會後提供。</w:t>
      </w:r>
    </w:p>
    <w:p w:rsidR="000130AD" w:rsidRPr="00D4227D" w:rsidRDefault="000130AD" w:rsidP="00D87576">
      <w:pPr>
        <w:spacing w:line="460" w:lineRule="exact"/>
        <w:ind w:leftChars="590" w:left="1416"/>
        <w:jc w:val="both"/>
        <w:rPr>
          <w:rFonts w:ascii="新細明體" w:hAnsi="新細明體"/>
          <w:szCs w:val="24"/>
        </w:rPr>
      </w:pPr>
    </w:p>
    <w:p w:rsidR="001744B8" w:rsidRDefault="001744B8" w:rsidP="00D87576">
      <w:pPr>
        <w:widowControl/>
        <w:spacing w:line="460" w:lineRule="exact"/>
        <w:rPr>
          <w:rFonts w:ascii="新細明體" w:hAnsi="新細明體"/>
          <w:sz w:val="32"/>
          <w:szCs w:val="32"/>
        </w:rPr>
      </w:pPr>
      <w:r>
        <w:rPr>
          <w:rFonts w:ascii="新細明體" w:hAnsi="新細明體"/>
          <w:sz w:val="32"/>
          <w:szCs w:val="32"/>
        </w:rPr>
        <w:br w:type="page"/>
      </w:r>
    </w:p>
    <w:p w:rsidR="00C4669D" w:rsidRPr="00C4669D" w:rsidRDefault="00366042" w:rsidP="00366042">
      <w:pPr>
        <w:pStyle w:val="1"/>
        <w:numPr>
          <w:ilvl w:val="0"/>
          <w:numId w:val="0"/>
        </w:numPr>
        <w:spacing w:line="460" w:lineRule="exact"/>
      </w:pPr>
      <w:bookmarkStart w:id="16" w:name="_Toc408301466"/>
      <w:r w:rsidRPr="00366042">
        <w:rPr>
          <w:rFonts w:hint="eastAsia"/>
        </w:rPr>
        <w:lastRenderedPageBreak/>
        <w:t>第四章</w:t>
      </w:r>
      <w:r w:rsidRPr="00366042">
        <w:rPr>
          <w:rFonts w:hint="eastAsia"/>
        </w:rPr>
        <w:t xml:space="preserve">  </w:t>
      </w:r>
      <w:r w:rsidR="00C4669D" w:rsidRPr="00C4669D">
        <w:rPr>
          <w:rFonts w:hint="eastAsia"/>
        </w:rPr>
        <w:t>心得</w:t>
      </w:r>
      <w:r w:rsidR="00D03EE4">
        <w:rPr>
          <w:rFonts w:hint="eastAsia"/>
        </w:rPr>
        <w:t>與建議</w:t>
      </w:r>
      <w:bookmarkEnd w:id="16"/>
    </w:p>
    <w:p w:rsidR="00C4669D" w:rsidRPr="00312D89" w:rsidRDefault="00566BAB" w:rsidP="00D87576">
      <w:pPr>
        <w:widowControl/>
        <w:spacing w:before="100" w:beforeAutospacing="1" w:after="100" w:afterAutospacing="1" w:line="460" w:lineRule="exact"/>
        <w:ind w:firstLineChars="200" w:firstLine="480"/>
      </w:pPr>
      <w:r w:rsidRPr="00312D89">
        <w:rPr>
          <w:rFonts w:hint="eastAsia"/>
        </w:rPr>
        <w:t>本次「第</w:t>
      </w:r>
      <w:r w:rsidR="00770533" w:rsidRPr="00312D89">
        <w:rPr>
          <w:rFonts w:hint="eastAsia"/>
        </w:rPr>
        <w:t>六屆</w:t>
      </w:r>
      <w:proofErr w:type="gramStart"/>
      <w:r w:rsidRPr="00312D89">
        <w:rPr>
          <w:rFonts w:hint="eastAsia"/>
        </w:rPr>
        <w:t>臺</w:t>
      </w:r>
      <w:proofErr w:type="gramEnd"/>
      <w:r w:rsidRPr="00312D89">
        <w:rPr>
          <w:rFonts w:hint="eastAsia"/>
        </w:rPr>
        <w:t>港證券監理機關加強及聯繫合作會議」順利圓滿，</w:t>
      </w:r>
      <w:proofErr w:type="gramStart"/>
      <w:r w:rsidRPr="00312D89">
        <w:rPr>
          <w:rFonts w:hint="eastAsia"/>
        </w:rPr>
        <w:t>本屆本會</w:t>
      </w:r>
      <w:proofErr w:type="gramEnd"/>
      <w:r w:rsidRPr="00312D89">
        <w:rPr>
          <w:rFonts w:hint="eastAsia"/>
        </w:rPr>
        <w:t>由黃副主委</w:t>
      </w:r>
      <w:r w:rsidR="00C7119B">
        <w:rPr>
          <w:rFonts w:hint="eastAsia"/>
        </w:rPr>
        <w:t>偕</w:t>
      </w:r>
      <w:proofErr w:type="gramStart"/>
      <w:r w:rsidR="00C7119B">
        <w:rPr>
          <w:rFonts w:hint="eastAsia"/>
        </w:rPr>
        <w:t>吳局長裕群</w:t>
      </w:r>
      <w:r w:rsidRPr="00312D89">
        <w:rPr>
          <w:rFonts w:hint="eastAsia"/>
        </w:rPr>
        <w:t>率團</w:t>
      </w:r>
      <w:proofErr w:type="gramEnd"/>
      <w:r w:rsidRPr="00312D89">
        <w:rPr>
          <w:rFonts w:hint="eastAsia"/>
        </w:rPr>
        <w:t>代表參加此次由香港證監會主辦之交流會議，雙邊就</w:t>
      </w:r>
      <w:r w:rsidR="007E1A52">
        <w:rPr>
          <w:rFonts w:hint="eastAsia"/>
        </w:rPr>
        <w:t>「</w:t>
      </w:r>
      <w:r w:rsidRPr="00312D89">
        <w:rPr>
          <w:rFonts w:hint="eastAsia"/>
        </w:rPr>
        <w:t>上市公司辦理現金增資發行普通股之相關規範</w:t>
      </w:r>
      <w:r w:rsidR="007E1A52">
        <w:rPr>
          <w:rFonts w:hint="eastAsia"/>
        </w:rPr>
        <w:t>」</w:t>
      </w:r>
      <w:r w:rsidRPr="00312D89">
        <w:rPr>
          <w:rFonts w:hint="eastAsia"/>
        </w:rPr>
        <w:t>、</w:t>
      </w:r>
      <w:r w:rsidR="007E1A52">
        <w:rPr>
          <w:rFonts w:hint="eastAsia"/>
        </w:rPr>
        <w:t>「</w:t>
      </w:r>
      <w:r w:rsidRPr="00312D89">
        <w:rPr>
          <w:rFonts w:hint="eastAsia"/>
        </w:rPr>
        <w:t>清盤中之停牌上市公司財務報告之資訊交流</w:t>
      </w:r>
      <w:r w:rsidR="007E1A52">
        <w:rPr>
          <w:rFonts w:hint="eastAsia"/>
        </w:rPr>
        <w:t>」</w:t>
      </w:r>
      <w:r w:rsidRPr="00312D89">
        <w:rPr>
          <w:rFonts w:hint="eastAsia"/>
        </w:rPr>
        <w:t>及</w:t>
      </w:r>
      <w:r w:rsidR="007E1A52">
        <w:rPr>
          <w:rFonts w:hint="eastAsia"/>
        </w:rPr>
        <w:t>「</w:t>
      </w:r>
      <w:r w:rsidRPr="00312D89">
        <w:rPr>
          <w:rFonts w:hint="eastAsia"/>
        </w:rPr>
        <w:t>專業投資者制度之</w:t>
      </w:r>
      <w:r w:rsidR="001A3418">
        <w:rPr>
          <w:rFonts w:hint="eastAsia"/>
        </w:rPr>
        <w:t>修訂之</w:t>
      </w:r>
      <w:r w:rsidRPr="00312D89">
        <w:rPr>
          <w:rFonts w:hint="eastAsia"/>
        </w:rPr>
        <w:t>考量原因</w:t>
      </w:r>
      <w:r w:rsidR="007E1A52">
        <w:rPr>
          <w:rFonts w:hint="eastAsia"/>
        </w:rPr>
        <w:t>」</w:t>
      </w:r>
      <w:r w:rsidRPr="00312D89">
        <w:rPr>
          <w:rFonts w:hint="eastAsia"/>
        </w:rPr>
        <w:t>等</w:t>
      </w:r>
      <w:r w:rsidRPr="00312D89">
        <w:rPr>
          <w:rFonts w:hint="eastAsia"/>
        </w:rPr>
        <w:t>3</w:t>
      </w:r>
      <w:r w:rsidRPr="00312D89">
        <w:rPr>
          <w:rFonts w:hint="eastAsia"/>
        </w:rPr>
        <w:t>項議題進行充分交流與討論</w:t>
      </w:r>
      <w:r w:rsidR="00BD2211" w:rsidRPr="00312D89">
        <w:rPr>
          <w:rFonts w:hint="eastAsia"/>
        </w:rPr>
        <w:t>。</w:t>
      </w:r>
      <w:r w:rsidR="007E1A52">
        <w:rPr>
          <w:rFonts w:hint="eastAsia"/>
        </w:rPr>
        <w:t>另並由吳局長</w:t>
      </w:r>
      <w:proofErr w:type="gramStart"/>
      <w:r w:rsidR="007E1A52">
        <w:rPr>
          <w:rFonts w:hint="eastAsia"/>
        </w:rPr>
        <w:t>裕群對創櫃板</w:t>
      </w:r>
      <w:proofErr w:type="gramEnd"/>
      <w:r w:rsidR="007E1A52">
        <w:rPr>
          <w:rFonts w:hint="eastAsia"/>
        </w:rPr>
        <w:t>制度作</w:t>
      </w:r>
      <w:proofErr w:type="gramStart"/>
      <w:r w:rsidR="007E1A52">
        <w:rPr>
          <w:rFonts w:hint="eastAsia"/>
        </w:rPr>
        <w:t>一</w:t>
      </w:r>
      <w:proofErr w:type="gramEnd"/>
      <w:r w:rsidR="007E1A52">
        <w:rPr>
          <w:rFonts w:hint="eastAsia"/>
        </w:rPr>
        <w:t>簡介，提供我國</w:t>
      </w:r>
      <w:proofErr w:type="gramStart"/>
      <w:r w:rsidR="007E1A52">
        <w:rPr>
          <w:rFonts w:hint="eastAsia"/>
        </w:rPr>
        <w:t>建置此籌資</w:t>
      </w:r>
      <w:proofErr w:type="gramEnd"/>
      <w:r w:rsidR="007E1A52">
        <w:rPr>
          <w:rFonts w:hint="eastAsia"/>
        </w:rPr>
        <w:t>平台的原因與實際做法，港方對我建置</w:t>
      </w:r>
      <w:proofErr w:type="gramStart"/>
      <w:r w:rsidR="007E1A52">
        <w:rPr>
          <w:rFonts w:hint="eastAsia"/>
        </w:rPr>
        <w:t>創櫃板</w:t>
      </w:r>
      <w:proofErr w:type="gramEnd"/>
      <w:r w:rsidR="007E1A52">
        <w:rPr>
          <w:rFonts w:hint="eastAsia"/>
        </w:rPr>
        <w:t>表示十分肯定。</w:t>
      </w:r>
    </w:p>
    <w:p w:rsidR="00440BF3" w:rsidRPr="00F31632" w:rsidRDefault="00440BF3" w:rsidP="00D87576">
      <w:pPr>
        <w:widowControl/>
        <w:spacing w:before="100" w:beforeAutospacing="1" w:after="100" w:afterAutospacing="1" w:line="460" w:lineRule="exact"/>
        <w:ind w:firstLineChars="200" w:firstLine="480"/>
      </w:pPr>
      <w:r w:rsidRPr="00312D89">
        <w:rPr>
          <w:rFonts w:hint="eastAsia"/>
        </w:rPr>
        <w:t>證監會就香港上市公司申請辦理現金增資發行普通股的方式、過程、對象及規範，以及公司申請後香港監理機關之審查重點等說明，因而能瞭解雙方在申請過程及監理方面之相異點；</w:t>
      </w:r>
      <w:proofErr w:type="gramStart"/>
      <w:r w:rsidRPr="00312D89">
        <w:rPr>
          <w:rFonts w:hint="eastAsia"/>
        </w:rPr>
        <w:t>港交所</w:t>
      </w:r>
      <w:proofErr w:type="gramEnd"/>
      <w:r w:rsidRPr="00312D89">
        <w:rPr>
          <w:rFonts w:hint="eastAsia"/>
        </w:rPr>
        <w:t>對於清盤中之停牌上市公司之監理規範，證監會於會議中針對我方之疑慮詳細解說，使本會更能理解香港制訂法規時之考量重點，另我方出席人員亦於會中向香港證監會分享我國監理之方式，雙方就不同的監理觀念互相討論；有關專業投資者制度議題，香港於</w:t>
      </w:r>
      <w:r w:rsidRPr="00312D89">
        <w:rPr>
          <w:rFonts w:hint="eastAsia"/>
        </w:rPr>
        <w:t>2013</w:t>
      </w:r>
      <w:r w:rsidRPr="00312D89">
        <w:rPr>
          <w:rFonts w:hint="eastAsia"/>
        </w:rPr>
        <w:t>年曾發布法規諮詢文件並於</w:t>
      </w:r>
      <w:r w:rsidRPr="00312D89">
        <w:rPr>
          <w:rFonts w:hint="eastAsia"/>
        </w:rPr>
        <w:t>2014</w:t>
      </w:r>
      <w:r w:rsidRPr="00312D89">
        <w:rPr>
          <w:rFonts w:hint="eastAsia"/>
        </w:rPr>
        <w:t>年</w:t>
      </w:r>
      <w:r w:rsidRPr="00312D89">
        <w:rPr>
          <w:rFonts w:hint="eastAsia"/>
        </w:rPr>
        <w:t>9</w:t>
      </w:r>
      <w:r w:rsidRPr="00312D89">
        <w:rPr>
          <w:rFonts w:hint="eastAsia"/>
        </w:rPr>
        <w:t>月</w:t>
      </w:r>
      <w:r w:rsidRPr="00312D89">
        <w:rPr>
          <w:rFonts w:hint="eastAsia"/>
        </w:rPr>
        <w:t>25</w:t>
      </w:r>
      <w:r w:rsidRPr="00312D89">
        <w:rPr>
          <w:rFonts w:hint="eastAsia"/>
        </w:rPr>
        <w:t>日發布相關制度之修訂，我方針對此次修訂之背景及重點等議題於會上與證監會討論，以作為本會在</w:t>
      </w:r>
      <w:proofErr w:type="gramStart"/>
      <w:r w:rsidRPr="00312D89">
        <w:rPr>
          <w:rFonts w:hint="eastAsia"/>
        </w:rPr>
        <w:t>研</w:t>
      </w:r>
      <w:proofErr w:type="gramEnd"/>
      <w:r w:rsidRPr="00312D89">
        <w:rPr>
          <w:rFonts w:hint="eastAsia"/>
        </w:rPr>
        <w:t>擬相關法規之考量。</w:t>
      </w:r>
    </w:p>
    <w:p w:rsidR="00453059" w:rsidRPr="00F31632" w:rsidRDefault="00B04850" w:rsidP="00D87576">
      <w:pPr>
        <w:widowControl/>
        <w:spacing w:before="100" w:beforeAutospacing="1" w:after="100" w:afterAutospacing="1" w:line="460" w:lineRule="exact"/>
        <w:ind w:firstLineChars="200" w:firstLine="480"/>
      </w:pPr>
      <w:r w:rsidRPr="00F31632">
        <w:rPr>
          <w:rFonts w:hint="eastAsia"/>
        </w:rPr>
        <w:t>綜觀本次與香港證監會的會議交流，使我方得以瞭解香港法規文字規範以外的實務作法與考量原因，例如其對上市公司辦理現金增資的監管理念、</w:t>
      </w:r>
      <w:r w:rsidR="00495E57" w:rsidRPr="00F31632">
        <w:rPr>
          <w:rFonts w:hint="eastAsia"/>
        </w:rPr>
        <w:t>對</w:t>
      </w:r>
      <w:r w:rsidR="002421A1" w:rsidRPr="00F31632">
        <w:rPr>
          <w:rFonts w:hint="eastAsia"/>
        </w:rPr>
        <w:t>清盤中之停牌上市公司的監管措施，以及不修正專業投資者之財產限額之考量原因等</w:t>
      </w:r>
      <w:r w:rsidRPr="00F31632">
        <w:rPr>
          <w:rFonts w:hint="eastAsia"/>
        </w:rPr>
        <w:t>。</w:t>
      </w:r>
      <w:r w:rsidR="002421A1" w:rsidRPr="00F31632">
        <w:rPr>
          <w:rFonts w:hint="eastAsia"/>
        </w:rPr>
        <w:t>透過面對面之討論與問答，</w:t>
      </w:r>
      <w:r w:rsidRPr="00F31632">
        <w:rPr>
          <w:rFonts w:hint="eastAsia"/>
        </w:rPr>
        <w:t>始能發覺部分規範實質意義與效果與單方解讀結果有別</w:t>
      </w:r>
      <w:r w:rsidR="002421A1" w:rsidRPr="00F31632">
        <w:rPr>
          <w:rFonts w:hint="eastAsia"/>
        </w:rPr>
        <w:t>。</w:t>
      </w:r>
    </w:p>
    <w:p w:rsidR="00FD418C" w:rsidRDefault="00440BF3" w:rsidP="001A3418">
      <w:pPr>
        <w:widowControl/>
        <w:spacing w:before="100" w:beforeAutospacing="1" w:after="100" w:afterAutospacing="1" w:line="460" w:lineRule="exact"/>
      </w:pPr>
      <w:r w:rsidRPr="00F31632">
        <w:rPr>
          <w:rFonts w:hint="eastAsia"/>
        </w:rPr>
        <w:t xml:space="preserve">    </w:t>
      </w:r>
      <w:r w:rsidR="00B04850" w:rsidRPr="00F31632">
        <w:rPr>
          <w:rFonts w:hint="eastAsia"/>
        </w:rPr>
        <w:t>全球金融</w:t>
      </w:r>
      <w:r w:rsidR="00453059" w:rsidRPr="00F31632">
        <w:rPr>
          <w:rFonts w:hint="eastAsia"/>
        </w:rPr>
        <w:t>仍處於不穩定之時代</w:t>
      </w:r>
      <w:r w:rsidR="00B04850" w:rsidRPr="00F31632">
        <w:rPr>
          <w:rFonts w:hint="eastAsia"/>
        </w:rPr>
        <w:t>，歐美競相推出各項金融改革措施，然而該等措施常係基於歐美觀點所制訂，亞洲各國處於相同的國際金融大環境下，勢必因此而受到影響；</w:t>
      </w:r>
      <w:r w:rsidR="00453059" w:rsidRPr="00F31632">
        <w:rPr>
          <w:rFonts w:hint="eastAsia"/>
        </w:rPr>
        <w:t>黃</w:t>
      </w:r>
      <w:r w:rsidR="00B04850" w:rsidRPr="00F31632">
        <w:rPr>
          <w:rFonts w:hint="eastAsia"/>
        </w:rPr>
        <w:t>副主委</w:t>
      </w:r>
      <w:r w:rsidR="00453059" w:rsidRPr="00F31632">
        <w:rPr>
          <w:rFonts w:hint="eastAsia"/>
        </w:rPr>
        <w:t>藉本次香港行</w:t>
      </w:r>
      <w:r w:rsidR="00B04850" w:rsidRPr="00F31632">
        <w:rPr>
          <w:rFonts w:hint="eastAsia"/>
        </w:rPr>
        <w:t>拜訪香港</w:t>
      </w:r>
      <w:r w:rsidR="00453059" w:rsidRPr="00F31632">
        <w:rPr>
          <w:rFonts w:hint="eastAsia"/>
        </w:rPr>
        <w:t>金融管理局及</w:t>
      </w:r>
      <w:r w:rsidR="004516EF">
        <w:rPr>
          <w:rFonts w:hint="eastAsia"/>
        </w:rPr>
        <w:t>摩根資產</w:t>
      </w:r>
      <w:r w:rsidR="00453059" w:rsidRPr="00F31632">
        <w:rPr>
          <w:rFonts w:hint="eastAsia"/>
        </w:rPr>
        <w:t>資產管理公司，雙方交換金融監理及金融產業最新發展情形，對方對於我國近期所採取之監理措施</w:t>
      </w:r>
      <w:r w:rsidR="00B04850" w:rsidRPr="00F31632">
        <w:rPr>
          <w:rFonts w:hint="eastAsia"/>
        </w:rPr>
        <w:t>皆持正面肯定的態度。本會亦將持續與其他亞洲主管機關加強聯繫交流與合作，期能為</w:t>
      </w:r>
      <w:r w:rsidR="004516EF">
        <w:rPr>
          <w:rFonts w:hint="eastAsia"/>
        </w:rPr>
        <w:t>我國金融證券</w:t>
      </w:r>
      <w:r w:rsidR="00B04850" w:rsidRPr="00F31632">
        <w:rPr>
          <w:rFonts w:hint="eastAsia"/>
        </w:rPr>
        <w:t>市場發聲，並增進各亞洲地區金融監理合作，以加強對我國投資人權益之保障。</w:t>
      </w:r>
    </w:p>
    <w:sectPr w:rsidR="00FD418C" w:rsidSect="00CE0B2F">
      <w:footerReference w:type="default" r:id="rId15"/>
      <w:pgSz w:w="11906" w:h="16838"/>
      <w:pgMar w:top="1440" w:right="1416"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86" w:rsidRDefault="00445B86" w:rsidP="00CE0B2F">
      <w:r>
        <w:separator/>
      </w:r>
    </w:p>
  </w:endnote>
  <w:endnote w:type="continuationSeparator" w:id="0">
    <w:p w:rsidR="00445B86" w:rsidRDefault="00445B86" w:rsidP="00CE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83" w:rsidRDefault="00973A83">
    <w:pPr>
      <w:pStyle w:val="af1"/>
      <w:jc w:val="center"/>
    </w:pPr>
  </w:p>
  <w:p w:rsidR="00973A83" w:rsidRDefault="00973A8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722021"/>
      <w:docPartObj>
        <w:docPartGallery w:val="Page Numbers (Bottom of Page)"/>
        <w:docPartUnique/>
      </w:docPartObj>
    </w:sdtPr>
    <w:sdtEndPr/>
    <w:sdtContent>
      <w:p w:rsidR="00973A83" w:rsidRDefault="00973A83">
        <w:pPr>
          <w:pStyle w:val="af1"/>
          <w:jc w:val="center"/>
        </w:pPr>
        <w:r>
          <w:fldChar w:fldCharType="begin"/>
        </w:r>
        <w:r>
          <w:instrText>PAGE   \* MERGEFORMAT</w:instrText>
        </w:r>
        <w:r>
          <w:fldChar w:fldCharType="separate"/>
        </w:r>
        <w:r w:rsidR="00F331D6" w:rsidRPr="00F331D6">
          <w:rPr>
            <w:noProof/>
            <w:lang w:val="zh-TW"/>
          </w:rPr>
          <w:t>17</w:t>
        </w:r>
        <w:r>
          <w:fldChar w:fldCharType="end"/>
        </w:r>
      </w:p>
    </w:sdtContent>
  </w:sdt>
  <w:p w:rsidR="00973A83" w:rsidRDefault="00973A8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86" w:rsidRDefault="00445B86" w:rsidP="00CE0B2F">
      <w:r>
        <w:separator/>
      </w:r>
    </w:p>
  </w:footnote>
  <w:footnote w:type="continuationSeparator" w:id="0">
    <w:p w:rsidR="00445B86" w:rsidRDefault="00445B86" w:rsidP="00CE0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3FF"/>
    <w:multiLevelType w:val="multilevel"/>
    <w:tmpl w:val="373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C705F"/>
    <w:multiLevelType w:val="hybridMultilevel"/>
    <w:tmpl w:val="72AA41DE"/>
    <w:lvl w:ilvl="0" w:tplc="04090001">
      <w:start w:val="1"/>
      <w:numFmt w:val="bullet"/>
      <w:lvlText w:val=""/>
      <w:lvlJc w:val="left"/>
      <w:pPr>
        <w:ind w:left="1331" w:hanging="480"/>
      </w:pPr>
      <w:rPr>
        <w:rFonts w:ascii="Symbol" w:hAnsi="Symbol"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
    <w:nsid w:val="054F52D2"/>
    <w:multiLevelType w:val="hybridMultilevel"/>
    <w:tmpl w:val="2D3CBC60"/>
    <w:lvl w:ilvl="0" w:tplc="1F0EA512">
      <w:start w:val="1"/>
      <w:numFmt w:val="decimal"/>
      <w:lvlText w:val="%1."/>
      <w:lvlJc w:val="left"/>
      <w:pPr>
        <w:ind w:left="927" w:hanging="360"/>
      </w:pPr>
      <w:rPr>
        <w:rFonts w:cs="ZWAdobeF" w:hint="default"/>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
    <w:nsid w:val="05CF18B5"/>
    <w:multiLevelType w:val="hybridMultilevel"/>
    <w:tmpl w:val="F806B46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A187B5C"/>
    <w:multiLevelType w:val="hybridMultilevel"/>
    <w:tmpl w:val="8C10E5A4"/>
    <w:lvl w:ilvl="0" w:tplc="53D8E732">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0C246BEB"/>
    <w:multiLevelType w:val="hybridMultilevel"/>
    <w:tmpl w:val="8C10E5A4"/>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0CC34CF4"/>
    <w:multiLevelType w:val="hybridMultilevel"/>
    <w:tmpl w:val="AA2258BC"/>
    <w:lvl w:ilvl="0" w:tplc="0409000F">
      <w:start w:val="1"/>
      <w:numFmt w:val="decimal"/>
      <w:lvlText w:val="%1."/>
      <w:lvlJc w:val="left"/>
      <w:pPr>
        <w:ind w:left="1614"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nsid w:val="0D5534B3"/>
    <w:multiLevelType w:val="multilevel"/>
    <w:tmpl w:val="F492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E3C46"/>
    <w:multiLevelType w:val="hybridMultilevel"/>
    <w:tmpl w:val="D81EB80A"/>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0E9763AC"/>
    <w:multiLevelType w:val="hybridMultilevel"/>
    <w:tmpl w:val="AC188B7E"/>
    <w:lvl w:ilvl="0" w:tplc="8C2840A6">
      <w:start w:val="1"/>
      <w:numFmt w:val="taiwaneseCountingThousand"/>
      <w:lvlText w:val="第%1節"/>
      <w:lvlJc w:val="left"/>
      <w:pPr>
        <w:ind w:left="1128" w:hanging="11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714E46"/>
    <w:multiLevelType w:val="hybridMultilevel"/>
    <w:tmpl w:val="17A80BE4"/>
    <w:lvl w:ilvl="0" w:tplc="A1C6B930">
      <w:start w:val="1"/>
      <w:numFmt w:val="taiwaneseCountingThousand"/>
      <w:pStyle w:val="1"/>
      <w:lvlText w:val="第%1章"/>
      <w:lvlJc w:val="left"/>
      <w:pPr>
        <w:ind w:left="1284" w:hanging="1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28E0537"/>
    <w:multiLevelType w:val="hybridMultilevel"/>
    <w:tmpl w:val="56243A6C"/>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13F0050A"/>
    <w:multiLevelType w:val="hybridMultilevel"/>
    <w:tmpl w:val="F5320A22"/>
    <w:lvl w:ilvl="0" w:tplc="0409001B">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0A6CD2"/>
    <w:multiLevelType w:val="hybridMultilevel"/>
    <w:tmpl w:val="FBD24810"/>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15692097"/>
    <w:multiLevelType w:val="hybridMultilevel"/>
    <w:tmpl w:val="E0BC11D6"/>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nsid w:val="157A13D1"/>
    <w:multiLevelType w:val="hybridMultilevel"/>
    <w:tmpl w:val="C3F8859A"/>
    <w:lvl w:ilvl="0" w:tplc="CC4C04A6">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nsid w:val="16F56E57"/>
    <w:multiLevelType w:val="hybridMultilevel"/>
    <w:tmpl w:val="216E027C"/>
    <w:lvl w:ilvl="0" w:tplc="53D8E732">
      <w:start w:val="1"/>
      <w:numFmt w:val="taiwaneseCountingThousand"/>
      <w:lvlText w:val="(%1)"/>
      <w:lvlJc w:val="left"/>
      <w:pPr>
        <w:ind w:left="1331" w:hanging="480"/>
      </w:pPr>
      <w:rPr>
        <w:rFonts w:hint="eastAsia"/>
      </w:rPr>
    </w:lvl>
    <w:lvl w:ilvl="1" w:tplc="472001C8">
      <w:start w:val="1"/>
      <w:numFmt w:val="decimal"/>
      <w:lvlText w:val="%2."/>
      <w:lvlJc w:val="left"/>
      <w:pPr>
        <w:ind w:left="1691" w:hanging="36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18745182"/>
    <w:multiLevelType w:val="hybridMultilevel"/>
    <w:tmpl w:val="F26264D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AC4021B"/>
    <w:multiLevelType w:val="multilevel"/>
    <w:tmpl w:val="E15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D20FE5"/>
    <w:multiLevelType w:val="multilevel"/>
    <w:tmpl w:val="F2F8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902B56"/>
    <w:multiLevelType w:val="multilevel"/>
    <w:tmpl w:val="7066932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FB3D59"/>
    <w:multiLevelType w:val="hybridMultilevel"/>
    <w:tmpl w:val="A23C4EEC"/>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1F8734C6"/>
    <w:multiLevelType w:val="hybridMultilevel"/>
    <w:tmpl w:val="7C7041FC"/>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nsid w:val="24212FC5"/>
    <w:multiLevelType w:val="hybridMultilevel"/>
    <w:tmpl w:val="923A378C"/>
    <w:lvl w:ilvl="0" w:tplc="53D8E732">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5C40191"/>
    <w:multiLevelType w:val="hybridMultilevel"/>
    <w:tmpl w:val="6DB2DEE2"/>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261645C1"/>
    <w:multiLevelType w:val="hybridMultilevel"/>
    <w:tmpl w:val="EB9EACE0"/>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6555582"/>
    <w:multiLevelType w:val="hybridMultilevel"/>
    <w:tmpl w:val="CE9485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A430A4F"/>
    <w:multiLevelType w:val="hybridMultilevel"/>
    <w:tmpl w:val="D81EB80A"/>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2B307B4C"/>
    <w:multiLevelType w:val="hybridMultilevel"/>
    <w:tmpl w:val="D33C22CC"/>
    <w:lvl w:ilvl="0" w:tplc="CC4C04A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2B5528ED"/>
    <w:multiLevelType w:val="hybridMultilevel"/>
    <w:tmpl w:val="40E4FA2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2C0914CD"/>
    <w:multiLevelType w:val="hybridMultilevel"/>
    <w:tmpl w:val="3D3C9464"/>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1">
    <w:nsid w:val="2CA86323"/>
    <w:multiLevelType w:val="hybridMultilevel"/>
    <w:tmpl w:val="01A8FE06"/>
    <w:lvl w:ilvl="0" w:tplc="DB62F3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5E67BB9"/>
    <w:multiLevelType w:val="multilevel"/>
    <w:tmpl w:val="20AC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DE3C8C"/>
    <w:multiLevelType w:val="hybridMultilevel"/>
    <w:tmpl w:val="3C2858F4"/>
    <w:lvl w:ilvl="0" w:tplc="AA587D1A">
      <w:start w:val="1"/>
      <w:numFmt w:val="decimal"/>
      <w:lvlText w:val="(%1)"/>
      <w:lvlJc w:val="left"/>
      <w:pPr>
        <w:ind w:left="1440" w:hanging="480"/>
      </w:pPr>
      <w:rPr>
        <w:rFonts w:cs="Times New Roman" w:hint="default"/>
      </w:rPr>
    </w:lvl>
    <w:lvl w:ilvl="1" w:tplc="AA587D1A">
      <w:start w:val="1"/>
      <w:numFmt w:val="decimal"/>
      <w:lvlText w:val="(%2)"/>
      <w:lvlJc w:val="left"/>
      <w:pPr>
        <w:ind w:left="1920" w:hanging="480"/>
      </w:pPr>
      <w:rPr>
        <w:rFonts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3AF16DF3"/>
    <w:multiLevelType w:val="hybridMultilevel"/>
    <w:tmpl w:val="3C2858F4"/>
    <w:lvl w:ilvl="0" w:tplc="AA587D1A">
      <w:start w:val="1"/>
      <w:numFmt w:val="decimal"/>
      <w:lvlText w:val="(%1)"/>
      <w:lvlJc w:val="left"/>
      <w:pPr>
        <w:ind w:left="1440" w:hanging="480"/>
      </w:pPr>
      <w:rPr>
        <w:rFonts w:cs="Times New Roman" w:hint="default"/>
      </w:rPr>
    </w:lvl>
    <w:lvl w:ilvl="1" w:tplc="AA587D1A">
      <w:start w:val="1"/>
      <w:numFmt w:val="decimal"/>
      <w:lvlText w:val="(%2)"/>
      <w:lvlJc w:val="left"/>
      <w:pPr>
        <w:ind w:left="1920" w:hanging="480"/>
      </w:pPr>
      <w:rPr>
        <w:rFonts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3B1973CC"/>
    <w:multiLevelType w:val="hybridMultilevel"/>
    <w:tmpl w:val="FE7C8E36"/>
    <w:lvl w:ilvl="0" w:tplc="0409000F">
      <w:start w:val="1"/>
      <w:numFmt w:val="decimal"/>
      <w:lvlText w:val="%1."/>
      <w:lvlJc w:val="left"/>
      <w:pPr>
        <w:ind w:left="1473" w:hanging="480"/>
      </w:pPr>
    </w:lvl>
    <w:lvl w:ilvl="1" w:tplc="457ABA0C">
      <w:start w:val="1"/>
      <w:numFmt w:val="decimal"/>
      <w:lvlText w:val="(%2)"/>
      <w:lvlJc w:val="left"/>
      <w:pPr>
        <w:ind w:left="1833" w:hanging="36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nsid w:val="3B5444B1"/>
    <w:multiLevelType w:val="hybridMultilevel"/>
    <w:tmpl w:val="7F1CF0E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3BFD274E"/>
    <w:multiLevelType w:val="hybridMultilevel"/>
    <w:tmpl w:val="D1647F0A"/>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nsid w:val="3C66663D"/>
    <w:multiLevelType w:val="hybridMultilevel"/>
    <w:tmpl w:val="0728E20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CA24CA5"/>
    <w:multiLevelType w:val="hybridMultilevel"/>
    <w:tmpl w:val="21FAFD8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01D50C0"/>
    <w:multiLevelType w:val="hybridMultilevel"/>
    <w:tmpl w:val="D3AE3BC4"/>
    <w:lvl w:ilvl="0" w:tplc="CC4C04A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nsid w:val="41C43BFC"/>
    <w:multiLevelType w:val="hybridMultilevel"/>
    <w:tmpl w:val="F9A03B2C"/>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29638F6"/>
    <w:multiLevelType w:val="multilevel"/>
    <w:tmpl w:val="D64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3961A05"/>
    <w:multiLevelType w:val="hybridMultilevel"/>
    <w:tmpl w:val="E51A99A2"/>
    <w:lvl w:ilvl="0" w:tplc="04090001">
      <w:start w:val="1"/>
      <w:numFmt w:val="bullet"/>
      <w:lvlText w:val=""/>
      <w:lvlJc w:val="left"/>
      <w:pPr>
        <w:ind w:left="1331" w:hanging="480"/>
      </w:pPr>
      <w:rPr>
        <w:rFonts w:ascii="Symbol" w:hAnsi="Symbol"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44">
    <w:nsid w:val="43E97752"/>
    <w:multiLevelType w:val="hybridMultilevel"/>
    <w:tmpl w:val="8DE616E8"/>
    <w:lvl w:ilvl="0" w:tplc="04090015">
      <w:start w:val="1"/>
      <w:numFmt w:val="taiwaneseCountingThousand"/>
      <w:lvlText w:val="%1、"/>
      <w:lvlJc w:val="left"/>
      <w:pPr>
        <w:tabs>
          <w:tab w:val="num" w:pos="622"/>
        </w:tabs>
        <w:ind w:left="622" w:hanging="480"/>
      </w:pPr>
      <w:rPr>
        <w:rFonts w:hint="default"/>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45">
    <w:nsid w:val="46B711EF"/>
    <w:multiLevelType w:val="hybridMultilevel"/>
    <w:tmpl w:val="6BEC96AE"/>
    <w:lvl w:ilvl="0" w:tplc="CC4C04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A154674"/>
    <w:multiLevelType w:val="hybridMultilevel"/>
    <w:tmpl w:val="2D3CBC60"/>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7">
    <w:nsid w:val="4C2B50DE"/>
    <w:multiLevelType w:val="hybridMultilevel"/>
    <w:tmpl w:val="22CA03E6"/>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8">
    <w:nsid w:val="4E6A08E4"/>
    <w:multiLevelType w:val="hybridMultilevel"/>
    <w:tmpl w:val="8DBE32D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9">
    <w:nsid w:val="4F041B1F"/>
    <w:multiLevelType w:val="hybridMultilevel"/>
    <w:tmpl w:val="CEE22BCA"/>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nsid w:val="51F737B7"/>
    <w:multiLevelType w:val="hybridMultilevel"/>
    <w:tmpl w:val="40E4FA2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nsid w:val="53E71077"/>
    <w:multiLevelType w:val="multilevel"/>
    <w:tmpl w:val="C30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F61367"/>
    <w:multiLevelType w:val="multilevel"/>
    <w:tmpl w:val="2D9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483B71"/>
    <w:multiLevelType w:val="hybridMultilevel"/>
    <w:tmpl w:val="29C83AF6"/>
    <w:lvl w:ilvl="0" w:tplc="55122958">
      <w:start w:val="1"/>
      <w:numFmt w:val="taiwaneseCountingThousand"/>
      <w:lvlText w:val="%1、"/>
      <w:lvlJc w:val="left"/>
      <w:pPr>
        <w:tabs>
          <w:tab w:val="num" w:pos="764"/>
        </w:tabs>
        <w:ind w:left="764" w:hanging="480"/>
      </w:pPr>
      <w:rPr>
        <w:rFonts w:hint="default"/>
        <w:b/>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54">
    <w:nsid w:val="57FF11E1"/>
    <w:multiLevelType w:val="hybridMultilevel"/>
    <w:tmpl w:val="43D6D872"/>
    <w:lvl w:ilvl="0" w:tplc="1F0EA512">
      <w:start w:val="1"/>
      <w:numFmt w:val="decimal"/>
      <w:lvlText w:val="%1."/>
      <w:lvlJc w:val="left"/>
      <w:pPr>
        <w:ind w:left="840" w:hanging="360"/>
      </w:pPr>
      <w:rPr>
        <w:rFonts w:cs="ZWAdobeF"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5">
    <w:nsid w:val="60D17623"/>
    <w:multiLevelType w:val="hybridMultilevel"/>
    <w:tmpl w:val="F716C366"/>
    <w:lvl w:ilvl="0" w:tplc="CC4C04A6">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6">
    <w:nsid w:val="614134EA"/>
    <w:multiLevelType w:val="hybridMultilevel"/>
    <w:tmpl w:val="231A26DE"/>
    <w:lvl w:ilvl="0" w:tplc="04090015">
      <w:start w:val="1"/>
      <w:numFmt w:val="taiwaneseCountingThousand"/>
      <w:lvlText w:val="%1、"/>
      <w:lvlJc w:val="left"/>
      <w:pPr>
        <w:tabs>
          <w:tab w:val="num" w:pos="1380"/>
        </w:tabs>
        <w:ind w:left="1380" w:hanging="480"/>
      </w:pPr>
      <w:rPr>
        <w:rFonts w:hint="default"/>
      </w:rPr>
    </w:lvl>
    <w:lvl w:ilvl="1" w:tplc="0409000F">
      <w:start w:val="1"/>
      <w:numFmt w:val="decimal"/>
      <w:lvlText w:val="%2."/>
      <w:lvlJc w:val="left"/>
      <w:pPr>
        <w:tabs>
          <w:tab w:val="num" w:pos="2100"/>
        </w:tabs>
        <w:ind w:left="2100" w:hanging="720"/>
      </w:pPr>
      <w:rPr>
        <w:rFonts w:hint="eastAsia"/>
      </w:rPr>
    </w:lvl>
    <w:lvl w:ilvl="2" w:tplc="0409000F">
      <w:start w:val="1"/>
      <w:numFmt w:val="decimal"/>
      <w:lvlText w:val="%3."/>
      <w:lvlJc w:val="lef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57">
    <w:nsid w:val="651C2C27"/>
    <w:multiLevelType w:val="hybridMultilevel"/>
    <w:tmpl w:val="2E96BC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66C01C6D"/>
    <w:multiLevelType w:val="hybridMultilevel"/>
    <w:tmpl w:val="4D80A18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85541FD"/>
    <w:multiLevelType w:val="hybridMultilevel"/>
    <w:tmpl w:val="2E96BC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8C06B1F"/>
    <w:multiLevelType w:val="hybridMultilevel"/>
    <w:tmpl w:val="D33C22CC"/>
    <w:lvl w:ilvl="0" w:tplc="CC4C04A6">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1">
    <w:nsid w:val="69C90D1E"/>
    <w:multiLevelType w:val="multilevel"/>
    <w:tmpl w:val="BCB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CFE2039"/>
    <w:multiLevelType w:val="hybridMultilevel"/>
    <w:tmpl w:val="A25E863C"/>
    <w:lvl w:ilvl="0" w:tplc="0409001B">
      <w:start w:val="1"/>
      <w:numFmt w:val="lowerRoman"/>
      <w:lvlText w:val="%1."/>
      <w:lvlJc w:val="right"/>
      <w:pPr>
        <w:ind w:left="1660" w:hanging="480"/>
      </w:p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63">
    <w:nsid w:val="70D73106"/>
    <w:multiLevelType w:val="hybridMultilevel"/>
    <w:tmpl w:val="D6925046"/>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nsid w:val="791605CD"/>
    <w:multiLevelType w:val="hybridMultilevel"/>
    <w:tmpl w:val="88BAC3E4"/>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nsid w:val="7C772416"/>
    <w:multiLevelType w:val="hybridMultilevel"/>
    <w:tmpl w:val="E0BC11D6"/>
    <w:lvl w:ilvl="0" w:tplc="CC4C04A6">
      <w:start w:val="1"/>
      <w:numFmt w:val="decimal"/>
      <w:lvlText w:val="(%1)"/>
      <w:lvlJc w:val="left"/>
      <w:pPr>
        <w:ind w:left="2891" w:hanging="480"/>
      </w:pPr>
      <w:rPr>
        <w:rFonts w:hint="eastAsia"/>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6">
    <w:nsid w:val="7D3121B7"/>
    <w:multiLevelType w:val="hybridMultilevel"/>
    <w:tmpl w:val="8EC83314"/>
    <w:lvl w:ilvl="0" w:tplc="53D8E7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32"/>
  </w:num>
  <w:num w:numId="3">
    <w:abstractNumId w:val="52"/>
  </w:num>
  <w:num w:numId="4">
    <w:abstractNumId w:val="7"/>
  </w:num>
  <w:num w:numId="5">
    <w:abstractNumId w:val="18"/>
  </w:num>
  <w:num w:numId="6">
    <w:abstractNumId w:val="19"/>
  </w:num>
  <w:num w:numId="7">
    <w:abstractNumId w:val="51"/>
  </w:num>
  <w:num w:numId="8">
    <w:abstractNumId w:val="0"/>
  </w:num>
  <w:num w:numId="9">
    <w:abstractNumId w:val="61"/>
  </w:num>
  <w:num w:numId="10">
    <w:abstractNumId w:val="42"/>
  </w:num>
  <w:num w:numId="11">
    <w:abstractNumId w:val="54"/>
  </w:num>
  <w:num w:numId="12">
    <w:abstractNumId w:val="47"/>
  </w:num>
  <w:num w:numId="13">
    <w:abstractNumId w:val="24"/>
  </w:num>
  <w:num w:numId="14">
    <w:abstractNumId w:val="21"/>
  </w:num>
  <w:num w:numId="15">
    <w:abstractNumId w:val="30"/>
  </w:num>
  <w:num w:numId="16">
    <w:abstractNumId w:val="46"/>
  </w:num>
  <w:num w:numId="17">
    <w:abstractNumId w:val="3"/>
  </w:num>
  <w:num w:numId="18">
    <w:abstractNumId w:val="20"/>
  </w:num>
  <w:num w:numId="19">
    <w:abstractNumId w:val="2"/>
  </w:num>
  <w:num w:numId="20">
    <w:abstractNumId w:val="43"/>
  </w:num>
  <w:num w:numId="21">
    <w:abstractNumId w:val="1"/>
  </w:num>
  <w:num w:numId="22">
    <w:abstractNumId w:val="44"/>
  </w:num>
  <w:num w:numId="23">
    <w:abstractNumId w:val="9"/>
  </w:num>
  <w:num w:numId="24">
    <w:abstractNumId w:val="49"/>
  </w:num>
  <w:num w:numId="25">
    <w:abstractNumId w:val="53"/>
  </w:num>
  <w:num w:numId="26">
    <w:abstractNumId w:val="63"/>
  </w:num>
  <w:num w:numId="27">
    <w:abstractNumId w:val="25"/>
  </w:num>
  <w:num w:numId="28">
    <w:abstractNumId w:val="36"/>
  </w:num>
  <w:num w:numId="29">
    <w:abstractNumId w:val="37"/>
  </w:num>
  <w:num w:numId="30">
    <w:abstractNumId w:val="62"/>
  </w:num>
  <w:num w:numId="31">
    <w:abstractNumId w:val="13"/>
  </w:num>
  <w:num w:numId="32">
    <w:abstractNumId w:val="35"/>
  </w:num>
  <w:num w:numId="33">
    <w:abstractNumId w:val="12"/>
  </w:num>
  <w:num w:numId="34">
    <w:abstractNumId w:val="66"/>
  </w:num>
  <w:num w:numId="35">
    <w:abstractNumId w:val="26"/>
  </w:num>
  <w:num w:numId="36">
    <w:abstractNumId w:val="59"/>
  </w:num>
  <w:num w:numId="37">
    <w:abstractNumId w:val="5"/>
  </w:num>
  <w:num w:numId="38">
    <w:abstractNumId w:val="29"/>
  </w:num>
  <w:num w:numId="39">
    <w:abstractNumId w:val="11"/>
  </w:num>
  <w:num w:numId="40">
    <w:abstractNumId w:val="38"/>
  </w:num>
  <w:num w:numId="41">
    <w:abstractNumId w:val="58"/>
  </w:num>
  <w:num w:numId="42">
    <w:abstractNumId w:val="14"/>
  </w:num>
  <w:num w:numId="43">
    <w:abstractNumId w:val="56"/>
  </w:num>
  <w:num w:numId="44">
    <w:abstractNumId w:val="57"/>
  </w:num>
  <w:num w:numId="45">
    <w:abstractNumId w:val="4"/>
  </w:num>
  <w:num w:numId="46">
    <w:abstractNumId w:val="41"/>
  </w:num>
  <w:num w:numId="47">
    <w:abstractNumId w:val="64"/>
  </w:num>
  <w:num w:numId="48">
    <w:abstractNumId w:val="22"/>
  </w:num>
  <w:num w:numId="49">
    <w:abstractNumId w:val="40"/>
  </w:num>
  <w:num w:numId="50">
    <w:abstractNumId w:val="8"/>
  </w:num>
  <w:num w:numId="51">
    <w:abstractNumId w:val="27"/>
  </w:num>
  <w:num w:numId="52">
    <w:abstractNumId w:val="45"/>
  </w:num>
  <w:num w:numId="53">
    <w:abstractNumId w:val="17"/>
  </w:num>
  <w:num w:numId="54">
    <w:abstractNumId w:val="39"/>
  </w:num>
  <w:num w:numId="55">
    <w:abstractNumId w:val="31"/>
  </w:num>
  <w:num w:numId="56">
    <w:abstractNumId w:val="16"/>
  </w:num>
  <w:num w:numId="57">
    <w:abstractNumId w:val="48"/>
  </w:num>
  <w:num w:numId="58">
    <w:abstractNumId w:val="6"/>
  </w:num>
  <w:num w:numId="59">
    <w:abstractNumId w:val="28"/>
  </w:num>
  <w:num w:numId="60">
    <w:abstractNumId w:val="60"/>
  </w:num>
  <w:num w:numId="61">
    <w:abstractNumId w:val="34"/>
  </w:num>
  <w:num w:numId="62">
    <w:abstractNumId w:val="33"/>
  </w:num>
  <w:num w:numId="63">
    <w:abstractNumId w:val="23"/>
  </w:num>
  <w:num w:numId="64">
    <w:abstractNumId w:val="50"/>
  </w:num>
  <w:num w:numId="65">
    <w:abstractNumId w:val="65"/>
  </w:num>
  <w:num w:numId="66">
    <w:abstractNumId w:val="15"/>
  </w:num>
  <w:num w:numId="67">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8A"/>
    <w:rsid w:val="0000160E"/>
    <w:rsid w:val="0000284D"/>
    <w:rsid w:val="000130AD"/>
    <w:rsid w:val="000310EE"/>
    <w:rsid w:val="00042520"/>
    <w:rsid w:val="00042FB0"/>
    <w:rsid w:val="000468C5"/>
    <w:rsid w:val="0005372B"/>
    <w:rsid w:val="000667AA"/>
    <w:rsid w:val="00066BB9"/>
    <w:rsid w:val="000755D9"/>
    <w:rsid w:val="000811E4"/>
    <w:rsid w:val="000843D4"/>
    <w:rsid w:val="0008694B"/>
    <w:rsid w:val="00093C20"/>
    <w:rsid w:val="000D2732"/>
    <w:rsid w:val="000D2ABD"/>
    <w:rsid w:val="00103979"/>
    <w:rsid w:val="00104AEE"/>
    <w:rsid w:val="00113F6F"/>
    <w:rsid w:val="00115143"/>
    <w:rsid w:val="00141FE6"/>
    <w:rsid w:val="00146F90"/>
    <w:rsid w:val="00166027"/>
    <w:rsid w:val="0017032D"/>
    <w:rsid w:val="001724BA"/>
    <w:rsid w:val="001744B8"/>
    <w:rsid w:val="001A1452"/>
    <w:rsid w:val="001A3418"/>
    <w:rsid w:val="001A6636"/>
    <w:rsid w:val="001A7743"/>
    <w:rsid w:val="001C0B3E"/>
    <w:rsid w:val="001D0DCB"/>
    <w:rsid w:val="001D1CBE"/>
    <w:rsid w:val="001E1018"/>
    <w:rsid w:val="001E66D3"/>
    <w:rsid w:val="001F382A"/>
    <w:rsid w:val="001F4E2B"/>
    <w:rsid w:val="001F5506"/>
    <w:rsid w:val="001F5C2B"/>
    <w:rsid w:val="00201FBC"/>
    <w:rsid w:val="00204CCF"/>
    <w:rsid w:val="00206821"/>
    <w:rsid w:val="00226BEF"/>
    <w:rsid w:val="00227894"/>
    <w:rsid w:val="00241B42"/>
    <w:rsid w:val="002421A1"/>
    <w:rsid w:val="00243334"/>
    <w:rsid w:val="002520BB"/>
    <w:rsid w:val="0025575E"/>
    <w:rsid w:val="002577F3"/>
    <w:rsid w:val="002618A4"/>
    <w:rsid w:val="00267FBF"/>
    <w:rsid w:val="002707AE"/>
    <w:rsid w:val="00273E7B"/>
    <w:rsid w:val="00294E7B"/>
    <w:rsid w:val="002A717D"/>
    <w:rsid w:val="002C3EEF"/>
    <w:rsid w:val="002C7A95"/>
    <w:rsid w:val="002D403E"/>
    <w:rsid w:val="002E1A03"/>
    <w:rsid w:val="002E2BD2"/>
    <w:rsid w:val="002F34C4"/>
    <w:rsid w:val="003002E4"/>
    <w:rsid w:val="00312D89"/>
    <w:rsid w:val="003230DA"/>
    <w:rsid w:val="0033577E"/>
    <w:rsid w:val="00336AC7"/>
    <w:rsid w:val="0035573F"/>
    <w:rsid w:val="00366042"/>
    <w:rsid w:val="003744CE"/>
    <w:rsid w:val="00380AB7"/>
    <w:rsid w:val="00383905"/>
    <w:rsid w:val="00385CBB"/>
    <w:rsid w:val="00393170"/>
    <w:rsid w:val="00397647"/>
    <w:rsid w:val="003A4400"/>
    <w:rsid w:val="003A76B1"/>
    <w:rsid w:val="003B39CD"/>
    <w:rsid w:val="003D4A48"/>
    <w:rsid w:val="003D56EE"/>
    <w:rsid w:val="003E29FF"/>
    <w:rsid w:val="003F5DFD"/>
    <w:rsid w:val="00400FAA"/>
    <w:rsid w:val="00401986"/>
    <w:rsid w:val="00414686"/>
    <w:rsid w:val="00417D3E"/>
    <w:rsid w:val="004203E3"/>
    <w:rsid w:val="004363CB"/>
    <w:rsid w:val="00436A37"/>
    <w:rsid w:val="00436FFF"/>
    <w:rsid w:val="00440BF3"/>
    <w:rsid w:val="00445B86"/>
    <w:rsid w:val="004516EF"/>
    <w:rsid w:val="00453059"/>
    <w:rsid w:val="004555F5"/>
    <w:rsid w:val="00467FD2"/>
    <w:rsid w:val="00495E57"/>
    <w:rsid w:val="004A2C51"/>
    <w:rsid w:val="004A658C"/>
    <w:rsid w:val="004B35DC"/>
    <w:rsid w:val="004D66A5"/>
    <w:rsid w:val="004F3677"/>
    <w:rsid w:val="004F7F35"/>
    <w:rsid w:val="0051054B"/>
    <w:rsid w:val="0051356D"/>
    <w:rsid w:val="00514980"/>
    <w:rsid w:val="005229EC"/>
    <w:rsid w:val="00523777"/>
    <w:rsid w:val="00526CA7"/>
    <w:rsid w:val="00537F9C"/>
    <w:rsid w:val="00540FD6"/>
    <w:rsid w:val="00566BAB"/>
    <w:rsid w:val="005745A3"/>
    <w:rsid w:val="00585D1C"/>
    <w:rsid w:val="00587DB0"/>
    <w:rsid w:val="005A503C"/>
    <w:rsid w:val="005C2E43"/>
    <w:rsid w:val="005D146E"/>
    <w:rsid w:val="005D46EB"/>
    <w:rsid w:val="005E176C"/>
    <w:rsid w:val="005F1934"/>
    <w:rsid w:val="00621569"/>
    <w:rsid w:val="00623AEE"/>
    <w:rsid w:val="00626BC6"/>
    <w:rsid w:val="00632DA9"/>
    <w:rsid w:val="00650B63"/>
    <w:rsid w:val="006541D1"/>
    <w:rsid w:val="006606AD"/>
    <w:rsid w:val="0067620E"/>
    <w:rsid w:val="00677D33"/>
    <w:rsid w:val="0069078A"/>
    <w:rsid w:val="006920D1"/>
    <w:rsid w:val="006B0AA4"/>
    <w:rsid w:val="006B5A1C"/>
    <w:rsid w:val="006C706C"/>
    <w:rsid w:val="006E02C1"/>
    <w:rsid w:val="007131BD"/>
    <w:rsid w:val="00716FA5"/>
    <w:rsid w:val="00717DD4"/>
    <w:rsid w:val="00725AF8"/>
    <w:rsid w:val="00736108"/>
    <w:rsid w:val="00737A4D"/>
    <w:rsid w:val="00742897"/>
    <w:rsid w:val="00745A8B"/>
    <w:rsid w:val="0074601E"/>
    <w:rsid w:val="0075114D"/>
    <w:rsid w:val="00755124"/>
    <w:rsid w:val="00762F8D"/>
    <w:rsid w:val="0076505C"/>
    <w:rsid w:val="00770533"/>
    <w:rsid w:val="0078456D"/>
    <w:rsid w:val="00795583"/>
    <w:rsid w:val="007A06E3"/>
    <w:rsid w:val="007A49F2"/>
    <w:rsid w:val="007B64FC"/>
    <w:rsid w:val="007E1A52"/>
    <w:rsid w:val="007E4B40"/>
    <w:rsid w:val="00804DB5"/>
    <w:rsid w:val="00840A7B"/>
    <w:rsid w:val="00861790"/>
    <w:rsid w:val="0087609B"/>
    <w:rsid w:val="0088178D"/>
    <w:rsid w:val="00883ED0"/>
    <w:rsid w:val="00890624"/>
    <w:rsid w:val="008A37E2"/>
    <w:rsid w:val="008A5BCB"/>
    <w:rsid w:val="008B5DE7"/>
    <w:rsid w:val="008B6F83"/>
    <w:rsid w:val="008C00BB"/>
    <w:rsid w:val="008C7C8C"/>
    <w:rsid w:val="008D38CC"/>
    <w:rsid w:val="008D7065"/>
    <w:rsid w:val="008E46E6"/>
    <w:rsid w:val="008F4338"/>
    <w:rsid w:val="00915CDF"/>
    <w:rsid w:val="00927578"/>
    <w:rsid w:val="00940669"/>
    <w:rsid w:val="009446DD"/>
    <w:rsid w:val="009516D3"/>
    <w:rsid w:val="00954BF0"/>
    <w:rsid w:val="00955810"/>
    <w:rsid w:val="00973A83"/>
    <w:rsid w:val="00976104"/>
    <w:rsid w:val="00994304"/>
    <w:rsid w:val="009B21D0"/>
    <w:rsid w:val="009C213A"/>
    <w:rsid w:val="009C6045"/>
    <w:rsid w:val="009D3025"/>
    <w:rsid w:val="009E118F"/>
    <w:rsid w:val="009E70EC"/>
    <w:rsid w:val="00A000E6"/>
    <w:rsid w:val="00A04BC4"/>
    <w:rsid w:val="00A13DD3"/>
    <w:rsid w:val="00A144B8"/>
    <w:rsid w:val="00A17698"/>
    <w:rsid w:val="00A17E94"/>
    <w:rsid w:val="00A201A4"/>
    <w:rsid w:val="00A22407"/>
    <w:rsid w:val="00A32A9A"/>
    <w:rsid w:val="00A40B17"/>
    <w:rsid w:val="00A70787"/>
    <w:rsid w:val="00A86714"/>
    <w:rsid w:val="00A971AA"/>
    <w:rsid w:val="00A97357"/>
    <w:rsid w:val="00AA695E"/>
    <w:rsid w:val="00AB74E1"/>
    <w:rsid w:val="00AD2641"/>
    <w:rsid w:val="00AD7B85"/>
    <w:rsid w:val="00AE0727"/>
    <w:rsid w:val="00AF2358"/>
    <w:rsid w:val="00AF7E92"/>
    <w:rsid w:val="00B01330"/>
    <w:rsid w:val="00B038E2"/>
    <w:rsid w:val="00B04850"/>
    <w:rsid w:val="00B1019A"/>
    <w:rsid w:val="00B14328"/>
    <w:rsid w:val="00B579A0"/>
    <w:rsid w:val="00B6733D"/>
    <w:rsid w:val="00B746A5"/>
    <w:rsid w:val="00B7574E"/>
    <w:rsid w:val="00B84C8C"/>
    <w:rsid w:val="00B93ADC"/>
    <w:rsid w:val="00B95BB1"/>
    <w:rsid w:val="00BB51AF"/>
    <w:rsid w:val="00BC5838"/>
    <w:rsid w:val="00BD2211"/>
    <w:rsid w:val="00BF5DA0"/>
    <w:rsid w:val="00C005DC"/>
    <w:rsid w:val="00C12326"/>
    <w:rsid w:val="00C4669D"/>
    <w:rsid w:val="00C50746"/>
    <w:rsid w:val="00C610E5"/>
    <w:rsid w:val="00C63A01"/>
    <w:rsid w:val="00C67F54"/>
    <w:rsid w:val="00C7119B"/>
    <w:rsid w:val="00C77635"/>
    <w:rsid w:val="00C92A68"/>
    <w:rsid w:val="00CA0593"/>
    <w:rsid w:val="00CA48CA"/>
    <w:rsid w:val="00CB38A9"/>
    <w:rsid w:val="00CB6C11"/>
    <w:rsid w:val="00CC126D"/>
    <w:rsid w:val="00CC359E"/>
    <w:rsid w:val="00CC4D20"/>
    <w:rsid w:val="00CD4306"/>
    <w:rsid w:val="00CE0B2F"/>
    <w:rsid w:val="00CF0912"/>
    <w:rsid w:val="00CF5740"/>
    <w:rsid w:val="00D00F3C"/>
    <w:rsid w:val="00D03EE4"/>
    <w:rsid w:val="00D106CE"/>
    <w:rsid w:val="00D1618E"/>
    <w:rsid w:val="00D20D5D"/>
    <w:rsid w:val="00D250BD"/>
    <w:rsid w:val="00D25D34"/>
    <w:rsid w:val="00D27ED0"/>
    <w:rsid w:val="00D376CE"/>
    <w:rsid w:val="00D4227D"/>
    <w:rsid w:val="00D44B2D"/>
    <w:rsid w:val="00D576FB"/>
    <w:rsid w:val="00D6229B"/>
    <w:rsid w:val="00D80A62"/>
    <w:rsid w:val="00D86796"/>
    <w:rsid w:val="00D87576"/>
    <w:rsid w:val="00DA23D3"/>
    <w:rsid w:val="00DB54A1"/>
    <w:rsid w:val="00DC370D"/>
    <w:rsid w:val="00DE53A1"/>
    <w:rsid w:val="00DE5404"/>
    <w:rsid w:val="00E01530"/>
    <w:rsid w:val="00E028D5"/>
    <w:rsid w:val="00E11061"/>
    <w:rsid w:val="00E21DED"/>
    <w:rsid w:val="00E2531C"/>
    <w:rsid w:val="00E37467"/>
    <w:rsid w:val="00E44561"/>
    <w:rsid w:val="00E83BC2"/>
    <w:rsid w:val="00E92467"/>
    <w:rsid w:val="00E94B9A"/>
    <w:rsid w:val="00EA68E1"/>
    <w:rsid w:val="00EB32E7"/>
    <w:rsid w:val="00EB7110"/>
    <w:rsid w:val="00EC1B00"/>
    <w:rsid w:val="00EC548A"/>
    <w:rsid w:val="00ED21EE"/>
    <w:rsid w:val="00EE2A23"/>
    <w:rsid w:val="00EE5A2E"/>
    <w:rsid w:val="00EF3A26"/>
    <w:rsid w:val="00F06737"/>
    <w:rsid w:val="00F15AFB"/>
    <w:rsid w:val="00F3058F"/>
    <w:rsid w:val="00F31632"/>
    <w:rsid w:val="00F331D6"/>
    <w:rsid w:val="00F44EAD"/>
    <w:rsid w:val="00F5401C"/>
    <w:rsid w:val="00F543A2"/>
    <w:rsid w:val="00F60043"/>
    <w:rsid w:val="00F61091"/>
    <w:rsid w:val="00F75C38"/>
    <w:rsid w:val="00F8322F"/>
    <w:rsid w:val="00F83F5D"/>
    <w:rsid w:val="00F86ECE"/>
    <w:rsid w:val="00F94312"/>
    <w:rsid w:val="00FA7859"/>
    <w:rsid w:val="00FC14B6"/>
    <w:rsid w:val="00FD418C"/>
    <w:rsid w:val="00FD7ECF"/>
    <w:rsid w:val="00FE24D3"/>
    <w:rsid w:val="00FE372C"/>
    <w:rsid w:val="00FE7154"/>
    <w:rsid w:val="00FF3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8A"/>
    <w:pPr>
      <w:widowControl w:val="0"/>
    </w:pPr>
    <w:rPr>
      <w:rFonts w:ascii="Times New Roman" w:eastAsia="新細明體" w:hAnsi="Times New Roman" w:cs="Times New Roman"/>
      <w:szCs w:val="20"/>
    </w:rPr>
  </w:style>
  <w:style w:type="paragraph" w:styleId="10">
    <w:name w:val="heading 1"/>
    <w:basedOn w:val="a"/>
    <w:next w:val="a"/>
    <w:link w:val="11"/>
    <w:uiPriority w:val="9"/>
    <w:qFormat/>
    <w:rsid w:val="00CC126D"/>
    <w:pPr>
      <w:keepNext/>
      <w:spacing w:before="180" w:after="180" w:line="720" w:lineRule="auto"/>
      <w:outlineLvl w:val="0"/>
    </w:pPr>
    <w:rPr>
      <w:rFonts w:asciiTheme="majorHAnsi" w:eastAsiaTheme="majorEastAsia" w:hAnsiTheme="majorHAnsi" w:cstheme="majorBidi"/>
      <w:b/>
      <w:bCs/>
      <w:kern w:val="52"/>
      <w:sz w:val="32"/>
      <w:szCs w:val="52"/>
    </w:rPr>
  </w:style>
  <w:style w:type="paragraph" w:styleId="2">
    <w:name w:val="heading 2"/>
    <w:basedOn w:val="a"/>
    <w:next w:val="a"/>
    <w:link w:val="20"/>
    <w:uiPriority w:val="9"/>
    <w:semiHidden/>
    <w:unhideWhenUsed/>
    <w:qFormat/>
    <w:rsid w:val="004B35DC"/>
    <w:pPr>
      <w:keepNext/>
      <w:spacing w:line="720" w:lineRule="auto"/>
      <w:outlineLvl w:val="1"/>
    </w:pPr>
    <w:rPr>
      <w:rFonts w:asciiTheme="majorHAnsi" w:hAnsiTheme="majorHAnsi" w:cstheme="majorBidi"/>
      <w:b/>
      <w:bCs/>
      <w:sz w:val="28"/>
      <w:szCs w:val="48"/>
    </w:rPr>
  </w:style>
  <w:style w:type="paragraph" w:styleId="3">
    <w:name w:val="heading 3"/>
    <w:basedOn w:val="a"/>
    <w:next w:val="a"/>
    <w:link w:val="30"/>
    <w:qFormat/>
    <w:rsid w:val="00E2531C"/>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EC548A"/>
    <w:rPr>
      <w:rFonts w:eastAsia="標楷體"/>
      <w:sz w:val="32"/>
    </w:rPr>
  </w:style>
  <w:style w:type="character" w:customStyle="1" w:styleId="a4">
    <w:name w:val="問候 字元"/>
    <w:basedOn w:val="a0"/>
    <w:link w:val="a3"/>
    <w:rsid w:val="00EC548A"/>
    <w:rPr>
      <w:rFonts w:ascii="Times New Roman" w:eastAsia="標楷體" w:hAnsi="Times New Roman" w:cs="Times New Roman"/>
      <w:sz w:val="32"/>
      <w:szCs w:val="20"/>
    </w:rPr>
  </w:style>
  <w:style w:type="paragraph" w:styleId="21">
    <w:name w:val="Body Text 2"/>
    <w:basedOn w:val="a"/>
    <w:link w:val="22"/>
    <w:rsid w:val="00EC548A"/>
    <w:pPr>
      <w:jc w:val="center"/>
    </w:pPr>
    <w:rPr>
      <w:rFonts w:eastAsia="標楷體"/>
      <w:sz w:val="48"/>
    </w:rPr>
  </w:style>
  <w:style w:type="character" w:customStyle="1" w:styleId="22">
    <w:name w:val="本文 2 字元"/>
    <w:basedOn w:val="a0"/>
    <w:link w:val="21"/>
    <w:rsid w:val="00EC548A"/>
    <w:rPr>
      <w:rFonts w:ascii="Times New Roman" w:eastAsia="標楷體" w:hAnsi="Times New Roman" w:cs="Times New Roman"/>
      <w:sz w:val="48"/>
      <w:szCs w:val="20"/>
    </w:rPr>
  </w:style>
  <w:style w:type="character" w:styleId="a5">
    <w:name w:val="Hyperlink"/>
    <w:uiPriority w:val="99"/>
    <w:rsid w:val="00EC548A"/>
    <w:rPr>
      <w:rFonts w:cs="Times New Roman"/>
      <w:color w:val="0000FF"/>
      <w:u w:val="single"/>
    </w:rPr>
  </w:style>
  <w:style w:type="paragraph" w:customStyle="1" w:styleId="a6">
    <w:name w:val="標題一"/>
    <w:basedOn w:val="10"/>
    <w:link w:val="a7"/>
    <w:rsid w:val="00EC548A"/>
    <w:rPr>
      <w:rFonts w:ascii="Arial" w:eastAsia="標楷體" w:hAnsi="Arial" w:cs="Times New Roman"/>
      <w:sz w:val="28"/>
    </w:rPr>
  </w:style>
  <w:style w:type="character" w:customStyle="1" w:styleId="a7">
    <w:name w:val="標題一 字元"/>
    <w:link w:val="a6"/>
    <w:locked/>
    <w:rsid w:val="00EC548A"/>
    <w:rPr>
      <w:rFonts w:ascii="Arial" w:eastAsia="標楷體" w:hAnsi="Arial" w:cs="Times New Roman"/>
      <w:b/>
      <w:bCs/>
      <w:kern w:val="52"/>
      <w:sz w:val="28"/>
      <w:szCs w:val="52"/>
    </w:rPr>
  </w:style>
  <w:style w:type="character" w:customStyle="1" w:styleId="11">
    <w:name w:val="標題 1 字元"/>
    <w:basedOn w:val="a0"/>
    <w:link w:val="10"/>
    <w:uiPriority w:val="9"/>
    <w:rsid w:val="00CC126D"/>
    <w:rPr>
      <w:rFonts w:asciiTheme="majorHAnsi" w:eastAsiaTheme="majorEastAsia" w:hAnsiTheme="majorHAnsi" w:cstheme="majorBidi"/>
      <w:b/>
      <w:bCs/>
      <w:kern w:val="52"/>
      <w:sz w:val="32"/>
      <w:szCs w:val="52"/>
    </w:rPr>
  </w:style>
  <w:style w:type="paragraph" w:styleId="a8">
    <w:name w:val="List Paragraph"/>
    <w:basedOn w:val="a"/>
    <w:uiPriority w:val="34"/>
    <w:qFormat/>
    <w:rsid w:val="00EC548A"/>
    <w:pPr>
      <w:ind w:leftChars="200" w:left="480"/>
    </w:pPr>
  </w:style>
  <w:style w:type="paragraph" w:styleId="a9">
    <w:name w:val="Body Text"/>
    <w:basedOn w:val="a"/>
    <w:link w:val="aa"/>
    <w:uiPriority w:val="99"/>
    <w:semiHidden/>
    <w:unhideWhenUsed/>
    <w:rsid w:val="00EC548A"/>
    <w:pPr>
      <w:spacing w:after="120"/>
    </w:pPr>
  </w:style>
  <w:style w:type="character" w:customStyle="1" w:styleId="aa">
    <w:name w:val="本文 字元"/>
    <w:basedOn w:val="a0"/>
    <w:link w:val="a9"/>
    <w:uiPriority w:val="99"/>
    <w:semiHidden/>
    <w:rsid w:val="00EC548A"/>
    <w:rPr>
      <w:rFonts w:ascii="Times New Roman" w:eastAsia="新細明體" w:hAnsi="Times New Roman" w:cs="Times New Roman"/>
      <w:szCs w:val="20"/>
    </w:rPr>
  </w:style>
  <w:style w:type="paragraph" w:styleId="Web">
    <w:name w:val="Normal (Web)"/>
    <w:basedOn w:val="a"/>
    <w:link w:val="Web0"/>
    <w:uiPriority w:val="99"/>
    <w:rsid w:val="00D376CE"/>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locked/>
    <w:rsid w:val="00D376CE"/>
    <w:rPr>
      <w:rFonts w:ascii="新細明體" w:eastAsia="新細明體" w:hAnsi="新細明體" w:cs="新細明體"/>
      <w:kern w:val="0"/>
      <w:szCs w:val="24"/>
    </w:rPr>
  </w:style>
  <w:style w:type="paragraph" w:customStyle="1" w:styleId="p1">
    <w:name w:val="p1"/>
    <w:basedOn w:val="a"/>
    <w:rsid w:val="00D376CE"/>
    <w:pPr>
      <w:widowControl/>
      <w:spacing w:before="100" w:beforeAutospacing="1" w:after="100" w:afterAutospacing="1"/>
    </w:pPr>
    <w:rPr>
      <w:kern w:val="0"/>
      <w:szCs w:val="24"/>
    </w:rPr>
  </w:style>
  <w:style w:type="paragraph" w:styleId="ab">
    <w:name w:val="Balloon Text"/>
    <w:basedOn w:val="a"/>
    <w:link w:val="ac"/>
    <w:uiPriority w:val="99"/>
    <w:semiHidden/>
    <w:unhideWhenUsed/>
    <w:rsid w:val="00D376C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376CE"/>
    <w:rPr>
      <w:rFonts w:asciiTheme="majorHAnsi" w:eastAsiaTheme="majorEastAsia" w:hAnsiTheme="majorHAnsi" w:cstheme="majorBidi"/>
      <w:sz w:val="18"/>
      <w:szCs w:val="18"/>
    </w:rPr>
  </w:style>
  <w:style w:type="character" w:customStyle="1" w:styleId="apple-converted-space">
    <w:name w:val="apple-converted-space"/>
    <w:basedOn w:val="a0"/>
    <w:rsid w:val="008D7065"/>
  </w:style>
  <w:style w:type="paragraph" w:customStyle="1" w:styleId="1">
    <w:name w:val="標題1"/>
    <w:basedOn w:val="a8"/>
    <w:qFormat/>
    <w:rsid w:val="00717DD4"/>
    <w:pPr>
      <w:numPr>
        <w:numId w:val="1"/>
      </w:numPr>
      <w:snapToGrid w:val="0"/>
      <w:ind w:leftChars="0" w:left="0"/>
      <w:outlineLvl w:val="0"/>
    </w:pPr>
    <w:rPr>
      <w:b/>
      <w:sz w:val="32"/>
      <w:szCs w:val="32"/>
    </w:rPr>
  </w:style>
  <w:style w:type="character" w:styleId="ad">
    <w:name w:val="Emphasis"/>
    <w:uiPriority w:val="99"/>
    <w:qFormat/>
    <w:rsid w:val="00385CBB"/>
    <w:rPr>
      <w:rFonts w:cs="Times New Roman"/>
      <w:i/>
      <w:iCs/>
    </w:rPr>
  </w:style>
  <w:style w:type="character" w:customStyle="1" w:styleId="20">
    <w:name w:val="標題 2 字元"/>
    <w:basedOn w:val="a0"/>
    <w:link w:val="2"/>
    <w:uiPriority w:val="9"/>
    <w:semiHidden/>
    <w:rsid w:val="004B35DC"/>
    <w:rPr>
      <w:rFonts w:asciiTheme="majorHAnsi" w:eastAsia="新細明體" w:hAnsiTheme="majorHAnsi" w:cstheme="majorBidi"/>
      <w:b/>
      <w:bCs/>
      <w:sz w:val="28"/>
      <w:szCs w:val="48"/>
    </w:rPr>
  </w:style>
  <w:style w:type="paragraph" w:customStyle="1" w:styleId="23">
    <w:name w:val="標題2"/>
    <w:basedOn w:val="a"/>
    <w:qFormat/>
    <w:rsid w:val="004B35DC"/>
    <w:pPr>
      <w:snapToGrid w:val="0"/>
      <w:outlineLvl w:val="1"/>
    </w:pPr>
    <w:rPr>
      <w:rFonts w:eastAsia="細明體" w:hAnsi="細明體"/>
      <w:b/>
      <w:bCs/>
      <w:noProof/>
      <w:kern w:val="52"/>
      <w:sz w:val="28"/>
      <w:szCs w:val="28"/>
    </w:rPr>
  </w:style>
  <w:style w:type="paragraph" w:customStyle="1" w:styleId="31">
    <w:name w:val="標題3"/>
    <w:basedOn w:val="a"/>
    <w:qFormat/>
    <w:rsid w:val="004B35DC"/>
    <w:pPr>
      <w:snapToGrid w:val="0"/>
      <w:outlineLvl w:val="2"/>
    </w:pPr>
    <w:rPr>
      <w:rFonts w:eastAsia="細明體" w:hAnsi="細明體"/>
      <w:b/>
      <w:bCs/>
      <w:kern w:val="52"/>
      <w:szCs w:val="24"/>
    </w:rPr>
  </w:style>
  <w:style w:type="paragraph" w:styleId="ae">
    <w:name w:val="TOC Heading"/>
    <w:basedOn w:val="10"/>
    <w:next w:val="a"/>
    <w:uiPriority w:val="39"/>
    <w:semiHidden/>
    <w:unhideWhenUsed/>
    <w:qFormat/>
    <w:rsid w:val="001C0B3E"/>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A04BC4"/>
    <w:pPr>
      <w:tabs>
        <w:tab w:val="left" w:pos="984"/>
        <w:tab w:val="right" w:leader="dot" w:pos="8680"/>
      </w:tabs>
    </w:pPr>
  </w:style>
  <w:style w:type="paragraph" w:styleId="24">
    <w:name w:val="toc 2"/>
    <w:basedOn w:val="a"/>
    <w:next w:val="a"/>
    <w:autoRedefine/>
    <w:uiPriority w:val="39"/>
    <w:unhideWhenUsed/>
    <w:rsid w:val="00FF3F51"/>
    <w:pPr>
      <w:tabs>
        <w:tab w:val="left" w:pos="1680"/>
        <w:tab w:val="left" w:pos="1843"/>
        <w:tab w:val="left" w:pos="2234"/>
        <w:tab w:val="right" w:leader="dot" w:pos="8680"/>
      </w:tabs>
      <w:ind w:leftChars="531" w:left="1689" w:hangingChars="173" w:hanging="415"/>
    </w:pPr>
  </w:style>
  <w:style w:type="paragraph" w:styleId="32">
    <w:name w:val="toc 3"/>
    <w:basedOn w:val="a"/>
    <w:next w:val="a"/>
    <w:autoRedefine/>
    <w:uiPriority w:val="39"/>
    <w:unhideWhenUsed/>
    <w:rsid w:val="004363CB"/>
    <w:pPr>
      <w:tabs>
        <w:tab w:val="left" w:pos="1843"/>
        <w:tab w:val="left" w:pos="2256"/>
        <w:tab w:val="right" w:leader="dot" w:pos="8680"/>
      </w:tabs>
      <w:ind w:leftChars="650" w:left="1560" w:firstLine="144"/>
    </w:pPr>
  </w:style>
  <w:style w:type="paragraph" w:styleId="af">
    <w:name w:val="header"/>
    <w:basedOn w:val="a"/>
    <w:link w:val="af0"/>
    <w:uiPriority w:val="99"/>
    <w:unhideWhenUsed/>
    <w:rsid w:val="00CE0B2F"/>
    <w:pPr>
      <w:tabs>
        <w:tab w:val="center" w:pos="4153"/>
        <w:tab w:val="right" w:pos="8306"/>
      </w:tabs>
      <w:snapToGrid w:val="0"/>
    </w:pPr>
    <w:rPr>
      <w:sz w:val="20"/>
    </w:rPr>
  </w:style>
  <w:style w:type="character" w:customStyle="1" w:styleId="af0">
    <w:name w:val="頁首 字元"/>
    <w:basedOn w:val="a0"/>
    <w:link w:val="af"/>
    <w:uiPriority w:val="99"/>
    <w:rsid w:val="00CE0B2F"/>
    <w:rPr>
      <w:rFonts w:ascii="Times New Roman" w:eastAsia="新細明體" w:hAnsi="Times New Roman" w:cs="Times New Roman"/>
      <w:sz w:val="20"/>
      <w:szCs w:val="20"/>
    </w:rPr>
  </w:style>
  <w:style w:type="paragraph" w:styleId="af1">
    <w:name w:val="footer"/>
    <w:basedOn w:val="a"/>
    <w:link w:val="af2"/>
    <w:uiPriority w:val="99"/>
    <w:unhideWhenUsed/>
    <w:rsid w:val="00CE0B2F"/>
    <w:pPr>
      <w:tabs>
        <w:tab w:val="center" w:pos="4153"/>
        <w:tab w:val="right" w:pos="8306"/>
      </w:tabs>
      <w:snapToGrid w:val="0"/>
    </w:pPr>
    <w:rPr>
      <w:sz w:val="20"/>
    </w:rPr>
  </w:style>
  <w:style w:type="character" w:customStyle="1" w:styleId="af2">
    <w:name w:val="頁尾 字元"/>
    <w:basedOn w:val="a0"/>
    <w:link w:val="af1"/>
    <w:uiPriority w:val="99"/>
    <w:rsid w:val="00CE0B2F"/>
    <w:rPr>
      <w:rFonts w:ascii="Times New Roman" w:eastAsia="新細明體" w:hAnsi="Times New Roman" w:cs="Times New Roman"/>
      <w:sz w:val="20"/>
      <w:szCs w:val="20"/>
    </w:rPr>
  </w:style>
  <w:style w:type="character" w:customStyle="1" w:styleId="30">
    <w:name w:val="標題 3 字元"/>
    <w:basedOn w:val="a0"/>
    <w:link w:val="3"/>
    <w:rsid w:val="00E2531C"/>
    <w:rPr>
      <w:rFonts w:ascii="Arial" w:eastAsia="新細明體" w:hAnsi="Arial" w:cs="Times New Roman"/>
      <w:b/>
      <w:bCs/>
      <w:sz w:val="36"/>
      <w:szCs w:val="36"/>
    </w:rPr>
  </w:style>
  <w:style w:type="paragraph" w:styleId="af3">
    <w:name w:val="Note Heading"/>
    <w:basedOn w:val="a"/>
    <w:next w:val="a"/>
    <w:link w:val="af4"/>
    <w:uiPriority w:val="99"/>
    <w:unhideWhenUsed/>
    <w:rsid w:val="00D1618E"/>
    <w:pPr>
      <w:jc w:val="center"/>
    </w:pPr>
    <w:rPr>
      <w:rFonts w:eastAsia="細明體" w:hAnsi="細明體"/>
      <w:b/>
      <w:bCs/>
      <w:kern w:val="52"/>
      <w:szCs w:val="24"/>
    </w:rPr>
  </w:style>
  <w:style w:type="character" w:customStyle="1" w:styleId="af4">
    <w:name w:val="註釋標題 字元"/>
    <w:basedOn w:val="a0"/>
    <w:link w:val="af3"/>
    <w:uiPriority w:val="99"/>
    <w:rsid w:val="00D1618E"/>
    <w:rPr>
      <w:rFonts w:ascii="Times New Roman" w:eastAsia="細明體" w:hAnsi="細明體" w:cs="Times New Roman"/>
      <w:b/>
      <w:bCs/>
      <w:kern w:val="52"/>
      <w:szCs w:val="24"/>
    </w:rPr>
  </w:style>
  <w:style w:type="paragraph" w:styleId="af5">
    <w:name w:val="Closing"/>
    <w:basedOn w:val="a"/>
    <w:link w:val="af6"/>
    <w:uiPriority w:val="99"/>
    <w:unhideWhenUsed/>
    <w:rsid w:val="00D1618E"/>
    <w:pPr>
      <w:ind w:leftChars="1800" w:left="100"/>
    </w:pPr>
    <w:rPr>
      <w:rFonts w:eastAsia="細明體" w:hAnsi="細明體"/>
      <w:b/>
      <w:bCs/>
      <w:kern w:val="52"/>
      <w:szCs w:val="24"/>
    </w:rPr>
  </w:style>
  <w:style w:type="character" w:customStyle="1" w:styleId="af6">
    <w:name w:val="結語 字元"/>
    <w:basedOn w:val="a0"/>
    <w:link w:val="af5"/>
    <w:uiPriority w:val="99"/>
    <w:rsid w:val="00D1618E"/>
    <w:rPr>
      <w:rFonts w:ascii="Times New Roman" w:eastAsia="細明體" w:hAnsi="細明體" w:cs="Times New Roman"/>
      <w:b/>
      <w:bCs/>
      <w:kern w:val="52"/>
      <w:szCs w:val="24"/>
    </w:rPr>
  </w:style>
  <w:style w:type="paragraph" w:styleId="af7">
    <w:name w:val="footnote text"/>
    <w:basedOn w:val="a"/>
    <w:link w:val="af8"/>
    <w:uiPriority w:val="99"/>
    <w:unhideWhenUsed/>
    <w:rsid w:val="003D4A48"/>
    <w:pPr>
      <w:snapToGrid w:val="0"/>
    </w:pPr>
    <w:rPr>
      <w:rFonts w:asciiTheme="minorHAnsi" w:eastAsiaTheme="minorEastAsia" w:hAnsiTheme="minorHAnsi" w:cstheme="minorBidi"/>
      <w:sz w:val="20"/>
    </w:rPr>
  </w:style>
  <w:style w:type="character" w:customStyle="1" w:styleId="af8">
    <w:name w:val="註腳文字 字元"/>
    <w:basedOn w:val="a0"/>
    <w:link w:val="af7"/>
    <w:uiPriority w:val="99"/>
    <w:rsid w:val="003D4A48"/>
    <w:rPr>
      <w:sz w:val="20"/>
      <w:szCs w:val="20"/>
    </w:rPr>
  </w:style>
  <w:style w:type="character" w:styleId="af9">
    <w:name w:val="footnote reference"/>
    <w:basedOn w:val="a0"/>
    <w:uiPriority w:val="99"/>
    <w:semiHidden/>
    <w:unhideWhenUsed/>
    <w:rsid w:val="003D4A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8A"/>
    <w:pPr>
      <w:widowControl w:val="0"/>
    </w:pPr>
    <w:rPr>
      <w:rFonts w:ascii="Times New Roman" w:eastAsia="新細明體" w:hAnsi="Times New Roman" w:cs="Times New Roman"/>
      <w:szCs w:val="20"/>
    </w:rPr>
  </w:style>
  <w:style w:type="paragraph" w:styleId="10">
    <w:name w:val="heading 1"/>
    <w:basedOn w:val="a"/>
    <w:next w:val="a"/>
    <w:link w:val="11"/>
    <w:uiPriority w:val="9"/>
    <w:qFormat/>
    <w:rsid w:val="00CC126D"/>
    <w:pPr>
      <w:keepNext/>
      <w:spacing w:before="180" w:after="180" w:line="720" w:lineRule="auto"/>
      <w:outlineLvl w:val="0"/>
    </w:pPr>
    <w:rPr>
      <w:rFonts w:asciiTheme="majorHAnsi" w:eastAsiaTheme="majorEastAsia" w:hAnsiTheme="majorHAnsi" w:cstheme="majorBidi"/>
      <w:b/>
      <w:bCs/>
      <w:kern w:val="52"/>
      <w:sz w:val="32"/>
      <w:szCs w:val="52"/>
    </w:rPr>
  </w:style>
  <w:style w:type="paragraph" w:styleId="2">
    <w:name w:val="heading 2"/>
    <w:basedOn w:val="a"/>
    <w:next w:val="a"/>
    <w:link w:val="20"/>
    <w:uiPriority w:val="9"/>
    <w:semiHidden/>
    <w:unhideWhenUsed/>
    <w:qFormat/>
    <w:rsid w:val="004B35DC"/>
    <w:pPr>
      <w:keepNext/>
      <w:spacing w:line="720" w:lineRule="auto"/>
      <w:outlineLvl w:val="1"/>
    </w:pPr>
    <w:rPr>
      <w:rFonts w:asciiTheme="majorHAnsi" w:hAnsiTheme="majorHAnsi" w:cstheme="majorBidi"/>
      <w:b/>
      <w:bCs/>
      <w:sz w:val="28"/>
      <w:szCs w:val="48"/>
    </w:rPr>
  </w:style>
  <w:style w:type="paragraph" w:styleId="3">
    <w:name w:val="heading 3"/>
    <w:basedOn w:val="a"/>
    <w:next w:val="a"/>
    <w:link w:val="30"/>
    <w:qFormat/>
    <w:rsid w:val="00E2531C"/>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EC548A"/>
    <w:rPr>
      <w:rFonts w:eastAsia="標楷體"/>
      <w:sz w:val="32"/>
    </w:rPr>
  </w:style>
  <w:style w:type="character" w:customStyle="1" w:styleId="a4">
    <w:name w:val="問候 字元"/>
    <w:basedOn w:val="a0"/>
    <w:link w:val="a3"/>
    <w:rsid w:val="00EC548A"/>
    <w:rPr>
      <w:rFonts w:ascii="Times New Roman" w:eastAsia="標楷體" w:hAnsi="Times New Roman" w:cs="Times New Roman"/>
      <w:sz w:val="32"/>
      <w:szCs w:val="20"/>
    </w:rPr>
  </w:style>
  <w:style w:type="paragraph" w:styleId="21">
    <w:name w:val="Body Text 2"/>
    <w:basedOn w:val="a"/>
    <w:link w:val="22"/>
    <w:rsid w:val="00EC548A"/>
    <w:pPr>
      <w:jc w:val="center"/>
    </w:pPr>
    <w:rPr>
      <w:rFonts w:eastAsia="標楷體"/>
      <w:sz w:val="48"/>
    </w:rPr>
  </w:style>
  <w:style w:type="character" w:customStyle="1" w:styleId="22">
    <w:name w:val="本文 2 字元"/>
    <w:basedOn w:val="a0"/>
    <w:link w:val="21"/>
    <w:rsid w:val="00EC548A"/>
    <w:rPr>
      <w:rFonts w:ascii="Times New Roman" w:eastAsia="標楷體" w:hAnsi="Times New Roman" w:cs="Times New Roman"/>
      <w:sz w:val="48"/>
      <w:szCs w:val="20"/>
    </w:rPr>
  </w:style>
  <w:style w:type="character" w:styleId="a5">
    <w:name w:val="Hyperlink"/>
    <w:uiPriority w:val="99"/>
    <w:rsid w:val="00EC548A"/>
    <w:rPr>
      <w:rFonts w:cs="Times New Roman"/>
      <w:color w:val="0000FF"/>
      <w:u w:val="single"/>
    </w:rPr>
  </w:style>
  <w:style w:type="paragraph" w:customStyle="1" w:styleId="a6">
    <w:name w:val="標題一"/>
    <w:basedOn w:val="10"/>
    <w:link w:val="a7"/>
    <w:rsid w:val="00EC548A"/>
    <w:rPr>
      <w:rFonts w:ascii="Arial" w:eastAsia="標楷體" w:hAnsi="Arial" w:cs="Times New Roman"/>
      <w:sz w:val="28"/>
    </w:rPr>
  </w:style>
  <w:style w:type="character" w:customStyle="1" w:styleId="a7">
    <w:name w:val="標題一 字元"/>
    <w:link w:val="a6"/>
    <w:locked/>
    <w:rsid w:val="00EC548A"/>
    <w:rPr>
      <w:rFonts w:ascii="Arial" w:eastAsia="標楷體" w:hAnsi="Arial" w:cs="Times New Roman"/>
      <w:b/>
      <w:bCs/>
      <w:kern w:val="52"/>
      <w:sz w:val="28"/>
      <w:szCs w:val="52"/>
    </w:rPr>
  </w:style>
  <w:style w:type="character" w:customStyle="1" w:styleId="11">
    <w:name w:val="標題 1 字元"/>
    <w:basedOn w:val="a0"/>
    <w:link w:val="10"/>
    <w:uiPriority w:val="9"/>
    <w:rsid w:val="00CC126D"/>
    <w:rPr>
      <w:rFonts w:asciiTheme="majorHAnsi" w:eastAsiaTheme="majorEastAsia" w:hAnsiTheme="majorHAnsi" w:cstheme="majorBidi"/>
      <w:b/>
      <w:bCs/>
      <w:kern w:val="52"/>
      <w:sz w:val="32"/>
      <w:szCs w:val="52"/>
    </w:rPr>
  </w:style>
  <w:style w:type="paragraph" w:styleId="a8">
    <w:name w:val="List Paragraph"/>
    <w:basedOn w:val="a"/>
    <w:uiPriority w:val="34"/>
    <w:qFormat/>
    <w:rsid w:val="00EC548A"/>
    <w:pPr>
      <w:ind w:leftChars="200" w:left="480"/>
    </w:pPr>
  </w:style>
  <w:style w:type="paragraph" w:styleId="a9">
    <w:name w:val="Body Text"/>
    <w:basedOn w:val="a"/>
    <w:link w:val="aa"/>
    <w:uiPriority w:val="99"/>
    <w:semiHidden/>
    <w:unhideWhenUsed/>
    <w:rsid w:val="00EC548A"/>
    <w:pPr>
      <w:spacing w:after="120"/>
    </w:pPr>
  </w:style>
  <w:style w:type="character" w:customStyle="1" w:styleId="aa">
    <w:name w:val="本文 字元"/>
    <w:basedOn w:val="a0"/>
    <w:link w:val="a9"/>
    <w:uiPriority w:val="99"/>
    <w:semiHidden/>
    <w:rsid w:val="00EC548A"/>
    <w:rPr>
      <w:rFonts w:ascii="Times New Roman" w:eastAsia="新細明體" w:hAnsi="Times New Roman" w:cs="Times New Roman"/>
      <w:szCs w:val="20"/>
    </w:rPr>
  </w:style>
  <w:style w:type="paragraph" w:styleId="Web">
    <w:name w:val="Normal (Web)"/>
    <w:basedOn w:val="a"/>
    <w:link w:val="Web0"/>
    <w:uiPriority w:val="99"/>
    <w:rsid w:val="00D376CE"/>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locked/>
    <w:rsid w:val="00D376CE"/>
    <w:rPr>
      <w:rFonts w:ascii="新細明體" w:eastAsia="新細明體" w:hAnsi="新細明體" w:cs="新細明體"/>
      <w:kern w:val="0"/>
      <w:szCs w:val="24"/>
    </w:rPr>
  </w:style>
  <w:style w:type="paragraph" w:customStyle="1" w:styleId="p1">
    <w:name w:val="p1"/>
    <w:basedOn w:val="a"/>
    <w:rsid w:val="00D376CE"/>
    <w:pPr>
      <w:widowControl/>
      <w:spacing w:before="100" w:beforeAutospacing="1" w:after="100" w:afterAutospacing="1"/>
    </w:pPr>
    <w:rPr>
      <w:kern w:val="0"/>
      <w:szCs w:val="24"/>
    </w:rPr>
  </w:style>
  <w:style w:type="paragraph" w:styleId="ab">
    <w:name w:val="Balloon Text"/>
    <w:basedOn w:val="a"/>
    <w:link w:val="ac"/>
    <w:uiPriority w:val="99"/>
    <w:semiHidden/>
    <w:unhideWhenUsed/>
    <w:rsid w:val="00D376C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376CE"/>
    <w:rPr>
      <w:rFonts w:asciiTheme="majorHAnsi" w:eastAsiaTheme="majorEastAsia" w:hAnsiTheme="majorHAnsi" w:cstheme="majorBidi"/>
      <w:sz w:val="18"/>
      <w:szCs w:val="18"/>
    </w:rPr>
  </w:style>
  <w:style w:type="character" w:customStyle="1" w:styleId="apple-converted-space">
    <w:name w:val="apple-converted-space"/>
    <w:basedOn w:val="a0"/>
    <w:rsid w:val="008D7065"/>
  </w:style>
  <w:style w:type="paragraph" w:customStyle="1" w:styleId="1">
    <w:name w:val="標題1"/>
    <w:basedOn w:val="a8"/>
    <w:qFormat/>
    <w:rsid w:val="00717DD4"/>
    <w:pPr>
      <w:numPr>
        <w:numId w:val="1"/>
      </w:numPr>
      <w:snapToGrid w:val="0"/>
      <w:ind w:leftChars="0" w:left="0"/>
      <w:outlineLvl w:val="0"/>
    </w:pPr>
    <w:rPr>
      <w:b/>
      <w:sz w:val="32"/>
      <w:szCs w:val="32"/>
    </w:rPr>
  </w:style>
  <w:style w:type="character" w:styleId="ad">
    <w:name w:val="Emphasis"/>
    <w:uiPriority w:val="99"/>
    <w:qFormat/>
    <w:rsid w:val="00385CBB"/>
    <w:rPr>
      <w:rFonts w:cs="Times New Roman"/>
      <w:i/>
      <w:iCs/>
    </w:rPr>
  </w:style>
  <w:style w:type="character" w:customStyle="1" w:styleId="20">
    <w:name w:val="標題 2 字元"/>
    <w:basedOn w:val="a0"/>
    <w:link w:val="2"/>
    <w:uiPriority w:val="9"/>
    <w:semiHidden/>
    <w:rsid w:val="004B35DC"/>
    <w:rPr>
      <w:rFonts w:asciiTheme="majorHAnsi" w:eastAsia="新細明體" w:hAnsiTheme="majorHAnsi" w:cstheme="majorBidi"/>
      <w:b/>
      <w:bCs/>
      <w:sz w:val="28"/>
      <w:szCs w:val="48"/>
    </w:rPr>
  </w:style>
  <w:style w:type="paragraph" w:customStyle="1" w:styleId="23">
    <w:name w:val="標題2"/>
    <w:basedOn w:val="a"/>
    <w:qFormat/>
    <w:rsid w:val="004B35DC"/>
    <w:pPr>
      <w:snapToGrid w:val="0"/>
      <w:outlineLvl w:val="1"/>
    </w:pPr>
    <w:rPr>
      <w:rFonts w:eastAsia="細明體" w:hAnsi="細明體"/>
      <w:b/>
      <w:bCs/>
      <w:noProof/>
      <w:kern w:val="52"/>
      <w:sz w:val="28"/>
      <w:szCs w:val="28"/>
    </w:rPr>
  </w:style>
  <w:style w:type="paragraph" w:customStyle="1" w:styleId="31">
    <w:name w:val="標題3"/>
    <w:basedOn w:val="a"/>
    <w:qFormat/>
    <w:rsid w:val="004B35DC"/>
    <w:pPr>
      <w:snapToGrid w:val="0"/>
      <w:outlineLvl w:val="2"/>
    </w:pPr>
    <w:rPr>
      <w:rFonts w:eastAsia="細明體" w:hAnsi="細明體"/>
      <w:b/>
      <w:bCs/>
      <w:kern w:val="52"/>
      <w:szCs w:val="24"/>
    </w:rPr>
  </w:style>
  <w:style w:type="paragraph" w:styleId="ae">
    <w:name w:val="TOC Heading"/>
    <w:basedOn w:val="10"/>
    <w:next w:val="a"/>
    <w:uiPriority w:val="39"/>
    <w:semiHidden/>
    <w:unhideWhenUsed/>
    <w:qFormat/>
    <w:rsid w:val="001C0B3E"/>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A04BC4"/>
    <w:pPr>
      <w:tabs>
        <w:tab w:val="left" w:pos="984"/>
        <w:tab w:val="right" w:leader="dot" w:pos="8680"/>
      </w:tabs>
    </w:pPr>
  </w:style>
  <w:style w:type="paragraph" w:styleId="24">
    <w:name w:val="toc 2"/>
    <w:basedOn w:val="a"/>
    <w:next w:val="a"/>
    <w:autoRedefine/>
    <w:uiPriority w:val="39"/>
    <w:unhideWhenUsed/>
    <w:rsid w:val="00FF3F51"/>
    <w:pPr>
      <w:tabs>
        <w:tab w:val="left" w:pos="1680"/>
        <w:tab w:val="left" w:pos="1843"/>
        <w:tab w:val="left" w:pos="2234"/>
        <w:tab w:val="right" w:leader="dot" w:pos="8680"/>
      </w:tabs>
      <w:ind w:leftChars="531" w:left="1689" w:hangingChars="173" w:hanging="415"/>
    </w:pPr>
  </w:style>
  <w:style w:type="paragraph" w:styleId="32">
    <w:name w:val="toc 3"/>
    <w:basedOn w:val="a"/>
    <w:next w:val="a"/>
    <w:autoRedefine/>
    <w:uiPriority w:val="39"/>
    <w:unhideWhenUsed/>
    <w:rsid w:val="004363CB"/>
    <w:pPr>
      <w:tabs>
        <w:tab w:val="left" w:pos="1843"/>
        <w:tab w:val="left" w:pos="2256"/>
        <w:tab w:val="right" w:leader="dot" w:pos="8680"/>
      </w:tabs>
      <w:ind w:leftChars="650" w:left="1560" w:firstLine="144"/>
    </w:pPr>
  </w:style>
  <w:style w:type="paragraph" w:styleId="af">
    <w:name w:val="header"/>
    <w:basedOn w:val="a"/>
    <w:link w:val="af0"/>
    <w:uiPriority w:val="99"/>
    <w:unhideWhenUsed/>
    <w:rsid w:val="00CE0B2F"/>
    <w:pPr>
      <w:tabs>
        <w:tab w:val="center" w:pos="4153"/>
        <w:tab w:val="right" w:pos="8306"/>
      </w:tabs>
      <w:snapToGrid w:val="0"/>
    </w:pPr>
    <w:rPr>
      <w:sz w:val="20"/>
    </w:rPr>
  </w:style>
  <w:style w:type="character" w:customStyle="1" w:styleId="af0">
    <w:name w:val="頁首 字元"/>
    <w:basedOn w:val="a0"/>
    <w:link w:val="af"/>
    <w:uiPriority w:val="99"/>
    <w:rsid w:val="00CE0B2F"/>
    <w:rPr>
      <w:rFonts w:ascii="Times New Roman" w:eastAsia="新細明體" w:hAnsi="Times New Roman" w:cs="Times New Roman"/>
      <w:sz w:val="20"/>
      <w:szCs w:val="20"/>
    </w:rPr>
  </w:style>
  <w:style w:type="paragraph" w:styleId="af1">
    <w:name w:val="footer"/>
    <w:basedOn w:val="a"/>
    <w:link w:val="af2"/>
    <w:uiPriority w:val="99"/>
    <w:unhideWhenUsed/>
    <w:rsid w:val="00CE0B2F"/>
    <w:pPr>
      <w:tabs>
        <w:tab w:val="center" w:pos="4153"/>
        <w:tab w:val="right" w:pos="8306"/>
      </w:tabs>
      <w:snapToGrid w:val="0"/>
    </w:pPr>
    <w:rPr>
      <w:sz w:val="20"/>
    </w:rPr>
  </w:style>
  <w:style w:type="character" w:customStyle="1" w:styleId="af2">
    <w:name w:val="頁尾 字元"/>
    <w:basedOn w:val="a0"/>
    <w:link w:val="af1"/>
    <w:uiPriority w:val="99"/>
    <w:rsid w:val="00CE0B2F"/>
    <w:rPr>
      <w:rFonts w:ascii="Times New Roman" w:eastAsia="新細明體" w:hAnsi="Times New Roman" w:cs="Times New Roman"/>
      <w:sz w:val="20"/>
      <w:szCs w:val="20"/>
    </w:rPr>
  </w:style>
  <w:style w:type="character" w:customStyle="1" w:styleId="30">
    <w:name w:val="標題 3 字元"/>
    <w:basedOn w:val="a0"/>
    <w:link w:val="3"/>
    <w:rsid w:val="00E2531C"/>
    <w:rPr>
      <w:rFonts w:ascii="Arial" w:eastAsia="新細明體" w:hAnsi="Arial" w:cs="Times New Roman"/>
      <w:b/>
      <w:bCs/>
      <w:sz w:val="36"/>
      <w:szCs w:val="36"/>
    </w:rPr>
  </w:style>
  <w:style w:type="paragraph" w:styleId="af3">
    <w:name w:val="Note Heading"/>
    <w:basedOn w:val="a"/>
    <w:next w:val="a"/>
    <w:link w:val="af4"/>
    <w:uiPriority w:val="99"/>
    <w:unhideWhenUsed/>
    <w:rsid w:val="00D1618E"/>
    <w:pPr>
      <w:jc w:val="center"/>
    </w:pPr>
    <w:rPr>
      <w:rFonts w:eastAsia="細明體" w:hAnsi="細明體"/>
      <w:b/>
      <w:bCs/>
      <w:kern w:val="52"/>
      <w:szCs w:val="24"/>
    </w:rPr>
  </w:style>
  <w:style w:type="character" w:customStyle="1" w:styleId="af4">
    <w:name w:val="註釋標題 字元"/>
    <w:basedOn w:val="a0"/>
    <w:link w:val="af3"/>
    <w:uiPriority w:val="99"/>
    <w:rsid w:val="00D1618E"/>
    <w:rPr>
      <w:rFonts w:ascii="Times New Roman" w:eastAsia="細明體" w:hAnsi="細明體" w:cs="Times New Roman"/>
      <w:b/>
      <w:bCs/>
      <w:kern w:val="52"/>
      <w:szCs w:val="24"/>
    </w:rPr>
  </w:style>
  <w:style w:type="paragraph" w:styleId="af5">
    <w:name w:val="Closing"/>
    <w:basedOn w:val="a"/>
    <w:link w:val="af6"/>
    <w:uiPriority w:val="99"/>
    <w:unhideWhenUsed/>
    <w:rsid w:val="00D1618E"/>
    <w:pPr>
      <w:ind w:leftChars="1800" w:left="100"/>
    </w:pPr>
    <w:rPr>
      <w:rFonts w:eastAsia="細明體" w:hAnsi="細明體"/>
      <w:b/>
      <w:bCs/>
      <w:kern w:val="52"/>
      <w:szCs w:val="24"/>
    </w:rPr>
  </w:style>
  <w:style w:type="character" w:customStyle="1" w:styleId="af6">
    <w:name w:val="結語 字元"/>
    <w:basedOn w:val="a0"/>
    <w:link w:val="af5"/>
    <w:uiPriority w:val="99"/>
    <w:rsid w:val="00D1618E"/>
    <w:rPr>
      <w:rFonts w:ascii="Times New Roman" w:eastAsia="細明體" w:hAnsi="細明體" w:cs="Times New Roman"/>
      <w:b/>
      <w:bCs/>
      <w:kern w:val="52"/>
      <w:szCs w:val="24"/>
    </w:rPr>
  </w:style>
  <w:style w:type="paragraph" w:styleId="af7">
    <w:name w:val="footnote text"/>
    <w:basedOn w:val="a"/>
    <w:link w:val="af8"/>
    <w:uiPriority w:val="99"/>
    <w:unhideWhenUsed/>
    <w:rsid w:val="003D4A48"/>
    <w:pPr>
      <w:snapToGrid w:val="0"/>
    </w:pPr>
    <w:rPr>
      <w:rFonts w:asciiTheme="minorHAnsi" w:eastAsiaTheme="minorEastAsia" w:hAnsiTheme="minorHAnsi" w:cstheme="minorBidi"/>
      <w:sz w:val="20"/>
    </w:rPr>
  </w:style>
  <w:style w:type="character" w:customStyle="1" w:styleId="af8">
    <w:name w:val="註腳文字 字元"/>
    <w:basedOn w:val="a0"/>
    <w:link w:val="af7"/>
    <w:uiPriority w:val="99"/>
    <w:rsid w:val="003D4A48"/>
    <w:rPr>
      <w:sz w:val="20"/>
      <w:szCs w:val="20"/>
    </w:rPr>
  </w:style>
  <w:style w:type="character" w:styleId="af9">
    <w:name w:val="footnote reference"/>
    <w:basedOn w:val="a0"/>
    <w:uiPriority w:val="99"/>
    <w:semiHidden/>
    <w:unhideWhenUsed/>
    <w:rsid w:val="003D4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9136">
      <w:bodyDiv w:val="1"/>
      <w:marLeft w:val="0"/>
      <w:marRight w:val="0"/>
      <w:marTop w:val="0"/>
      <w:marBottom w:val="0"/>
      <w:divBdr>
        <w:top w:val="none" w:sz="0" w:space="0" w:color="auto"/>
        <w:left w:val="none" w:sz="0" w:space="0" w:color="auto"/>
        <w:bottom w:val="none" w:sz="0" w:space="0" w:color="auto"/>
        <w:right w:val="none" w:sz="0" w:space="0" w:color="auto"/>
      </w:divBdr>
      <w:divsChild>
        <w:div w:id="793409757">
          <w:marLeft w:val="0"/>
          <w:marRight w:val="0"/>
          <w:marTop w:val="120"/>
          <w:marBottom w:val="0"/>
          <w:divBdr>
            <w:top w:val="none" w:sz="0" w:space="0" w:color="auto"/>
            <w:left w:val="none" w:sz="0" w:space="0" w:color="auto"/>
            <w:bottom w:val="none" w:sz="0" w:space="0" w:color="auto"/>
            <w:right w:val="none" w:sz="0" w:space="0" w:color="auto"/>
          </w:divBdr>
        </w:div>
        <w:div w:id="1755322611">
          <w:marLeft w:val="0"/>
          <w:marRight w:val="0"/>
          <w:marTop w:val="120"/>
          <w:marBottom w:val="0"/>
          <w:divBdr>
            <w:top w:val="none" w:sz="0" w:space="0" w:color="auto"/>
            <w:left w:val="none" w:sz="0" w:space="0" w:color="auto"/>
            <w:bottom w:val="none" w:sz="0" w:space="0" w:color="auto"/>
            <w:right w:val="none" w:sz="0" w:space="0" w:color="auto"/>
          </w:divBdr>
        </w:div>
        <w:div w:id="1054474385">
          <w:marLeft w:val="0"/>
          <w:marRight w:val="0"/>
          <w:marTop w:val="120"/>
          <w:marBottom w:val="0"/>
          <w:divBdr>
            <w:top w:val="none" w:sz="0" w:space="0" w:color="auto"/>
            <w:left w:val="none" w:sz="0" w:space="0" w:color="auto"/>
            <w:bottom w:val="none" w:sz="0" w:space="0" w:color="auto"/>
            <w:right w:val="none" w:sz="0" w:space="0" w:color="auto"/>
          </w:divBdr>
        </w:div>
        <w:div w:id="1274628602">
          <w:marLeft w:val="0"/>
          <w:marRight w:val="0"/>
          <w:marTop w:val="120"/>
          <w:marBottom w:val="0"/>
          <w:divBdr>
            <w:top w:val="none" w:sz="0" w:space="0" w:color="auto"/>
            <w:left w:val="none" w:sz="0" w:space="0" w:color="auto"/>
            <w:bottom w:val="none" w:sz="0" w:space="0" w:color="auto"/>
            <w:right w:val="none" w:sz="0" w:space="0" w:color="auto"/>
          </w:divBdr>
        </w:div>
      </w:divsChild>
    </w:div>
    <w:div w:id="1320114655">
      <w:bodyDiv w:val="1"/>
      <w:marLeft w:val="0"/>
      <w:marRight w:val="0"/>
      <w:marTop w:val="0"/>
      <w:marBottom w:val="0"/>
      <w:divBdr>
        <w:top w:val="none" w:sz="0" w:space="0" w:color="auto"/>
        <w:left w:val="none" w:sz="0" w:space="0" w:color="auto"/>
        <w:bottom w:val="none" w:sz="0" w:space="0" w:color="auto"/>
        <w:right w:val="none" w:sz="0" w:space="0" w:color="auto"/>
      </w:divBdr>
      <w:divsChild>
        <w:div w:id="763385174">
          <w:marLeft w:val="0"/>
          <w:marRight w:val="0"/>
          <w:marTop w:val="120"/>
          <w:marBottom w:val="0"/>
          <w:divBdr>
            <w:top w:val="none" w:sz="0" w:space="0" w:color="auto"/>
            <w:left w:val="none" w:sz="0" w:space="0" w:color="auto"/>
            <w:bottom w:val="none" w:sz="0" w:space="0" w:color="auto"/>
            <w:right w:val="none" w:sz="0" w:space="0" w:color="auto"/>
          </w:divBdr>
        </w:div>
        <w:div w:id="1950887859">
          <w:marLeft w:val="0"/>
          <w:marRight w:val="0"/>
          <w:marTop w:val="120"/>
          <w:marBottom w:val="0"/>
          <w:divBdr>
            <w:top w:val="none" w:sz="0" w:space="0" w:color="auto"/>
            <w:left w:val="none" w:sz="0" w:space="0" w:color="auto"/>
            <w:bottom w:val="none" w:sz="0" w:space="0" w:color="auto"/>
            <w:right w:val="none" w:sz="0" w:space="0" w:color="auto"/>
          </w:divBdr>
        </w:div>
        <w:div w:id="1993832634">
          <w:marLeft w:val="0"/>
          <w:marRight w:val="0"/>
          <w:marTop w:val="120"/>
          <w:marBottom w:val="0"/>
          <w:divBdr>
            <w:top w:val="none" w:sz="0" w:space="0" w:color="auto"/>
            <w:left w:val="none" w:sz="0" w:space="0" w:color="auto"/>
            <w:bottom w:val="none" w:sz="0" w:space="0" w:color="auto"/>
            <w:right w:val="none" w:sz="0" w:space="0" w:color="auto"/>
          </w:divBdr>
        </w:div>
        <w:div w:id="61907255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fa.org.h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ci.gov.hk/chi/about/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kma.gov.hk/chi/index.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0EA69-6E87-49F1-ABF6-82BDEB8B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洪麗婷liting</dc:creator>
  <cp:lastModifiedBy>李明機mglee</cp:lastModifiedBy>
  <cp:revision>3</cp:revision>
  <cp:lastPrinted>2015-01-08T06:53:00Z</cp:lastPrinted>
  <dcterms:created xsi:type="dcterms:W3CDTF">2015-01-19T04:09:00Z</dcterms:created>
  <dcterms:modified xsi:type="dcterms:W3CDTF">2015-01-19T06:27:00Z</dcterms:modified>
</cp:coreProperties>
</file>