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2407" w:rsidRDefault="00A22407" w:rsidP="00A22407">
      <w:pPr>
        <w:pStyle w:val="10"/>
        <w:spacing w:line="400" w:lineRule="exact"/>
      </w:pPr>
      <w:bookmarkStart w:id="0" w:name="_Toc407444931"/>
      <w:bookmarkStart w:id="1" w:name="_Toc408301467"/>
      <w:r w:rsidRPr="002E2BD2">
        <w:rPr>
          <w:rFonts w:hint="eastAsia"/>
        </w:rPr>
        <w:t>附錄一</w:t>
      </w:r>
      <w:r w:rsidRPr="002E2BD2">
        <w:rPr>
          <w:rFonts w:hint="eastAsia"/>
        </w:rPr>
        <w:t xml:space="preserve"> </w:t>
      </w:r>
      <w:r>
        <w:rPr>
          <w:rFonts w:hint="eastAsia"/>
        </w:rPr>
        <w:t xml:space="preserve"> </w:t>
      </w:r>
      <w:r>
        <w:rPr>
          <w:rFonts w:hint="eastAsia"/>
        </w:rPr>
        <w:t>香港證監會組織</w:t>
      </w:r>
      <w:bookmarkEnd w:id="0"/>
      <w:bookmarkEnd w:id="1"/>
    </w:p>
    <w:p w:rsidR="00A22407" w:rsidRPr="00A22407" w:rsidRDefault="00A22407" w:rsidP="00A22407">
      <w:pPr>
        <w:rPr>
          <w:b/>
          <w:sz w:val="26"/>
          <w:szCs w:val="26"/>
        </w:rPr>
      </w:pPr>
      <w:r w:rsidRPr="00A22407">
        <w:rPr>
          <w:rFonts w:hint="eastAsia"/>
          <w:b/>
          <w:sz w:val="26"/>
          <w:szCs w:val="26"/>
        </w:rPr>
        <w:t>董事局</w:t>
      </w:r>
    </w:p>
    <w:p w:rsidR="00A22407" w:rsidRDefault="00A22407" w:rsidP="00D87576">
      <w:pPr>
        <w:spacing w:line="400" w:lineRule="exact"/>
        <w:rPr>
          <w:rFonts w:ascii="Verdana" w:hAnsi="Verdana"/>
          <w:color w:val="222222"/>
        </w:rPr>
      </w:pPr>
      <w:r w:rsidRPr="00E506EB">
        <w:rPr>
          <w:rFonts w:ascii="Verdana" w:hAnsi="Verdana"/>
          <w:color w:val="222222"/>
        </w:rPr>
        <w:t>《證券及期貨條例》已訂明董事局的組成和程序。董事局負責制訂證監會的整體方向，並向高層管理人員提供策略性指引。董事局由本會非執行主席、行政總裁、多名執行董事及非執行董事組成。</w:t>
      </w:r>
    </w:p>
    <w:p w:rsidR="00A22407" w:rsidRPr="00940669" w:rsidRDefault="00A22407" w:rsidP="00D87576">
      <w:pPr>
        <w:spacing w:line="400" w:lineRule="exact"/>
        <w:rPr>
          <w:rFonts w:ascii="Verdana" w:hAnsi="Verdana"/>
          <w:color w:val="222222"/>
          <w:kern w:val="0"/>
          <w:szCs w:val="24"/>
        </w:rPr>
      </w:pPr>
      <w:r w:rsidRPr="00E506EB">
        <w:rPr>
          <w:rFonts w:ascii="Verdana" w:hAnsi="Verdana"/>
          <w:color w:val="222222"/>
        </w:rPr>
        <w:t>董事局成員全部由香港特區行政長官授權財政司司長委任，均有固定任期。大部分成員為非執行董事。</w:t>
      </w:r>
    </w:p>
    <w:tbl>
      <w:tblPr>
        <w:tblW w:w="8822" w:type="dxa"/>
        <w:jc w:val="center"/>
        <w:tblInd w:w="17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6"/>
        <w:gridCol w:w="6476"/>
      </w:tblGrid>
      <w:tr w:rsidR="00A22407" w:rsidRPr="000B1136" w:rsidTr="00A22407">
        <w:trPr>
          <w:cantSplit/>
          <w:trHeight w:val="535"/>
          <w:jc w:val="center"/>
        </w:trPr>
        <w:tc>
          <w:tcPr>
            <w:tcW w:w="2303" w:type="dxa"/>
            <w:shd w:val="clear" w:color="auto" w:fill="auto"/>
            <w:vAlign w:val="center"/>
          </w:tcPr>
          <w:p w:rsidR="00A22407" w:rsidRPr="000B1136" w:rsidRDefault="00A22407" w:rsidP="00A22407">
            <w:pPr>
              <w:jc w:val="center"/>
              <w:rPr>
                <w:rFonts w:ascii="標楷體" w:eastAsia="標楷體" w:hAnsi="標楷體"/>
                <w:b/>
                <w:bCs/>
                <w:sz w:val="26"/>
                <w:szCs w:val="26"/>
              </w:rPr>
            </w:pPr>
            <w:r w:rsidRPr="000B1136">
              <w:rPr>
                <w:rFonts w:ascii="標楷體" w:eastAsia="標楷體" w:hAnsi="標楷體"/>
                <w:b/>
                <w:bCs/>
                <w:sz w:val="26"/>
                <w:szCs w:val="26"/>
              </w:rPr>
              <w:t>證監會重要人員</w:t>
            </w:r>
          </w:p>
        </w:tc>
        <w:tc>
          <w:tcPr>
            <w:tcW w:w="6519" w:type="dxa"/>
            <w:shd w:val="clear" w:color="auto" w:fill="auto"/>
            <w:vAlign w:val="center"/>
          </w:tcPr>
          <w:p w:rsidR="00A22407" w:rsidRPr="000B1136" w:rsidRDefault="00A22407" w:rsidP="00A22407">
            <w:pPr>
              <w:jc w:val="center"/>
              <w:rPr>
                <w:rFonts w:ascii="標楷體" w:eastAsia="標楷體" w:hAnsi="標楷體"/>
                <w:b/>
                <w:bCs/>
                <w:sz w:val="26"/>
                <w:szCs w:val="26"/>
              </w:rPr>
            </w:pPr>
            <w:r w:rsidRPr="000B1136">
              <w:rPr>
                <w:rFonts w:ascii="標楷體" w:eastAsia="標楷體" w:hAnsi="標楷體"/>
                <w:b/>
                <w:bCs/>
                <w:sz w:val="26"/>
                <w:szCs w:val="26"/>
              </w:rPr>
              <w:t>簡介</w:t>
            </w:r>
          </w:p>
        </w:tc>
      </w:tr>
      <w:tr w:rsidR="00A22407" w:rsidRPr="000B1136" w:rsidTr="00A22407">
        <w:trPr>
          <w:cantSplit/>
          <w:trHeight w:val="5270"/>
          <w:jc w:val="center"/>
        </w:trPr>
        <w:tc>
          <w:tcPr>
            <w:tcW w:w="2303" w:type="dxa"/>
            <w:shd w:val="clear" w:color="auto" w:fill="auto"/>
            <w:vAlign w:val="center"/>
          </w:tcPr>
          <w:p w:rsidR="00A22407" w:rsidRDefault="00A22407" w:rsidP="00A22407">
            <w:pPr>
              <w:jc w:val="center"/>
              <w:rPr>
                <w:rFonts w:ascii="Verdana" w:hAnsi="Verdana"/>
                <w:color w:val="000000"/>
                <w:sz w:val="15"/>
                <w:szCs w:val="15"/>
              </w:rPr>
            </w:pPr>
            <w:r>
              <w:rPr>
                <w:rFonts w:ascii="Verdana" w:hAnsi="Verdana"/>
                <w:noProof/>
                <w:color w:val="000000"/>
                <w:sz w:val="15"/>
                <w:szCs w:val="15"/>
              </w:rPr>
              <w:drawing>
                <wp:inline distT="0" distB="0" distL="0" distR="0" wp14:anchorId="4EB466A0" wp14:editId="79D1DA9E">
                  <wp:extent cx="1327785" cy="1578610"/>
                  <wp:effectExtent l="0" t="0" r="5715" b="2540"/>
                  <wp:docPr id="19" name="圖片 19" descr="唐家成，J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唐家成，J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27785" cy="1578610"/>
                          </a:xfrm>
                          <a:prstGeom prst="rect">
                            <a:avLst/>
                          </a:prstGeom>
                          <a:noFill/>
                          <a:ln>
                            <a:noFill/>
                          </a:ln>
                        </pic:spPr>
                      </pic:pic>
                    </a:graphicData>
                  </a:graphic>
                </wp:inline>
              </w:drawing>
            </w:r>
          </w:p>
          <w:p w:rsidR="00A22407" w:rsidRPr="00D21AD5" w:rsidRDefault="00A22407" w:rsidP="00A22407">
            <w:pPr>
              <w:jc w:val="center"/>
              <w:rPr>
                <w:rFonts w:ascii="新細明體" w:hAnsi="新細明體"/>
                <w:bCs/>
                <w:szCs w:val="24"/>
              </w:rPr>
            </w:pPr>
            <w:r w:rsidRPr="00D21AD5">
              <w:rPr>
                <w:rFonts w:ascii="新細明體" w:hAnsi="新細明體" w:hint="eastAsia"/>
                <w:bCs/>
                <w:szCs w:val="24"/>
              </w:rPr>
              <w:t>唐家成</w:t>
            </w:r>
          </w:p>
          <w:p w:rsidR="00A22407" w:rsidRPr="000B1136" w:rsidRDefault="00A22407" w:rsidP="00A22407">
            <w:pPr>
              <w:jc w:val="center"/>
              <w:rPr>
                <w:rFonts w:eastAsia="細明體"/>
                <w:szCs w:val="24"/>
              </w:rPr>
            </w:pPr>
            <w:r w:rsidRPr="00D21AD5">
              <w:rPr>
                <w:rFonts w:ascii="新細明體" w:hAnsi="新細明體"/>
                <w:bCs/>
                <w:szCs w:val="24"/>
              </w:rPr>
              <w:t>證監會主席</w:t>
            </w:r>
          </w:p>
        </w:tc>
        <w:tc>
          <w:tcPr>
            <w:tcW w:w="6519" w:type="dxa"/>
            <w:shd w:val="clear" w:color="auto" w:fill="auto"/>
            <w:vAlign w:val="center"/>
          </w:tcPr>
          <w:p w:rsidR="00A22407" w:rsidRPr="00D21AD5" w:rsidRDefault="00A22407" w:rsidP="00A22407">
            <w:pPr>
              <w:numPr>
                <w:ilvl w:val="0"/>
                <w:numId w:val="12"/>
              </w:numPr>
              <w:spacing w:line="420" w:lineRule="exact"/>
              <w:ind w:left="476" w:hanging="283"/>
              <w:jc w:val="both"/>
              <w:rPr>
                <w:rFonts w:ascii="新細明體" w:hAnsi="新細明體"/>
                <w:bCs/>
                <w:szCs w:val="24"/>
              </w:rPr>
            </w:pPr>
            <w:r w:rsidRPr="00D21AD5">
              <w:rPr>
                <w:rFonts w:ascii="新細明體" w:hAnsi="新細明體"/>
                <w:bCs/>
                <w:szCs w:val="24"/>
              </w:rPr>
              <w:t>任期由</w:t>
            </w:r>
            <w:r w:rsidRPr="00D21AD5">
              <w:rPr>
                <w:rFonts w:ascii="新細明體" w:hAnsi="新細明體" w:hint="eastAsia"/>
                <w:bCs/>
                <w:szCs w:val="24"/>
              </w:rPr>
              <w:t xml:space="preserve"> 2012年10月20日起</w:t>
            </w:r>
            <w:r w:rsidRPr="00D21AD5">
              <w:rPr>
                <w:rFonts w:ascii="新細明體" w:hAnsi="新細明體"/>
                <w:bCs/>
                <w:szCs w:val="24"/>
              </w:rPr>
              <w:t>(目前任期至</w:t>
            </w:r>
            <w:r w:rsidRPr="00D21AD5">
              <w:rPr>
                <w:rFonts w:ascii="新細明體" w:hAnsi="新細明體" w:hint="eastAsia"/>
                <w:bCs/>
                <w:szCs w:val="24"/>
              </w:rPr>
              <w:t>2015年10月19</w:t>
            </w:r>
            <w:r w:rsidRPr="00D21AD5">
              <w:rPr>
                <w:rFonts w:ascii="新細明體" w:hAnsi="新細明體"/>
                <w:bCs/>
                <w:szCs w:val="24"/>
              </w:rPr>
              <w:t>日止)</w:t>
            </w:r>
            <w:r w:rsidRPr="00D21AD5">
              <w:rPr>
                <w:rFonts w:ascii="新細明體" w:hAnsi="新細明體" w:hint="eastAsia"/>
                <w:bCs/>
                <w:szCs w:val="24"/>
              </w:rPr>
              <w:t>。</w:t>
            </w:r>
          </w:p>
          <w:p w:rsidR="00A22407" w:rsidRPr="00D21AD5" w:rsidRDefault="00A22407" w:rsidP="00A22407">
            <w:pPr>
              <w:numPr>
                <w:ilvl w:val="0"/>
                <w:numId w:val="12"/>
              </w:numPr>
              <w:spacing w:line="420" w:lineRule="exact"/>
              <w:ind w:left="495" w:hanging="284"/>
              <w:jc w:val="both"/>
              <w:rPr>
                <w:rFonts w:ascii="新細明體" w:hAnsi="新細明體"/>
                <w:bCs/>
                <w:szCs w:val="24"/>
              </w:rPr>
            </w:pPr>
            <w:r w:rsidRPr="00D21AD5">
              <w:rPr>
                <w:rFonts w:ascii="新細明體" w:hAnsi="新細明體"/>
                <w:color w:val="222222"/>
                <w:szCs w:val="24"/>
              </w:rPr>
              <w:t>在加入證監會前，唐先生一直積極參與證券期貨市場的監管工作。他</w:t>
            </w:r>
            <w:r w:rsidRPr="00D21AD5">
              <w:rPr>
                <w:rFonts w:ascii="新細明體" w:hAnsi="新細明體" w:hint="eastAsia"/>
                <w:color w:val="222222"/>
                <w:szCs w:val="24"/>
              </w:rPr>
              <w:t>於</w:t>
            </w:r>
            <w:r w:rsidRPr="00D21AD5">
              <w:rPr>
                <w:rFonts w:ascii="新細明體" w:hAnsi="新細明體"/>
                <w:color w:val="222222"/>
                <w:szCs w:val="24"/>
              </w:rPr>
              <w:t>2002至2006年出任香港聯合交易所有限公司主板及創業板上市委員會成員，並於2004至2006年擔任該委員會的主席。2001至2009年期間，他曾出任證監會收購及合併委員會委員，並在2002至2008年兼任雙重存檔事宜顧問小組委員。他於2001至2008年擔任香港會計師公會理事會成員，並在2006年成為該公會的副會長。</w:t>
            </w:r>
          </w:p>
          <w:p w:rsidR="00A22407" w:rsidRPr="00D21AD5" w:rsidRDefault="00A22407" w:rsidP="00A22407">
            <w:pPr>
              <w:numPr>
                <w:ilvl w:val="0"/>
                <w:numId w:val="12"/>
              </w:numPr>
              <w:spacing w:line="420" w:lineRule="exact"/>
              <w:ind w:left="495" w:hanging="284"/>
              <w:jc w:val="both"/>
              <w:rPr>
                <w:rFonts w:ascii="新細明體" w:hAnsi="新細明體"/>
                <w:bCs/>
                <w:szCs w:val="24"/>
              </w:rPr>
            </w:pPr>
            <w:r w:rsidRPr="00D21AD5">
              <w:rPr>
                <w:rFonts w:ascii="新細明體" w:hAnsi="新細明體"/>
                <w:color w:val="222222"/>
                <w:szCs w:val="24"/>
              </w:rPr>
              <w:t>唐先生是證監會投資委員會及諮詢委員會主席，同時擔任提名委員會、薪酬委員會及證監會（香港交易所上市）上訴委員會委員。</w:t>
            </w:r>
          </w:p>
        </w:tc>
      </w:tr>
      <w:tr w:rsidR="00A22407" w:rsidRPr="000B1136" w:rsidTr="00A22407">
        <w:trPr>
          <w:cantSplit/>
          <w:trHeight w:val="4807"/>
          <w:jc w:val="center"/>
        </w:trPr>
        <w:tc>
          <w:tcPr>
            <w:tcW w:w="2303" w:type="dxa"/>
            <w:shd w:val="clear" w:color="auto" w:fill="auto"/>
            <w:vAlign w:val="center"/>
          </w:tcPr>
          <w:p w:rsidR="00A22407" w:rsidRDefault="00A22407" w:rsidP="00A22407">
            <w:pPr>
              <w:jc w:val="center"/>
            </w:pPr>
            <w:r>
              <w:rPr>
                <w:noProof/>
              </w:rPr>
              <w:drawing>
                <wp:inline distT="0" distB="0" distL="0" distR="0" wp14:anchorId="02BCDF15" wp14:editId="22C6C986">
                  <wp:extent cx="1327785" cy="1578610"/>
                  <wp:effectExtent l="0" t="0" r="5715" b="2540"/>
                  <wp:docPr id="20" name="圖片 20" descr="歐達禮 (ALDER，Ashley Ian)，J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歐達禮 (ALDER，Ashley Ian)，J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7785" cy="1578610"/>
                          </a:xfrm>
                          <a:prstGeom prst="rect">
                            <a:avLst/>
                          </a:prstGeom>
                          <a:noFill/>
                          <a:ln>
                            <a:noFill/>
                          </a:ln>
                        </pic:spPr>
                      </pic:pic>
                    </a:graphicData>
                  </a:graphic>
                </wp:inline>
              </w:drawing>
            </w:r>
          </w:p>
          <w:p w:rsidR="00A22407" w:rsidRPr="00D21AD5" w:rsidRDefault="00A22407" w:rsidP="00A22407">
            <w:pPr>
              <w:jc w:val="center"/>
              <w:rPr>
                <w:rFonts w:ascii="新細明體" w:hAnsi="新細明體"/>
                <w:bCs/>
                <w:szCs w:val="24"/>
              </w:rPr>
            </w:pPr>
            <w:r w:rsidRPr="00D21AD5">
              <w:rPr>
                <w:rFonts w:ascii="新細明體" w:hAnsi="新細明體" w:hint="eastAsia"/>
                <w:bCs/>
                <w:szCs w:val="24"/>
              </w:rPr>
              <w:t>歐達禮(ALDER，Ashley Ian)</w:t>
            </w:r>
          </w:p>
          <w:p w:rsidR="00A22407" w:rsidRPr="000B1136" w:rsidRDefault="00A22407" w:rsidP="00A22407">
            <w:pPr>
              <w:jc w:val="center"/>
              <w:rPr>
                <w:rFonts w:eastAsia="細明體"/>
                <w:szCs w:val="24"/>
              </w:rPr>
            </w:pPr>
            <w:r w:rsidRPr="00D21AD5">
              <w:rPr>
                <w:rFonts w:ascii="新細明體" w:hAnsi="新細明體"/>
                <w:bCs/>
                <w:szCs w:val="24"/>
              </w:rPr>
              <w:t>證監會行政總裁</w:t>
            </w:r>
          </w:p>
        </w:tc>
        <w:tc>
          <w:tcPr>
            <w:tcW w:w="6519" w:type="dxa"/>
            <w:shd w:val="clear" w:color="auto" w:fill="auto"/>
            <w:vAlign w:val="center"/>
          </w:tcPr>
          <w:p w:rsidR="00A22407" w:rsidRPr="00D21AD5" w:rsidRDefault="00A22407" w:rsidP="00A22407">
            <w:pPr>
              <w:numPr>
                <w:ilvl w:val="0"/>
                <w:numId w:val="13"/>
              </w:numPr>
              <w:spacing w:line="420" w:lineRule="exact"/>
              <w:ind w:left="420" w:hanging="284"/>
              <w:jc w:val="both"/>
              <w:rPr>
                <w:rFonts w:ascii="新細明體" w:hAnsi="新細明體"/>
                <w:bCs/>
                <w:szCs w:val="24"/>
              </w:rPr>
            </w:pPr>
            <w:r w:rsidRPr="00D21AD5">
              <w:rPr>
                <w:rFonts w:ascii="新細明體" w:hAnsi="新細明體"/>
                <w:bCs/>
                <w:szCs w:val="24"/>
              </w:rPr>
              <w:t>任期由</w:t>
            </w:r>
            <w:r w:rsidRPr="00D21AD5">
              <w:rPr>
                <w:rFonts w:ascii="新細明體" w:hAnsi="新細明體" w:hint="eastAsia"/>
                <w:bCs/>
                <w:szCs w:val="24"/>
              </w:rPr>
              <w:t>2011年10月 1日</w:t>
            </w:r>
            <w:r w:rsidRPr="00D21AD5">
              <w:rPr>
                <w:rFonts w:ascii="新細明體" w:hAnsi="新細明體"/>
                <w:bCs/>
                <w:szCs w:val="24"/>
              </w:rPr>
              <w:t>起(目前任期至</w:t>
            </w:r>
            <w:r w:rsidRPr="00D21AD5">
              <w:rPr>
                <w:rFonts w:ascii="新細明體" w:hAnsi="新細明體" w:hint="eastAsia"/>
                <w:bCs/>
                <w:szCs w:val="24"/>
              </w:rPr>
              <w:t>2017年9月30日</w:t>
            </w:r>
            <w:r w:rsidRPr="00D21AD5">
              <w:rPr>
                <w:rFonts w:ascii="新細明體" w:hAnsi="新細明體"/>
                <w:bCs/>
                <w:szCs w:val="24"/>
              </w:rPr>
              <w:t>止)</w:t>
            </w:r>
            <w:r w:rsidRPr="00D21AD5">
              <w:rPr>
                <w:rFonts w:ascii="新細明體" w:hAnsi="新細明體" w:hint="eastAsia"/>
                <w:bCs/>
                <w:szCs w:val="24"/>
              </w:rPr>
              <w:t>。</w:t>
            </w:r>
          </w:p>
          <w:p w:rsidR="00A22407" w:rsidRPr="00D21AD5" w:rsidRDefault="00A22407" w:rsidP="00A22407">
            <w:pPr>
              <w:numPr>
                <w:ilvl w:val="0"/>
                <w:numId w:val="13"/>
              </w:numPr>
              <w:spacing w:line="420" w:lineRule="exact"/>
              <w:ind w:left="420" w:hanging="284"/>
              <w:jc w:val="both"/>
              <w:rPr>
                <w:rFonts w:ascii="新細明體" w:hAnsi="新細明體"/>
                <w:szCs w:val="24"/>
              </w:rPr>
            </w:pPr>
            <w:r w:rsidRPr="00D21AD5">
              <w:rPr>
                <w:rFonts w:ascii="新細明體" w:hAnsi="新細明體" w:hint="eastAsia"/>
                <w:bCs/>
                <w:szCs w:val="24"/>
              </w:rPr>
              <w:t>歐達禮先生曾於2001年至2004年效力證監會，出任企業融資部執行董事，期間與立法會緊密合作，協助處理《證券及期貨條例》的立法工作。嗣後歐達禮先生負責監督雙重存檔制度的實施情況，並參與政府建議加強上市監管制度的諮詢工作，同時積極參與制訂多項重要的政策措施，包括釐定保薦人及獨立財務顧問的監管準則、修訂《上市規則》及提升企業管治標準。此外，歐達禮先生提出招股章程制度的改革方案，令香港的股份及債權證首次公開發售制度更切合市場需要。</w:t>
            </w:r>
          </w:p>
        </w:tc>
      </w:tr>
      <w:tr w:rsidR="00A22407" w:rsidRPr="000B1136" w:rsidTr="00A22407">
        <w:trPr>
          <w:cantSplit/>
          <w:trHeight w:val="9340"/>
          <w:jc w:val="center"/>
        </w:trPr>
        <w:tc>
          <w:tcPr>
            <w:tcW w:w="2303" w:type="dxa"/>
            <w:shd w:val="clear" w:color="auto" w:fill="auto"/>
            <w:vAlign w:val="center"/>
          </w:tcPr>
          <w:p w:rsidR="00A22407" w:rsidRDefault="00A22407" w:rsidP="00A22407">
            <w:pPr>
              <w:jc w:val="center"/>
            </w:pPr>
            <w:r>
              <w:rPr>
                <w:noProof/>
              </w:rPr>
              <w:lastRenderedPageBreak/>
              <w:drawing>
                <wp:inline distT="0" distB="0" distL="0" distR="0" wp14:anchorId="3F2DE98E" wp14:editId="5F65CF31">
                  <wp:extent cx="1327785" cy="1578610"/>
                  <wp:effectExtent l="0" t="0" r="5715" b="2540"/>
                  <wp:docPr id="21" name="圖片 21" descr="張灼華，J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張灼華，J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7785" cy="1578610"/>
                          </a:xfrm>
                          <a:prstGeom prst="rect">
                            <a:avLst/>
                          </a:prstGeom>
                          <a:noFill/>
                          <a:ln>
                            <a:noFill/>
                          </a:ln>
                        </pic:spPr>
                      </pic:pic>
                    </a:graphicData>
                  </a:graphic>
                </wp:inline>
              </w:drawing>
            </w:r>
          </w:p>
          <w:p w:rsidR="00A22407" w:rsidRPr="00D21AD5" w:rsidRDefault="00A22407" w:rsidP="00A22407">
            <w:pPr>
              <w:jc w:val="center"/>
              <w:rPr>
                <w:rFonts w:ascii="新細明體" w:hAnsi="新細明體"/>
                <w:bCs/>
                <w:szCs w:val="24"/>
              </w:rPr>
            </w:pPr>
            <w:r w:rsidRPr="00D21AD5">
              <w:rPr>
                <w:rFonts w:ascii="新細明體" w:hAnsi="新細明體"/>
                <w:bCs/>
                <w:szCs w:val="24"/>
              </w:rPr>
              <w:t>張灼華女士</w:t>
            </w:r>
          </w:p>
          <w:p w:rsidR="00A22407" w:rsidRPr="00D21AD5" w:rsidRDefault="00A22407" w:rsidP="00A22407">
            <w:pPr>
              <w:jc w:val="center"/>
              <w:rPr>
                <w:rFonts w:ascii="新細明體" w:hAnsi="新細明體"/>
                <w:bCs/>
                <w:szCs w:val="24"/>
              </w:rPr>
            </w:pPr>
            <w:r w:rsidRPr="00D21AD5">
              <w:rPr>
                <w:rFonts w:ascii="新細明體" w:hAnsi="新細明體"/>
                <w:bCs/>
                <w:szCs w:val="24"/>
              </w:rPr>
              <w:t>證監會副行政總裁</w:t>
            </w:r>
            <w:r w:rsidRPr="00D21AD5">
              <w:rPr>
                <w:rFonts w:ascii="新細明體" w:hAnsi="新細明體" w:hint="eastAsia"/>
                <w:bCs/>
                <w:szCs w:val="24"/>
              </w:rPr>
              <w:t>及</w:t>
            </w:r>
          </w:p>
          <w:p w:rsidR="00A22407" w:rsidRPr="000B1136" w:rsidRDefault="00A22407" w:rsidP="00A22407">
            <w:pPr>
              <w:jc w:val="center"/>
              <w:rPr>
                <w:rFonts w:eastAsia="細明體"/>
                <w:szCs w:val="24"/>
              </w:rPr>
            </w:pPr>
            <w:r w:rsidRPr="00D21AD5">
              <w:rPr>
                <w:rFonts w:ascii="新細明體" w:hAnsi="新細明體"/>
                <w:bCs/>
                <w:szCs w:val="24"/>
              </w:rPr>
              <w:t>投資産品部和國際及中國事務執行董事</w:t>
            </w:r>
          </w:p>
        </w:tc>
        <w:tc>
          <w:tcPr>
            <w:tcW w:w="6519" w:type="dxa"/>
            <w:shd w:val="clear" w:color="auto" w:fill="auto"/>
            <w:vAlign w:val="center"/>
          </w:tcPr>
          <w:p w:rsidR="00A22407" w:rsidRPr="00D21AD5" w:rsidRDefault="00A22407" w:rsidP="00A22407">
            <w:pPr>
              <w:numPr>
                <w:ilvl w:val="0"/>
                <w:numId w:val="14"/>
              </w:numPr>
              <w:spacing w:line="440" w:lineRule="exact"/>
              <w:ind w:hanging="704"/>
              <w:jc w:val="both"/>
              <w:rPr>
                <w:rFonts w:ascii="新細明體" w:hAnsi="新細明體"/>
                <w:bCs/>
                <w:szCs w:val="24"/>
              </w:rPr>
            </w:pPr>
            <w:r w:rsidRPr="00D21AD5">
              <w:rPr>
                <w:rFonts w:ascii="新細明體" w:hAnsi="新細明體"/>
                <w:bCs/>
                <w:szCs w:val="24"/>
              </w:rPr>
              <w:t>任期由2001年12日1日起(目前任期至</w:t>
            </w:r>
            <w:r w:rsidRPr="00D21AD5">
              <w:rPr>
                <w:rFonts w:ascii="新細明體" w:hAnsi="新細明體" w:hint="eastAsia"/>
                <w:bCs/>
                <w:szCs w:val="24"/>
              </w:rPr>
              <w:t>2015年2月28日</w:t>
            </w:r>
            <w:r w:rsidRPr="00D21AD5">
              <w:rPr>
                <w:rFonts w:ascii="新細明體" w:hAnsi="新細明體"/>
                <w:bCs/>
                <w:szCs w:val="24"/>
              </w:rPr>
              <w:t>止)</w:t>
            </w:r>
          </w:p>
          <w:p w:rsidR="00A22407" w:rsidRPr="00D21AD5" w:rsidRDefault="00A22407" w:rsidP="00A22407">
            <w:pPr>
              <w:numPr>
                <w:ilvl w:val="0"/>
                <w:numId w:val="14"/>
              </w:numPr>
              <w:spacing w:line="440" w:lineRule="exact"/>
              <w:ind w:left="561" w:hanging="425"/>
              <w:jc w:val="both"/>
              <w:rPr>
                <w:rFonts w:ascii="新細明體" w:hAnsi="新細明體"/>
                <w:bCs/>
                <w:szCs w:val="24"/>
              </w:rPr>
            </w:pPr>
            <w:r w:rsidRPr="00D21AD5">
              <w:rPr>
                <w:rFonts w:ascii="新細明體" w:hAnsi="新細明體"/>
                <w:bCs/>
                <w:szCs w:val="24"/>
              </w:rPr>
              <w:t>張灼華女士現任證券及期貨事務監察委員會（證監會）副行政總裁，亦是證監會投資産品部和國際及中國事務的執行董事，其職責包括監管香港零售投資産品市場、制訂證監會在國際事務方面的政策，以及推廣中國內地和香港的市場發展。</w:t>
            </w:r>
          </w:p>
          <w:p w:rsidR="00A22407" w:rsidRPr="00D21AD5" w:rsidRDefault="00A22407" w:rsidP="00A22407">
            <w:pPr>
              <w:numPr>
                <w:ilvl w:val="0"/>
                <w:numId w:val="14"/>
              </w:numPr>
              <w:spacing w:line="440" w:lineRule="exact"/>
              <w:ind w:hanging="704"/>
              <w:jc w:val="both"/>
              <w:rPr>
                <w:rFonts w:ascii="新細明體" w:hAnsi="新細明體"/>
                <w:bCs/>
                <w:szCs w:val="24"/>
              </w:rPr>
            </w:pPr>
            <w:r w:rsidRPr="00D21AD5">
              <w:rPr>
                <w:rFonts w:ascii="新細明體" w:hAnsi="新細明體"/>
                <w:bCs/>
                <w:szCs w:val="24"/>
              </w:rPr>
              <w:t>由張灼華女士領導推行的主要舉措包括：</w:t>
            </w:r>
          </w:p>
          <w:p w:rsidR="00A22407" w:rsidRPr="00D21AD5" w:rsidRDefault="00A22407" w:rsidP="00A22407">
            <w:pPr>
              <w:widowControl/>
              <w:numPr>
                <w:ilvl w:val="0"/>
                <w:numId w:val="19"/>
              </w:numPr>
              <w:tabs>
                <w:tab w:val="clear" w:pos="786"/>
              </w:tabs>
              <w:spacing w:line="440" w:lineRule="exact"/>
              <w:ind w:leftChars="122" w:left="576" w:hanging="283"/>
              <w:textAlignment w:val="baseline"/>
              <w:rPr>
                <w:rFonts w:ascii="新細明體" w:hAnsi="新細明體"/>
                <w:color w:val="222222"/>
                <w:szCs w:val="24"/>
              </w:rPr>
            </w:pPr>
            <w:r w:rsidRPr="00D21AD5">
              <w:rPr>
                <w:rFonts w:ascii="新細明體" w:hAnsi="新細明體"/>
                <w:color w:val="222222"/>
                <w:szCs w:val="24"/>
              </w:rPr>
              <w:t>制訂全新的産品手册，當中包括香港首份非上市結構性投資産品守則；</w:t>
            </w:r>
          </w:p>
          <w:p w:rsidR="00A22407" w:rsidRPr="00D21AD5" w:rsidRDefault="00A22407" w:rsidP="00A22407">
            <w:pPr>
              <w:widowControl/>
              <w:numPr>
                <w:ilvl w:val="0"/>
                <w:numId w:val="19"/>
              </w:numPr>
              <w:tabs>
                <w:tab w:val="clear" w:pos="786"/>
              </w:tabs>
              <w:spacing w:line="440" w:lineRule="exact"/>
              <w:ind w:leftChars="116" w:left="561" w:hanging="283"/>
              <w:textAlignment w:val="baseline"/>
              <w:rPr>
                <w:rFonts w:ascii="新細明體" w:hAnsi="新細明體"/>
                <w:color w:val="222222"/>
                <w:szCs w:val="24"/>
              </w:rPr>
            </w:pPr>
            <w:r w:rsidRPr="00D21AD5">
              <w:rPr>
                <w:rFonts w:ascii="新細明體" w:hAnsi="新細明體"/>
                <w:color w:val="222222"/>
                <w:szCs w:val="24"/>
              </w:rPr>
              <w:t>鼓勵産品創新，包括交易所買賣基金（ETF）、結構性基金、房地産投資信托基金（REIT）及以人民幣計價的基金；</w:t>
            </w:r>
          </w:p>
          <w:p w:rsidR="00A22407" w:rsidRPr="00D21AD5" w:rsidRDefault="00A22407" w:rsidP="00A22407">
            <w:pPr>
              <w:widowControl/>
              <w:numPr>
                <w:ilvl w:val="0"/>
                <w:numId w:val="19"/>
              </w:numPr>
              <w:tabs>
                <w:tab w:val="clear" w:pos="786"/>
              </w:tabs>
              <w:spacing w:line="440" w:lineRule="exact"/>
              <w:ind w:leftChars="116" w:left="561" w:hanging="283"/>
              <w:textAlignment w:val="baseline"/>
              <w:rPr>
                <w:rFonts w:ascii="新細明體" w:hAnsi="新細明體"/>
                <w:color w:val="222222"/>
                <w:szCs w:val="24"/>
              </w:rPr>
            </w:pPr>
            <w:r w:rsidRPr="00D21AD5">
              <w:rPr>
                <w:rFonts w:ascii="新細明體" w:hAnsi="新細明體"/>
                <w:color w:val="222222"/>
                <w:szCs w:val="24"/>
              </w:rPr>
              <w:t>推廣香港作爲人民幣離岸中心，包括推動人民幣合資格境外機構投資者（RQFII）計劃；</w:t>
            </w:r>
          </w:p>
          <w:p w:rsidR="00A22407" w:rsidRPr="00D21AD5" w:rsidRDefault="00A22407" w:rsidP="00A22407">
            <w:pPr>
              <w:widowControl/>
              <w:numPr>
                <w:ilvl w:val="0"/>
                <w:numId w:val="19"/>
              </w:numPr>
              <w:tabs>
                <w:tab w:val="clear" w:pos="786"/>
              </w:tabs>
              <w:spacing w:line="440" w:lineRule="exact"/>
              <w:ind w:leftChars="116" w:left="561" w:hanging="283"/>
              <w:textAlignment w:val="baseline"/>
              <w:rPr>
                <w:rFonts w:ascii="新細明體" w:hAnsi="新細明體"/>
                <w:color w:val="222222"/>
                <w:szCs w:val="24"/>
              </w:rPr>
            </w:pPr>
            <w:r w:rsidRPr="00D21AD5">
              <w:rPr>
                <w:rFonts w:ascii="新細明體" w:hAnsi="新細明體"/>
                <w:color w:val="222222"/>
                <w:szCs w:val="24"/>
              </w:rPr>
              <w:t>及與中國內地有關部門研究協商內地與香港基金互認的安排。</w:t>
            </w:r>
          </w:p>
          <w:p w:rsidR="00A22407" w:rsidRPr="000B1136" w:rsidRDefault="00A22407" w:rsidP="00A22407">
            <w:pPr>
              <w:numPr>
                <w:ilvl w:val="0"/>
                <w:numId w:val="14"/>
              </w:numPr>
              <w:spacing w:line="440" w:lineRule="exact"/>
              <w:ind w:left="561" w:hanging="425"/>
              <w:jc w:val="both"/>
              <w:rPr>
                <w:rFonts w:eastAsia="細明體"/>
                <w:bCs/>
                <w:szCs w:val="24"/>
              </w:rPr>
            </w:pPr>
            <w:r w:rsidRPr="00D21AD5">
              <w:rPr>
                <w:rFonts w:ascii="新細明體" w:hAnsi="新細明體"/>
                <w:bCs/>
                <w:szCs w:val="24"/>
              </w:rPr>
              <w:t>張灼華女士積極推動內地與香港的金融合作，就中國內地資本市場改革的各項政策和規則與相關監管機構和政府部門緊密溝通。她亦是發展香港離岸人民幣業務及人民幣投資産品的主要推動者之一。</w:t>
            </w:r>
          </w:p>
        </w:tc>
      </w:tr>
      <w:tr w:rsidR="00A22407" w:rsidRPr="000B1136" w:rsidTr="00A22407">
        <w:trPr>
          <w:cantSplit/>
          <w:trHeight w:val="5071"/>
          <w:jc w:val="center"/>
        </w:trPr>
        <w:tc>
          <w:tcPr>
            <w:tcW w:w="2303" w:type="dxa"/>
            <w:shd w:val="clear" w:color="auto" w:fill="auto"/>
            <w:vAlign w:val="center"/>
          </w:tcPr>
          <w:p w:rsidR="00A22407" w:rsidRDefault="00A22407" w:rsidP="00A22407">
            <w:pPr>
              <w:jc w:val="center"/>
            </w:pPr>
            <w:r>
              <w:rPr>
                <w:noProof/>
              </w:rPr>
              <w:lastRenderedPageBreak/>
              <w:drawing>
                <wp:inline distT="0" distB="0" distL="0" distR="0" wp14:anchorId="5FCA6623" wp14:editId="72BD36A9">
                  <wp:extent cx="1327785" cy="1578610"/>
                  <wp:effectExtent l="0" t="0" r="5715" b="2540"/>
                  <wp:docPr id="22" name="圖片 22" descr="何賢通"/>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何賢通"/>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27785" cy="1578610"/>
                          </a:xfrm>
                          <a:prstGeom prst="rect">
                            <a:avLst/>
                          </a:prstGeom>
                          <a:noFill/>
                          <a:ln>
                            <a:noFill/>
                          </a:ln>
                        </pic:spPr>
                      </pic:pic>
                    </a:graphicData>
                  </a:graphic>
                </wp:inline>
              </w:drawing>
            </w:r>
          </w:p>
          <w:p w:rsidR="00A22407" w:rsidRPr="00D21AD5" w:rsidRDefault="00A22407" w:rsidP="00A22407">
            <w:pPr>
              <w:jc w:val="center"/>
              <w:rPr>
                <w:rFonts w:ascii="新細明體" w:hAnsi="新細明體"/>
                <w:bCs/>
                <w:szCs w:val="24"/>
              </w:rPr>
            </w:pPr>
            <w:r w:rsidRPr="00D21AD5">
              <w:rPr>
                <w:rFonts w:ascii="新細明體" w:hAnsi="新細明體"/>
                <w:bCs/>
                <w:szCs w:val="24"/>
              </w:rPr>
              <w:t>何賢通先生</w:t>
            </w:r>
          </w:p>
          <w:p w:rsidR="00A22407" w:rsidRPr="00D21AD5" w:rsidRDefault="00A22407" w:rsidP="00A22407">
            <w:pPr>
              <w:jc w:val="center"/>
              <w:rPr>
                <w:rFonts w:ascii="新細明體" w:hAnsi="新細明體"/>
              </w:rPr>
            </w:pPr>
            <w:r w:rsidRPr="00D21AD5">
              <w:rPr>
                <w:rFonts w:ascii="新細明體" w:hAnsi="新細明體"/>
                <w:bCs/>
                <w:szCs w:val="24"/>
              </w:rPr>
              <w:t>證監會執行董事</w:t>
            </w:r>
          </w:p>
        </w:tc>
        <w:tc>
          <w:tcPr>
            <w:tcW w:w="6519" w:type="dxa"/>
            <w:shd w:val="clear" w:color="auto" w:fill="auto"/>
            <w:vAlign w:val="center"/>
          </w:tcPr>
          <w:p w:rsidR="00A22407" w:rsidRPr="00D21AD5" w:rsidRDefault="00A22407" w:rsidP="00A22407">
            <w:pPr>
              <w:numPr>
                <w:ilvl w:val="0"/>
                <w:numId w:val="15"/>
              </w:numPr>
              <w:spacing w:line="440" w:lineRule="exact"/>
              <w:ind w:left="561" w:hanging="425"/>
              <w:jc w:val="both"/>
              <w:rPr>
                <w:rFonts w:ascii="新細明體" w:hAnsi="新細明體"/>
                <w:bCs/>
                <w:szCs w:val="24"/>
              </w:rPr>
            </w:pPr>
            <w:r w:rsidRPr="00D21AD5">
              <w:rPr>
                <w:rFonts w:ascii="新細明體" w:hAnsi="新細明體"/>
                <w:bCs/>
                <w:szCs w:val="24"/>
              </w:rPr>
              <w:t>任期由2006年8月28日起(目前任期至</w:t>
            </w:r>
            <w:r w:rsidRPr="00D21AD5">
              <w:rPr>
                <w:rFonts w:ascii="新細明體" w:hAnsi="新細明體" w:hint="eastAsia"/>
                <w:bCs/>
                <w:szCs w:val="24"/>
              </w:rPr>
              <w:t>2015年8月27日</w:t>
            </w:r>
            <w:r w:rsidRPr="00D21AD5">
              <w:rPr>
                <w:rFonts w:ascii="新細明體" w:hAnsi="新細明體"/>
                <w:bCs/>
                <w:szCs w:val="24"/>
              </w:rPr>
              <w:t>止)</w:t>
            </w:r>
            <w:r w:rsidRPr="00D21AD5">
              <w:rPr>
                <w:rFonts w:ascii="新細明體" w:hAnsi="新細明體" w:hint="eastAsia"/>
                <w:bCs/>
                <w:szCs w:val="24"/>
              </w:rPr>
              <w:t>。</w:t>
            </w:r>
          </w:p>
          <w:p w:rsidR="00A22407" w:rsidRPr="00D21AD5" w:rsidRDefault="00A22407" w:rsidP="00A22407">
            <w:pPr>
              <w:numPr>
                <w:ilvl w:val="0"/>
                <w:numId w:val="15"/>
              </w:numPr>
              <w:spacing w:line="440" w:lineRule="exact"/>
              <w:ind w:left="561" w:hanging="425"/>
              <w:jc w:val="both"/>
              <w:rPr>
                <w:rFonts w:ascii="新細明體" w:hAnsi="新細明體"/>
                <w:bCs/>
                <w:szCs w:val="24"/>
              </w:rPr>
            </w:pPr>
            <w:r w:rsidRPr="00D21AD5">
              <w:rPr>
                <w:rFonts w:ascii="新細明體" w:hAnsi="新細明體"/>
                <w:bCs/>
                <w:szCs w:val="24"/>
              </w:rPr>
              <w:t>何賢通先生是證券及期貨事務監察委員會（證監會）委員，並且是掌管企業融資部的執行董事。該部門負責監管收購及合併活動、執行雙重存檔制度、企業披露，以及監察上市的政策事宜。</w:t>
            </w:r>
          </w:p>
          <w:p w:rsidR="00A22407" w:rsidRPr="00D21AD5" w:rsidRDefault="00A22407" w:rsidP="00A22407">
            <w:pPr>
              <w:numPr>
                <w:ilvl w:val="0"/>
                <w:numId w:val="15"/>
              </w:numPr>
              <w:spacing w:line="440" w:lineRule="exact"/>
              <w:ind w:left="561" w:hanging="425"/>
              <w:jc w:val="both"/>
              <w:rPr>
                <w:rFonts w:ascii="新細明體" w:hAnsi="新細明體"/>
                <w:bCs/>
                <w:szCs w:val="24"/>
              </w:rPr>
            </w:pPr>
            <w:r w:rsidRPr="00D21AD5">
              <w:rPr>
                <w:rFonts w:ascii="新細明體" w:hAnsi="新細明體"/>
                <w:bCs/>
                <w:szCs w:val="24"/>
              </w:rPr>
              <w:t>何先生已服務證監會超過18年。在加入證監會前，他曾</w:t>
            </w:r>
            <w:r w:rsidRPr="00D21AD5">
              <w:rPr>
                <w:rFonts w:ascii="新細明體" w:hAnsi="新細明體" w:hint="eastAsia"/>
                <w:bCs/>
                <w:szCs w:val="24"/>
              </w:rPr>
              <w:t xml:space="preserve"> </w:t>
            </w:r>
            <w:r w:rsidRPr="00D21AD5">
              <w:rPr>
                <w:rFonts w:ascii="新細明體" w:hAnsi="新細明體"/>
                <w:bCs/>
                <w:szCs w:val="24"/>
              </w:rPr>
              <w:t>在香港執業為律師。</w:t>
            </w:r>
          </w:p>
          <w:p w:rsidR="00A22407" w:rsidRPr="000B1136" w:rsidRDefault="00A22407" w:rsidP="00A22407">
            <w:pPr>
              <w:numPr>
                <w:ilvl w:val="0"/>
                <w:numId w:val="15"/>
              </w:numPr>
              <w:spacing w:line="440" w:lineRule="exact"/>
              <w:ind w:left="561" w:hanging="425"/>
              <w:jc w:val="both"/>
              <w:rPr>
                <w:rFonts w:ascii="標楷體" w:eastAsia="標楷體" w:hAnsi="標楷體"/>
                <w:bCs/>
                <w:szCs w:val="24"/>
              </w:rPr>
            </w:pPr>
            <w:r w:rsidRPr="00D21AD5">
              <w:rPr>
                <w:rFonts w:ascii="新細明體" w:hAnsi="新細明體"/>
                <w:bCs/>
                <w:szCs w:val="24"/>
              </w:rPr>
              <w:t>何先生兼任證監會公眾股東權益小組主席、提名委員會、房地產投資信託基金委員會、執行委員會委員，以及聯交所的上市提名委員會委員</w:t>
            </w:r>
            <w:r w:rsidRPr="00D21AD5">
              <w:rPr>
                <w:rFonts w:ascii="新細明體" w:hAnsi="新細明體"/>
                <w:color w:val="222222"/>
                <w:szCs w:val="24"/>
              </w:rPr>
              <w:t>。</w:t>
            </w:r>
          </w:p>
        </w:tc>
      </w:tr>
      <w:tr w:rsidR="00A22407" w:rsidRPr="000B1136" w:rsidTr="00A22407">
        <w:trPr>
          <w:cantSplit/>
          <w:trHeight w:val="4476"/>
          <w:jc w:val="center"/>
        </w:trPr>
        <w:tc>
          <w:tcPr>
            <w:tcW w:w="2303" w:type="dxa"/>
            <w:shd w:val="clear" w:color="auto" w:fill="auto"/>
            <w:vAlign w:val="center"/>
          </w:tcPr>
          <w:p w:rsidR="00A22407" w:rsidRPr="00D21AD5" w:rsidRDefault="00A22407" w:rsidP="00A22407">
            <w:pPr>
              <w:jc w:val="center"/>
              <w:rPr>
                <w:rFonts w:ascii="新細明體" w:hAnsi="新細明體"/>
              </w:rPr>
            </w:pPr>
            <w:r>
              <w:rPr>
                <w:rFonts w:ascii="新細明體" w:hAnsi="新細明體"/>
                <w:noProof/>
              </w:rPr>
              <w:drawing>
                <wp:inline distT="0" distB="0" distL="0" distR="0" wp14:anchorId="5FE6EB73" wp14:editId="38E396EF">
                  <wp:extent cx="1327785" cy="1578610"/>
                  <wp:effectExtent l="0" t="0" r="5715" b="2540"/>
                  <wp:docPr id="23" name="圖片 23" descr="雷祺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雷祺光"/>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27785" cy="1578610"/>
                          </a:xfrm>
                          <a:prstGeom prst="rect">
                            <a:avLst/>
                          </a:prstGeom>
                          <a:noFill/>
                          <a:ln>
                            <a:noFill/>
                          </a:ln>
                        </pic:spPr>
                      </pic:pic>
                    </a:graphicData>
                  </a:graphic>
                </wp:inline>
              </w:drawing>
            </w:r>
          </w:p>
          <w:p w:rsidR="00A22407" w:rsidRPr="00D21AD5" w:rsidRDefault="00A22407" w:rsidP="00A22407">
            <w:pPr>
              <w:jc w:val="center"/>
              <w:rPr>
                <w:rFonts w:ascii="新細明體" w:hAnsi="新細明體"/>
                <w:bCs/>
                <w:szCs w:val="24"/>
              </w:rPr>
            </w:pPr>
            <w:r w:rsidRPr="00D21AD5">
              <w:rPr>
                <w:rFonts w:ascii="新細明體" w:hAnsi="新細明體"/>
                <w:bCs/>
                <w:szCs w:val="24"/>
              </w:rPr>
              <w:t>雷祺光先生</w:t>
            </w:r>
          </w:p>
          <w:p w:rsidR="00A22407" w:rsidRPr="00D21AD5" w:rsidRDefault="00A22407" w:rsidP="00A22407">
            <w:pPr>
              <w:jc w:val="center"/>
              <w:rPr>
                <w:rFonts w:ascii="新細明體" w:hAnsi="新細明體"/>
              </w:rPr>
            </w:pPr>
            <w:r w:rsidRPr="00D21AD5">
              <w:rPr>
                <w:rFonts w:ascii="新細明體" w:hAnsi="新細明體"/>
                <w:bCs/>
                <w:szCs w:val="24"/>
              </w:rPr>
              <w:t>證監會執行董事</w:t>
            </w:r>
          </w:p>
        </w:tc>
        <w:tc>
          <w:tcPr>
            <w:tcW w:w="6519" w:type="dxa"/>
            <w:shd w:val="clear" w:color="auto" w:fill="auto"/>
            <w:vAlign w:val="center"/>
          </w:tcPr>
          <w:p w:rsidR="00A22407" w:rsidRPr="00D21AD5" w:rsidRDefault="00A22407" w:rsidP="00A22407">
            <w:pPr>
              <w:numPr>
                <w:ilvl w:val="0"/>
                <w:numId w:val="16"/>
              </w:numPr>
              <w:spacing w:line="440" w:lineRule="exact"/>
              <w:ind w:left="420" w:hanging="284"/>
              <w:jc w:val="both"/>
              <w:rPr>
                <w:rFonts w:ascii="新細明體" w:hAnsi="新細明體"/>
                <w:bCs/>
                <w:szCs w:val="24"/>
              </w:rPr>
            </w:pPr>
            <w:r w:rsidRPr="00D21AD5">
              <w:rPr>
                <w:rFonts w:ascii="新細明體" w:hAnsi="新細明體"/>
                <w:bCs/>
                <w:szCs w:val="24"/>
              </w:rPr>
              <w:t>任期由2006年8日28日起(目前任期至</w:t>
            </w:r>
            <w:r w:rsidRPr="00D21AD5">
              <w:rPr>
                <w:rFonts w:ascii="新細明體" w:hAnsi="新細明體" w:hint="eastAsia"/>
                <w:bCs/>
                <w:szCs w:val="24"/>
              </w:rPr>
              <w:t>2015年8月27日</w:t>
            </w:r>
            <w:r w:rsidRPr="00D21AD5">
              <w:rPr>
                <w:rFonts w:ascii="新細明體" w:hAnsi="新細明體"/>
                <w:bCs/>
                <w:szCs w:val="24"/>
              </w:rPr>
              <w:t>止)</w:t>
            </w:r>
            <w:r w:rsidRPr="00D21AD5">
              <w:rPr>
                <w:rFonts w:ascii="新細明體" w:hAnsi="新細明體" w:hint="eastAsia"/>
                <w:bCs/>
                <w:szCs w:val="24"/>
              </w:rPr>
              <w:t>。</w:t>
            </w:r>
          </w:p>
          <w:p w:rsidR="00A22407" w:rsidRPr="00D21AD5" w:rsidRDefault="00A22407" w:rsidP="00A22407">
            <w:pPr>
              <w:numPr>
                <w:ilvl w:val="0"/>
                <w:numId w:val="16"/>
              </w:numPr>
              <w:spacing w:line="440" w:lineRule="exact"/>
              <w:ind w:left="420" w:hanging="284"/>
              <w:jc w:val="both"/>
              <w:rPr>
                <w:rFonts w:ascii="新細明體" w:hAnsi="新細明體"/>
                <w:bCs/>
                <w:szCs w:val="24"/>
              </w:rPr>
            </w:pPr>
            <w:r w:rsidRPr="00D21AD5">
              <w:rPr>
                <w:rFonts w:ascii="新細明體" w:hAnsi="新細明體"/>
                <w:bCs/>
                <w:szCs w:val="24"/>
              </w:rPr>
              <w:t>雷祺光先生是香港證券及期貨事務監察委員會委員，並且是掌管市場監察部的執行董事。該部門負責監督香港交易及結算所有限公司的交易及結算活動、自動交易系統的授權、管理投資者賠償基金，以及促進證券及期貨市場的發展。</w:t>
            </w:r>
          </w:p>
          <w:p w:rsidR="00A22407" w:rsidRPr="00D21AD5" w:rsidRDefault="00A22407" w:rsidP="00A22407">
            <w:pPr>
              <w:numPr>
                <w:ilvl w:val="0"/>
                <w:numId w:val="16"/>
              </w:numPr>
              <w:spacing w:line="440" w:lineRule="exact"/>
              <w:ind w:left="420" w:hanging="284"/>
              <w:jc w:val="both"/>
              <w:rPr>
                <w:rFonts w:ascii="新細明體" w:hAnsi="新細明體"/>
                <w:bCs/>
                <w:szCs w:val="24"/>
              </w:rPr>
            </w:pPr>
            <w:r w:rsidRPr="00D21AD5">
              <w:rPr>
                <w:rFonts w:ascii="新細明體" w:hAnsi="新細明體"/>
                <w:bCs/>
                <w:szCs w:val="24"/>
              </w:rPr>
              <w:t>雷先生服務證監會已超過15年，他在監督證券及期貨市場方面擁有豐富知識及經驗。在加入證監會前，他曾在美國任職於金融機構。</w:t>
            </w:r>
          </w:p>
          <w:p w:rsidR="00A22407" w:rsidRPr="00D21AD5" w:rsidRDefault="00A22407" w:rsidP="00A22407">
            <w:pPr>
              <w:numPr>
                <w:ilvl w:val="0"/>
                <w:numId w:val="16"/>
              </w:numPr>
              <w:spacing w:line="440" w:lineRule="exact"/>
              <w:ind w:left="420" w:hanging="284"/>
              <w:jc w:val="both"/>
              <w:rPr>
                <w:rFonts w:ascii="新細明體" w:hAnsi="新細明體"/>
                <w:bCs/>
                <w:szCs w:val="24"/>
              </w:rPr>
            </w:pPr>
            <w:r w:rsidRPr="00D21AD5">
              <w:rPr>
                <w:rFonts w:ascii="新細明體" w:hAnsi="新細明體"/>
                <w:bCs/>
                <w:szCs w:val="24"/>
              </w:rPr>
              <w:t>雷先生兼任香港交易及結算所有限公司風險管理委員會委員、證券賠償基金委員會主席、投資者賠償基金委員會主席、證監會（香港交易所上市）委員會委員、財政預算委員會委員及執行委員會委員。他亦是投資者賠償有限公司的董事之一。</w:t>
            </w:r>
          </w:p>
        </w:tc>
      </w:tr>
      <w:tr w:rsidR="00A22407" w:rsidRPr="000B1136" w:rsidTr="00A22407">
        <w:trPr>
          <w:cantSplit/>
          <w:trHeight w:val="7356"/>
          <w:jc w:val="center"/>
        </w:trPr>
        <w:tc>
          <w:tcPr>
            <w:tcW w:w="2303" w:type="dxa"/>
            <w:shd w:val="clear" w:color="auto" w:fill="auto"/>
            <w:vAlign w:val="center"/>
          </w:tcPr>
          <w:p w:rsidR="00A22407" w:rsidRPr="00D21AD5" w:rsidRDefault="00A22407" w:rsidP="00A22407">
            <w:pPr>
              <w:jc w:val="center"/>
              <w:rPr>
                <w:rFonts w:ascii="新細明體" w:hAnsi="新細明體"/>
                <w:szCs w:val="24"/>
              </w:rPr>
            </w:pPr>
            <w:r>
              <w:rPr>
                <w:rFonts w:ascii="新細明體" w:hAnsi="新細明體"/>
                <w:noProof/>
                <w:szCs w:val="24"/>
              </w:rPr>
              <w:lastRenderedPageBreak/>
              <w:drawing>
                <wp:inline distT="0" distB="0" distL="0" distR="0" wp14:anchorId="0E2227D8" wp14:editId="4F5F34DA">
                  <wp:extent cx="1327785" cy="1578610"/>
                  <wp:effectExtent l="0" t="0" r="5715" b="2540"/>
                  <wp:docPr id="24" name="圖片 24" descr="施衛民(STEWARD，Mark Rob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施衛民(STEWARD，Mark Rober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27785" cy="1578610"/>
                          </a:xfrm>
                          <a:prstGeom prst="rect">
                            <a:avLst/>
                          </a:prstGeom>
                          <a:noFill/>
                          <a:ln>
                            <a:noFill/>
                          </a:ln>
                        </pic:spPr>
                      </pic:pic>
                    </a:graphicData>
                  </a:graphic>
                </wp:inline>
              </w:drawing>
            </w:r>
          </w:p>
          <w:p w:rsidR="00A22407" w:rsidRPr="00D21AD5" w:rsidRDefault="00A22407" w:rsidP="00A22407">
            <w:pPr>
              <w:jc w:val="center"/>
              <w:rPr>
                <w:rFonts w:ascii="新細明體" w:hAnsi="新細明體"/>
                <w:bCs/>
                <w:szCs w:val="24"/>
              </w:rPr>
            </w:pPr>
            <w:r w:rsidRPr="00D21AD5">
              <w:rPr>
                <w:rFonts w:ascii="新細明體" w:hAnsi="新細明體"/>
                <w:bCs/>
                <w:szCs w:val="24"/>
              </w:rPr>
              <w:t>施衛民先生</w:t>
            </w:r>
          </w:p>
          <w:p w:rsidR="00A22407" w:rsidRPr="00D21AD5" w:rsidRDefault="00A22407" w:rsidP="00A22407">
            <w:pPr>
              <w:jc w:val="center"/>
              <w:rPr>
                <w:rFonts w:ascii="新細明體" w:hAnsi="新細明體"/>
                <w:bCs/>
                <w:szCs w:val="24"/>
              </w:rPr>
            </w:pPr>
            <w:r w:rsidRPr="00D21AD5">
              <w:rPr>
                <w:rFonts w:ascii="新細明體" w:hAnsi="新細明體" w:hint="eastAsia"/>
                <w:bCs/>
                <w:szCs w:val="24"/>
              </w:rPr>
              <w:t>(STEWARD，</w:t>
            </w:r>
          </w:p>
          <w:p w:rsidR="00A22407" w:rsidRPr="00D21AD5" w:rsidRDefault="00A22407" w:rsidP="00A22407">
            <w:pPr>
              <w:jc w:val="center"/>
              <w:rPr>
                <w:rFonts w:ascii="新細明體" w:hAnsi="新細明體"/>
                <w:bCs/>
                <w:szCs w:val="24"/>
              </w:rPr>
            </w:pPr>
            <w:r w:rsidRPr="00D21AD5">
              <w:rPr>
                <w:rFonts w:ascii="新細明體" w:hAnsi="新細明體" w:hint="eastAsia"/>
                <w:bCs/>
                <w:szCs w:val="24"/>
              </w:rPr>
              <w:t>Mark Robert)</w:t>
            </w:r>
          </w:p>
          <w:p w:rsidR="00A22407" w:rsidRPr="00D21AD5" w:rsidRDefault="00A22407" w:rsidP="00A22407">
            <w:pPr>
              <w:jc w:val="center"/>
              <w:rPr>
                <w:rFonts w:ascii="新細明體" w:hAnsi="新細明體"/>
              </w:rPr>
            </w:pPr>
            <w:r w:rsidRPr="00D21AD5">
              <w:rPr>
                <w:rFonts w:ascii="新細明體" w:hAnsi="新細明體"/>
                <w:bCs/>
                <w:szCs w:val="24"/>
              </w:rPr>
              <w:t>證監會執行董事</w:t>
            </w:r>
          </w:p>
        </w:tc>
        <w:tc>
          <w:tcPr>
            <w:tcW w:w="6519" w:type="dxa"/>
            <w:shd w:val="clear" w:color="auto" w:fill="auto"/>
            <w:vAlign w:val="center"/>
          </w:tcPr>
          <w:p w:rsidR="00A22407" w:rsidRPr="00D21AD5" w:rsidRDefault="00A22407" w:rsidP="00A22407">
            <w:pPr>
              <w:numPr>
                <w:ilvl w:val="0"/>
                <w:numId w:val="17"/>
              </w:numPr>
              <w:spacing w:line="420" w:lineRule="exact"/>
              <w:ind w:left="477" w:hanging="284"/>
              <w:jc w:val="both"/>
              <w:rPr>
                <w:rFonts w:ascii="新細明體" w:hAnsi="新細明體"/>
                <w:bCs/>
                <w:szCs w:val="24"/>
              </w:rPr>
            </w:pPr>
            <w:r w:rsidRPr="00D21AD5">
              <w:rPr>
                <w:rFonts w:ascii="新細明體" w:hAnsi="新細明體"/>
                <w:bCs/>
                <w:szCs w:val="24"/>
              </w:rPr>
              <w:t>任期由2006年9月25日起(目前任期至</w:t>
            </w:r>
            <w:r w:rsidRPr="00D21AD5">
              <w:rPr>
                <w:rFonts w:ascii="新細明體" w:hAnsi="新細明體" w:hint="eastAsia"/>
                <w:bCs/>
                <w:szCs w:val="24"/>
              </w:rPr>
              <w:t>2015年9月24日</w:t>
            </w:r>
            <w:r w:rsidRPr="00D21AD5">
              <w:rPr>
                <w:rFonts w:ascii="新細明體" w:hAnsi="新細明體"/>
                <w:bCs/>
                <w:szCs w:val="24"/>
              </w:rPr>
              <w:t>止)</w:t>
            </w:r>
            <w:r w:rsidRPr="00D21AD5">
              <w:rPr>
                <w:rFonts w:ascii="新細明體" w:hAnsi="新細明體" w:hint="eastAsia"/>
                <w:bCs/>
                <w:szCs w:val="24"/>
              </w:rPr>
              <w:t>。</w:t>
            </w:r>
          </w:p>
          <w:p w:rsidR="00A22407" w:rsidRPr="00D21AD5" w:rsidRDefault="00A22407" w:rsidP="00A22407">
            <w:pPr>
              <w:numPr>
                <w:ilvl w:val="0"/>
                <w:numId w:val="17"/>
              </w:numPr>
              <w:spacing w:line="420" w:lineRule="exact"/>
              <w:ind w:left="477" w:hanging="284"/>
              <w:jc w:val="both"/>
              <w:rPr>
                <w:rFonts w:ascii="新細明體" w:hAnsi="新細明體"/>
                <w:bCs/>
                <w:szCs w:val="24"/>
              </w:rPr>
            </w:pPr>
            <w:r w:rsidRPr="00D21AD5">
              <w:rPr>
                <w:rFonts w:ascii="新細明體" w:hAnsi="新細明體"/>
                <w:bCs/>
                <w:szCs w:val="24"/>
              </w:rPr>
              <w:t>施衛民先生是香港證券及期貨事務監察委員會委員，並且是掌管法規執行部的執行董事。該部門負責監察證券期貨市場的不適當行為、就法定罪行及違反證監會有關法例的事宜作出調查，以及在適當情況下對持牌人採取紀律處分和提出檢控。</w:t>
            </w:r>
          </w:p>
          <w:p w:rsidR="00A22407" w:rsidRPr="00D21AD5" w:rsidRDefault="00A22407" w:rsidP="00A22407">
            <w:pPr>
              <w:numPr>
                <w:ilvl w:val="0"/>
                <w:numId w:val="17"/>
              </w:numPr>
              <w:spacing w:line="420" w:lineRule="exact"/>
              <w:ind w:left="477" w:hanging="284"/>
              <w:jc w:val="both"/>
              <w:rPr>
                <w:rFonts w:ascii="新細明體" w:hAnsi="新細明體"/>
                <w:bCs/>
                <w:szCs w:val="24"/>
              </w:rPr>
            </w:pPr>
            <w:r w:rsidRPr="00D21AD5">
              <w:rPr>
                <w:rFonts w:ascii="新細明體" w:hAnsi="新細明體"/>
                <w:bCs/>
                <w:szCs w:val="24"/>
              </w:rPr>
              <w:t>施衛民先生兼任證監會(香港交易所上市)委員會委員及執行委員會委員。在加入證監會前，施衛民先生曾於澳大利亞證券及投資事務監察委員會(Australian Securities and Investments Commission)先後擔任數項要職，最後任職該委員會法規執行部副執行董事。施衛民先生自1987年起已在澳洲及英國參與企業及證券的監管事務，尤其專注於調查工作及繼後的訴訟程式。施衛民先生於1989年在墨爾本大學(University of Melbourne)取得法律學學士學位，並擁有在澳洲的法院執業的廣泛經驗</w:t>
            </w:r>
          </w:p>
        </w:tc>
      </w:tr>
      <w:tr w:rsidR="00A22407" w:rsidRPr="000B1136" w:rsidTr="00A22407">
        <w:trPr>
          <w:cantSplit/>
          <w:trHeight w:val="6505"/>
          <w:jc w:val="center"/>
        </w:trPr>
        <w:tc>
          <w:tcPr>
            <w:tcW w:w="2303" w:type="dxa"/>
            <w:shd w:val="clear" w:color="auto" w:fill="auto"/>
            <w:vAlign w:val="center"/>
          </w:tcPr>
          <w:p w:rsidR="00A22407" w:rsidRDefault="00A22407" w:rsidP="00A22407">
            <w:pPr>
              <w:jc w:val="center"/>
            </w:pPr>
            <w:r>
              <w:rPr>
                <w:noProof/>
              </w:rPr>
              <w:drawing>
                <wp:inline distT="0" distB="0" distL="0" distR="0" wp14:anchorId="127B6F8E" wp14:editId="247364B1">
                  <wp:extent cx="1327785" cy="1578610"/>
                  <wp:effectExtent l="0" t="0" r="5715" b="2540"/>
                  <wp:docPr id="25" name="圖片 25" descr="施哲宏 (SHIPTON，James Roger Franc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施哲宏 (SHIPTON，James Roger Francis)"/>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27785" cy="1578610"/>
                          </a:xfrm>
                          <a:prstGeom prst="rect">
                            <a:avLst/>
                          </a:prstGeom>
                          <a:noFill/>
                          <a:ln>
                            <a:noFill/>
                          </a:ln>
                        </pic:spPr>
                      </pic:pic>
                    </a:graphicData>
                  </a:graphic>
                </wp:inline>
              </w:drawing>
            </w:r>
          </w:p>
          <w:p w:rsidR="00A22407" w:rsidRPr="00D21AD5" w:rsidRDefault="00A22407" w:rsidP="00A22407">
            <w:pPr>
              <w:jc w:val="center"/>
              <w:rPr>
                <w:rFonts w:ascii="新細明體" w:hAnsi="新細明體"/>
                <w:bCs/>
                <w:szCs w:val="24"/>
              </w:rPr>
            </w:pPr>
            <w:r w:rsidRPr="00D21AD5">
              <w:rPr>
                <w:rFonts w:ascii="新細明體" w:hAnsi="新細明體" w:hint="eastAsia"/>
                <w:bCs/>
                <w:szCs w:val="24"/>
              </w:rPr>
              <w:t>施哲宏先生(SHIPTON，James Roger Francis)</w:t>
            </w:r>
          </w:p>
          <w:p w:rsidR="00A22407" w:rsidRPr="007E22EF" w:rsidRDefault="00A22407" w:rsidP="00A22407">
            <w:pPr>
              <w:jc w:val="center"/>
            </w:pPr>
            <w:r w:rsidRPr="00D21AD5">
              <w:rPr>
                <w:rFonts w:ascii="新細明體" w:hAnsi="新細明體"/>
                <w:bCs/>
                <w:szCs w:val="24"/>
              </w:rPr>
              <w:t>證監會執行董事</w:t>
            </w:r>
          </w:p>
        </w:tc>
        <w:tc>
          <w:tcPr>
            <w:tcW w:w="6519" w:type="dxa"/>
            <w:shd w:val="clear" w:color="auto" w:fill="auto"/>
            <w:vAlign w:val="center"/>
          </w:tcPr>
          <w:p w:rsidR="00A22407" w:rsidRPr="00D21AD5" w:rsidRDefault="00A22407" w:rsidP="00A22407">
            <w:pPr>
              <w:numPr>
                <w:ilvl w:val="0"/>
                <w:numId w:val="20"/>
              </w:numPr>
              <w:spacing w:line="420" w:lineRule="exact"/>
              <w:ind w:left="477" w:hanging="284"/>
              <w:jc w:val="both"/>
              <w:rPr>
                <w:rFonts w:ascii="新細明體" w:hAnsi="新細明體"/>
                <w:bCs/>
                <w:szCs w:val="24"/>
              </w:rPr>
            </w:pPr>
            <w:r w:rsidRPr="00D21AD5">
              <w:rPr>
                <w:rFonts w:ascii="新細明體" w:hAnsi="新細明體"/>
                <w:bCs/>
                <w:szCs w:val="24"/>
              </w:rPr>
              <w:t>任期由20</w:t>
            </w:r>
            <w:r w:rsidRPr="00D21AD5">
              <w:rPr>
                <w:rFonts w:ascii="新細明體" w:hAnsi="新細明體" w:hint="eastAsia"/>
                <w:bCs/>
                <w:szCs w:val="24"/>
              </w:rPr>
              <w:t>13</w:t>
            </w:r>
            <w:r w:rsidRPr="00D21AD5">
              <w:rPr>
                <w:rFonts w:ascii="新細明體" w:hAnsi="新細明體"/>
                <w:bCs/>
                <w:szCs w:val="24"/>
              </w:rPr>
              <w:t>年</w:t>
            </w:r>
            <w:r w:rsidRPr="00D21AD5">
              <w:rPr>
                <w:rFonts w:ascii="新細明體" w:hAnsi="新細明體" w:hint="eastAsia"/>
                <w:bCs/>
                <w:szCs w:val="24"/>
              </w:rPr>
              <w:t>6</w:t>
            </w:r>
            <w:r w:rsidRPr="00D21AD5">
              <w:rPr>
                <w:rFonts w:ascii="新細明體" w:hAnsi="新細明體"/>
                <w:bCs/>
                <w:szCs w:val="24"/>
              </w:rPr>
              <w:t>月</w:t>
            </w:r>
            <w:r w:rsidRPr="00D21AD5">
              <w:rPr>
                <w:rFonts w:ascii="新細明體" w:hAnsi="新細明體" w:hint="eastAsia"/>
                <w:bCs/>
                <w:szCs w:val="24"/>
              </w:rPr>
              <w:t>19</w:t>
            </w:r>
            <w:r w:rsidRPr="00D21AD5">
              <w:rPr>
                <w:rFonts w:ascii="新細明體" w:hAnsi="新細明體"/>
                <w:bCs/>
                <w:szCs w:val="24"/>
              </w:rPr>
              <w:t>日起(目前任期至</w:t>
            </w:r>
            <w:r w:rsidRPr="00D21AD5">
              <w:rPr>
                <w:rFonts w:ascii="新細明體" w:hAnsi="新細明體" w:hint="eastAsia"/>
                <w:bCs/>
                <w:szCs w:val="24"/>
              </w:rPr>
              <w:t>2016年6月18日</w:t>
            </w:r>
            <w:r w:rsidRPr="00D21AD5">
              <w:rPr>
                <w:rFonts w:ascii="新細明體" w:hAnsi="新細明體"/>
                <w:bCs/>
                <w:szCs w:val="24"/>
              </w:rPr>
              <w:t>止)</w:t>
            </w:r>
            <w:r w:rsidRPr="00D21AD5">
              <w:rPr>
                <w:rFonts w:ascii="新細明體" w:hAnsi="新細明體" w:hint="eastAsia"/>
                <w:bCs/>
                <w:szCs w:val="24"/>
              </w:rPr>
              <w:t>。</w:t>
            </w:r>
          </w:p>
          <w:p w:rsidR="00A22407" w:rsidRPr="00D21AD5" w:rsidRDefault="00A22407" w:rsidP="00A22407">
            <w:pPr>
              <w:numPr>
                <w:ilvl w:val="0"/>
                <w:numId w:val="20"/>
              </w:numPr>
              <w:spacing w:line="420" w:lineRule="exact"/>
              <w:ind w:left="477" w:hanging="284"/>
              <w:jc w:val="both"/>
              <w:rPr>
                <w:rFonts w:ascii="新細明體" w:hAnsi="新細明體"/>
                <w:bCs/>
                <w:szCs w:val="24"/>
              </w:rPr>
            </w:pPr>
            <w:r w:rsidRPr="00D21AD5">
              <w:rPr>
                <w:rFonts w:ascii="新細明體" w:hAnsi="新細明體"/>
                <w:bCs/>
                <w:szCs w:val="24"/>
              </w:rPr>
              <w:t>施哲宏先生是證券及期貨事務監察委員會委員，並擔任中介機構部的執行董事。該部門由中介機構監察科及發牌科組成，主要負責制訂和執行發牌規定，並對持牌公司進行持續監管，重點監察其業務操守和財政健全狀況。</w:t>
            </w:r>
          </w:p>
          <w:p w:rsidR="00A22407" w:rsidRPr="000B1136" w:rsidRDefault="00A22407" w:rsidP="00A22407">
            <w:pPr>
              <w:numPr>
                <w:ilvl w:val="0"/>
                <w:numId w:val="20"/>
              </w:numPr>
              <w:spacing w:line="420" w:lineRule="exact"/>
              <w:ind w:left="477" w:hanging="284"/>
              <w:jc w:val="both"/>
              <w:rPr>
                <w:rFonts w:ascii="標楷體" w:eastAsia="標楷體" w:hAnsi="標楷體"/>
                <w:bCs/>
                <w:szCs w:val="24"/>
              </w:rPr>
            </w:pPr>
            <w:r w:rsidRPr="00D21AD5">
              <w:rPr>
                <w:rFonts w:ascii="新細明體" w:hAnsi="新細明體"/>
                <w:bCs/>
                <w:szCs w:val="24"/>
              </w:rPr>
              <w:t>在加入證監會前，施哲宏先生曾經在高盛亞洲的行政辦事處及證券部出掌多項要職，而他最後擔任的職位是高盛亞洲區行政辦事處董事總經理、高盛亞太區政府及監管事務主管。在此之前，施哲宏先生是多家專業顧問公司的合夥人，向國際及亞洲資產管理公司提供關於監管事宜的意見。此前他曾加入一家具領導地位的歐洲投資銀行，在其香港及倫敦的企業融資、法律和合規等多個部門工作，亦曾效力一家首要的國際律師事務所，在香港和泰國擁有關於基金和證券法律的執業經驗。</w:t>
            </w:r>
          </w:p>
        </w:tc>
      </w:tr>
      <w:tr w:rsidR="00A22407" w:rsidRPr="00320151" w:rsidTr="00A22407">
        <w:trPr>
          <w:cantSplit/>
          <w:trHeight w:val="6505"/>
          <w:jc w:val="center"/>
        </w:trPr>
        <w:tc>
          <w:tcPr>
            <w:tcW w:w="2303" w:type="dxa"/>
            <w:tcBorders>
              <w:top w:val="single" w:sz="4" w:space="0" w:color="auto"/>
              <w:left w:val="single" w:sz="4" w:space="0" w:color="auto"/>
              <w:bottom w:val="single" w:sz="4" w:space="0" w:color="auto"/>
              <w:right w:val="single" w:sz="4" w:space="0" w:color="auto"/>
            </w:tcBorders>
            <w:shd w:val="clear" w:color="auto" w:fill="auto"/>
            <w:vAlign w:val="center"/>
          </w:tcPr>
          <w:p w:rsidR="00A22407" w:rsidRPr="00E0358E" w:rsidRDefault="00A22407" w:rsidP="00A22407">
            <w:pPr>
              <w:jc w:val="center"/>
              <w:rPr>
                <w:rFonts w:ascii="標楷體" w:eastAsia="標楷體" w:hAnsi="標楷體"/>
                <w:szCs w:val="24"/>
              </w:rPr>
            </w:pPr>
            <w:r>
              <w:rPr>
                <w:rFonts w:ascii="標楷體" w:eastAsia="標楷體" w:hAnsi="標楷體"/>
                <w:noProof/>
                <w:szCs w:val="24"/>
              </w:rPr>
              <w:lastRenderedPageBreak/>
              <w:drawing>
                <wp:inline distT="0" distB="0" distL="0" distR="0" wp14:anchorId="79EAA66D" wp14:editId="39FF926B">
                  <wp:extent cx="1263015" cy="1502410"/>
                  <wp:effectExtent l="0" t="0" r="0" b="2540"/>
                  <wp:docPr id="26" name="圖片 26" descr="鄭國漢教授，J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9" descr="鄭國漢教授，JP"/>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63015" cy="1502410"/>
                          </a:xfrm>
                          <a:prstGeom prst="rect">
                            <a:avLst/>
                          </a:prstGeom>
                          <a:noFill/>
                          <a:ln>
                            <a:noFill/>
                          </a:ln>
                        </pic:spPr>
                      </pic:pic>
                    </a:graphicData>
                  </a:graphic>
                </wp:inline>
              </w:drawing>
            </w:r>
          </w:p>
          <w:p w:rsidR="00A22407" w:rsidRPr="00D21AD5" w:rsidRDefault="00A22407" w:rsidP="00A22407">
            <w:pPr>
              <w:jc w:val="center"/>
              <w:rPr>
                <w:rFonts w:ascii="新細明體" w:hAnsi="新細明體"/>
                <w:bCs/>
                <w:szCs w:val="24"/>
              </w:rPr>
            </w:pPr>
            <w:r w:rsidRPr="00D21AD5">
              <w:rPr>
                <w:rFonts w:ascii="新細明體" w:hAnsi="新細明體" w:hint="eastAsia"/>
                <w:bCs/>
                <w:szCs w:val="24"/>
              </w:rPr>
              <w:t>鄭國漢教授</w:t>
            </w:r>
          </w:p>
          <w:p w:rsidR="00A22407" w:rsidRPr="00E0358E" w:rsidRDefault="00A22407" w:rsidP="00A22407">
            <w:pPr>
              <w:jc w:val="center"/>
              <w:rPr>
                <w:rFonts w:ascii="標楷體" w:eastAsia="標楷體" w:hAnsi="標楷體"/>
                <w:szCs w:val="24"/>
              </w:rPr>
            </w:pPr>
            <w:r w:rsidRPr="00D21AD5">
              <w:rPr>
                <w:rFonts w:ascii="新細明體" w:hAnsi="新細明體" w:hint="eastAsia"/>
                <w:bCs/>
                <w:szCs w:val="24"/>
              </w:rPr>
              <w:t>證監會非執行董事</w:t>
            </w:r>
          </w:p>
        </w:tc>
        <w:tc>
          <w:tcPr>
            <w:tcW w:w="6519" w:type="dxa"/>
            <w:tcBorders>
              <w:top w:val="single" w:sz="4" w:space="0" w:color="auto"/>
              <w:left w:val="single" w:sz="4" w:space="0" w:color="auto"/>
              <w:bottom w:val="single" w:sz="4" w:space="0" w:color="auto"/>
              <w:right w:val="single" w:sz="4" w:space="0" w:color="auto"/>
            </w:tcBorders>
            <w:shd w:val="clear" w:color="auto" w:fill="auto"/>
            <w:vAlign w:val="center"/>
          </w:tcPr>
          <w:p w:rsidR="00A22407" w:rsidRPr="00D21AD5" w:rsidRDefault="00A22407" w:rsidP="00A22407">
            <w:pPr>
              <w:numPr>
                <w:ilvl w:val="0"/>
                <w:numId w:val="18"/>
              </w:numPr>
              <w:spacing w:line="400" w:lineRule="atLeast"/>
              <w:ind w:left="295" w:hanging="284"/>
              <w:jc w:val="both"/>
              <w:rPr>
                <w:rFonts w:ascii="新細明體" w:hAnsi="新細明體"/>
                <w:bCs/>
                <w:szCs w:val="24"/>
              </w:rPr>
            </w:pPr>
            <w:r w:rsidRPr="00D21AD5">
              <w:rPr>
                <w:rFonts w:ascii="新細明體" w:hAnsi="新細明體" w:hint="eastAsia"/>
                <w:bCs/>
                <w:szCs w:val="24"/>
              </w:rPr>
              <w:t>由 2011年1月 1日起，現時任期將於 2014年12月31日屆滿</w:t>
            </w:r>
          </w:p>
          <w:p w:rsidR="00A22407" w:rsidRPr="00D21AD5" w:rsidRDefault="00A22407" w:rsidP="00A22407">
            <w:pPr>
              <w:numPr>
                <w:ilvl w:val="0"/>
                <w:numId w:val="18"/>
              </w:numPr>
              <w:spacing w:line="400" w:lineRule="atLeast"/>
              <w:ind w:left="295" w:hanging="284"/>
              <w:jc w:val="both"/>
              <w:rPr>
                <w:rFonts w:ascii="新細明體" w:hAnsi="新細明體"/>
                <w:bCs/>
                <w:szCs w:val="24"/>
              </w:rPr>
            </w:pPr>
            <w:r w:rsidRPr="00D21AD5">
              <w:rPr>
                <w:rFonts w:ascii="新細明體" w:hAnsi="新細明體" w:hint="eastAsia"/>
                <w:bCs/>
                <w:szCs w:val="24"/>
              </w:rPr>
              <w:t>嶺南大學校長兼經濟學講座教授；投資者教育中心主席；競爭事務委員會委員；經濟發展委員會委員；香港金融研究中心董事(2010-2013)；統計諮詢委員會委員(2010-2013)；香港港口發展局成員(2011-2012)；臨時最低工資委員會成員(2009-2010)；廣播事務管理局成員(2003-2009)；人力發展委員會委員(2002-2006)；淨化海港計劃試驗及研究監察小組成員(2001-2003)；投資推廣策略小組成員(2000-2001)；新稅項事宜諮詢委員會成員(2000-2001)；策略性污水排放計劃國際專家小組成員(2000-2001)；太平洋經濟合作香港委員會成員(1998-2004)；經濟諮詢委員會委員(1996-2001)；長江開發滬港促進會成員(1998-2002)。</w:t>
            </w:r>
          </w:p>
          <w:p w:rsidR="00A22407" w:rsidRPr="00D21AD5" w:rsidRDefault="00A22407" w:rsidP="00A22407">
            <w:pPr>
              <w:numPr>
                <w:ilvl w:val="0"/>
                <w:numId w:val="18"/>
              </w:numPr>
              <w:spacing w:line="400" w:lineRule="atLeast"/>
              <w:ind w:left="295" w:hanging="284"/>
              <w:jc w:val="both"/>
              <w:rPr>
                <w:rFonts w:ascii="新細明體" w:hAnsi="新細明體"/>
                <w:bCs/>
                <w:szCs w:val="24"/>
              </w:rPr>
            </w:pPr>
            <w:r w:rsidRPr="00D21AD5">
              <w:rPr>
                <w:rFonts w:ascii="新細明體" w:hAnsi="新細明體" w:hint="eastAsia"/>
                <w:bCs/>
                <w:szCs w:val="24"/>
              </w:rPr>
              <w:t>薪酬委員會及財政預算委員會副主席。</w:t>
            </w:r>
          </w:p>
          <w:p w:rsidR="00A22407" w:rsidRPr="00E0358E" w:rsidRDefault="00A22407" w:rsidP="00A22407">
            <w:pPr>
              <w:numPr>
                <w:ilvl w:val="0"/>
                <w:numId w:val="18"/>
              </w:numPr>
              <w:spacing w:line="400" w:lineRule="atLeast"/>
              <w:ind w:left="295" w:hanging="284"/>
              <w:jc w:val="both"/>
              <w:rPr>
                <w:rFonts w:ascii="標楷體" w:eastAsia="標楷體" w:hAnsi="標楷體"/>
                <w:bCs/>
                <w:szCs w:val="24"/>
              </w:rPr>
            </w:pPr>
            <w:r w:rsidRPr="00D21AD5">
              <w:rPr>
                <w:rFonts w:ascii="新細明體" w:hAnsi="新細明體" w:hint="eastAsia"/>
                <w:bCs/>
                <w:szCs w:val="24"/>
              </w:rPr>
              <w:t>證監會（香港交易所上市）上訴委員會委員。</w:t>
            </w:r>
          </w:p>
        </w:tc>
      </w:tr>
      <w:tr w:rsidR="00A22407" w:rsidRPr="00320151" w:rsidTr="00A22407">
        <w:trPr>
          <w:cantSplit/>
          <w:trHeight w:val="6505"/>
          <w:jc w:val="center"/>
        </w:trPr>
        <w:tc>
          <w:tcPr>
            <w:tcW w:w="2303" w:type="dxa"/>
            <w:tcBorders>
              <w:top w:val="single" w:sz="4" w:space="0" w:color="auto"/>
              <w:left w:val="single" w:sz="4" w:space="0" w:color="auto"/>
              <w:bottom w:val="single" w:sz="4" w:space="0" w:color="auto"/>
              <w:right w:val="single" w:sz="4" w:space="0" w:color="auto"/>
            </w:tcBorders>
            <w:shd w:val="clear" w:color="auto" w:fill="auto"/>
            <w:vAlign w:val="center"/>
          </w:tcPr>
          <w:p w:rsidR="00A22407" w:rsidRPr="00E0358E" w:rsidRDefault="00A22407" w:rsidP="00A22407">
            <w:pPr>
              <w:jc w:val="center"/>
              <w:rPr>
                <w:rFonts w:ascii="標楷體" w:eastAsia="標楷體" w:hAnsi="標楷體"/>
                <w:szCs w:val="24"/>
              </w:rPr>
            </w:pPr>
            <w:r>
              <w:rPr>
                <w:rFonts w:ascii="標楷體" w:eastAsia="標楷體" w:hAnsi="標楷體"/>
                <w:noProof/>
                <w:szCs w:val="24"/>
              </w:rPr>
              <w:drawing>
                <wp:inline distT="0" distB="0" distL="0" distR="0" wp14:anchorId="1CA0DF3A" wp14:editId="62A06B11">
                  <wp:extent cx="1295400" cy="1534795"/>
                  <wp:effectExtent l="0" t="0" r="0" b="8255"/>
                  <wp:docPr id="27" name="圖片 27" descr="高育賢，J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0" descr="高育賢，JP"/>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95400" cy="1534795"/>
                          </a:xfrm>
                          <a:prstGeom prst="rect">
                            <a:avLst/>
                          </a:prstGeom>
                          <a:noFill/>
                          <a:ln>
                            <a:noFill/>
                          </a:ln>
                        </pic:spPr>
                      </pic:pic>
                    </a:graphicData>
                  </a:graphic>
                </wp:inline>
              </w:drawing>
            </w:r>
          </w:p>
          <w:p w:rsidR="00A22407" w:rsidRPr="00D21AD5" w:rsidRDefault="00A22407" w:rsidP="00A22407">
            <w:pPr>
              <w:jc w:val="center"/>
              <w:rPr>
                <w:rFonts w:ascii="新細明體" w:hAnsi="新細明體"/>
                <w:bCs/>
                <w:szCs w:val="24"/>
              </w:rPr>
            </w:pPr>
            <w:r w:rsidRPr="00D21AD5">
              <w:rPr>
                <w:rFonts w:ascii="新細明體" w:hAnsi="新細明體" w:hint="eastAsia"/>
                <w:bCs/>
                <w:szCs w:val="24"/>
              </w:rPr>
              <w:t>高育賢</w:t>
            </w:r>
          </w:p>
          <w:p w:rsidR="00A22407" w:rsidRPr="00E0358E" w:rsidRDefault="00A22407" w:rsidP="00A22407">
            <w:pPr>
              <w:jc w:val="center"/>
              <w:rPr>
                <w:rFonts w:ascii="標楷體" w:eastAsia="標楷體" w:hAnsi="標楷體"/>
                <w:szCs w:val="24"/>
              </w:rPr>
            </w:pPr>
            <w:r w:rsidRPr="00D21AD5">
              <w:rPr>
                <w:rFonts w:ascii="新細明體" w:hAnsi="新細明體" w:hint="eastAsia"/>
                <w:bCs/>
                <w:szCs w:val="24"/>
              </w:rPr>
              <w:t>證監會非執行董事</w:t>
            </w:r>
          </w:p>
        </w:tc>
        <w:tc>
          <w:tcPr>
            <w:tcW w:w="6519" w:type="dxa"/>
            <w:tcBorders>
              <w:top w:val="single" w:sz="4" w:space="0" w:color="auto"/>
              <w:left w:val="single" w:sz="4" w:space="0" w:color="auto"/>
              <w:bottom w:val="single" w:sz="4" w:space="0" w:color="auto"/>
              <w:right w:val="single" w:sz="4" w:space="0" w:color="auto"/>
            </w:tcBorders>
            <w:shd w:val="clear" w:color="auto" w:fill="auto"/>
            <w:vAlign w:val="center"/>
          </w:tcPr>
          <w:p w:rsidR="00A22407" w:rsidRPr="00D21AD5" w:rsidRDefault="00A22407" w:rsidP="00A22407">
            <w:pPr>
              <w:numPr>
                <w:ilvl w:val="0"/>
                <w:numId w:val="18"/>
              </w:numPr>
              <w:spacing w:line="400" w:lineRule="atLeast"/>
              <w:ind w:left="270" w:hanging="283"/>
              <w:jc w:val="both"/>
              <w:rPr>
                <w:rFonts w:ascii="新細明體" w:hAnsi="新細明體"/>
                <w:bCs/>
                <w:szCs w:val="24"/>
              </w:rPr>
            </w:pPr>
            <w:r w:rsidRPr="00D21AD5">
              <w:rPr>
                <w:rFonts w:ascii="新細明體" w:hAnsi="新細明體" w:hint="eastAsia"/>
                <w:bCs/>
                <w:szCs w:val="24"/>
              </w:rPr>
              <w:t>由 2012年8月 1日起，現時任期將於 2016年7月31日屆滿</w:t>
            </w:r>
          </w:p>
          <w:p w:rsidR="00A22407" w:rsidRPr="00D21AD5" w:rsidRDefault="00A22407" w:rsidP="00A22407">
            <w:pPr>
              <w:numPr>
                <w:ilvl w:val="0"/>
                <w:numId w:val="18"/>
              </w:numPr>
              <w:spacing w:line="400" w:lineRule="atLeast"/>
              <w:ind w:left="270" w:hanging="283"/>
              <w:jc w:val="both"/>
              <w:rPr>
                <w:rFonts w:ascii="新細明體" w:hAnsi="新細明體"/>
                <w:bCs/>
                <w:szCs w:val="24"/>
              </w:rPr>
            </w:pPr>
            <w:r w:rsidRPr="00D21AD5">
              <w:rPr>
                <w:rFonts w:ascii="新細明體" w:hAnsi="新細明體" w:hint="eastAsia"/>
                <w:bCs/>
                <w:szCs w:val="24"/>
              </w:rPr>
              <w:t>富而德律師事務所中國區主席、合夥人；執業律師；香港外匯基金諮詢委員會委員；中國證券監督管理委員會上市公司併購重組專家咨詢委員會委員；紀律人員薪俸及服務條件常務委員會委員；香港聯合交易所有限公司上市委員會主席（2009 – 2012）及上市委員會副主席（2006 – 2009）；香港旅遊業議會獨立董事（2005 – 2010）；公司法改革常務委員會委員（2005 – 2011）。</w:t>
            </w:r>
          </w:p>
          <w:p w:rsidR="00A22407" w:rsidRPr="00E0358E" w:rsidRDefault="00A22407" w:rsidP="00A22407">
            <w:pPr>
              <w:numPr>
                <w:ilvl w:val="0"/>
                <w:numId w:val="18"/>
              </w:numPr>
              <w:spacing w:line="400" w:lineRule="atLeast"/>
              <w:ind w:left="270" w:hanging="283"/>
              <w:jc w:val="both"/>
              <w:rPr>
                <w:rFonts w:ascii="標楷體" w:eastAsia="標楷體" w:hAnsi="標楷體"/>
                <w:bCs/>
                <w:szCs w:val="24"/>
              </w:rPr>
            </w:pPr>
            <w:r w:rsidRPr="00D21AD5">
              <w:rPr>
                <w:rFonts w:ascii="新細明體" w:hAnsi="新細明體" w:hint="eastAsia"/>
                <w:bCs/>
                <w:szCs w:val="24"/>
              </w:rPr>
              <w:t>收購及合併委員會副主席；稽核委員會、財政預算委員會、薪酬委員會、收購上訴委員會及證監會（香港交易所上市）上訴委員會委員。</w:t>
            </w:r>
          </w:p>
        </w:tc>
      </w:tr>
      <w:tr w:rsidR="00A22407" w:rsidRPr="00320151" w:rsidTr="00A22407">
        <w:trPr>
          <w:cantSplit/>
          <w:trHeight w:val="6505"/>
          <w:jc w:val="center"/>
        </w:trPr>
        <w:tc>
          <w:tcPr>
            <w:tcW w:w="2303" w:type="dxa"/>
            <w:tcBorders>
              <w:top w:val="single" w:sz="4" w:space="0" w:color="auto"/>
              <w:left w:val="single" w:sz="4" w:space="0" w:color="auto"/>
              <w:bottom w:val="single" w:sz="4" w:space="0" w:color="auto"/>
              <w:right w:val="single" w:sz="4" w:space="0" w:color="auto"/>
            </w:tcBorders>
            <w:shd w:val="clear" w:color="auto" w:fill="auto"/>
            <w:vAlign w:val="center"/>
          </w:tcPr>
          <w:p w:rsidR="00A22407" w:rsidRPr="00E0358E" w:rsidRDefault="00A22407" w:rsidP="00A22407">
            <w:pPr>
              <w:jc w:val="center"/>
              <w:rPr>
                <w:rFonts w:ascii="標楷體" w:eastAsia="標楷體" w:hAnsi="標楷體"/>
                <w:szCs w:val="24"/>
              </w:rPr>
            </w:pPr>
            <w:r>
              <w:rPr>
                <w:rFonts w:ascii="標楷體" w:eastAsia="標楷體" w:hAnsi="標楷體"/>
                <w:noProof/>
                <w:szCs w:val="24"/>
              </w:rPr>
              <w:lastRenderedPageBreak/>
              <w:drawing>
                <wp:inline distT="0" distB="0" distL="0" distR="0" wp14:anchorId="3F385174" wp14:editId="6E99A6A8">
                  <wp:extent cx="1273810" cy="1524000"/>
                  <wp:effectExtent l="0" t="0" r="2540" b="0"/>
                  <wp:docPr id="28" name="圖片 28" descr="李金鴻，J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1" descr="李金鴻，JP"/>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73810" cy="1524000"/>
                          </a:xfrm>
                          <a:prstGeom prst="rect">
                            <a:avLst/>
                          </a:prstGeom>
                          <a:noFill/>
                          <a:ln>
                            <a:noFill/>
                          </a:ln>
                        </pic:spPr>
                      </pic:pic>
                    </a:graphicData>
                  </a:graphic>
                </wp:inline>
              </w:drawing>
            </w:r>
          </w:p>
          <w:p w:rsidR="00A22407" w:rsidRPr="00D21AD5" w:rsidRDefault="00A22407" w:rsidP="00A22407">
            <w:pPr>
              <w:jc w:val="center"/>
              <w:rPr>
                <w:rFonts w:ascii="新細明體" w:hAnsi="新細明體"/>
                <w:bCs/>
                <w:szCs w:val="24"/>
              </w:rPr>
            </w:pPr>
            <w:r w:rsidRPr="00D21AD5">
              <w:rPr>
                <w:rFonts w:ascii="新細明體" w:hAnsi="新細明體" w:hint="eastAsia"/>
                <w:bCs/>
                <w:szCs w:val="24"/>
              </w:rPr>
              <w:t>李金鴻</w:t>
            </w:r>
          </w:p>
          <w:p w:rsidR="00A22407" w:rsidRPr="00E0358E" w:rsidRDefault="00A22407" w:rsidP="00A22407">
            <w:pPr>
              <w:jc w:val="center"/>
              <w:rPr>
                <w:rFonts w:ascii="標楷體" w:eastAsia="標楷體" w:hAnsi="標楷體"/>
                <w:szCs w:val="24"/>
              </w:rPr>
            </w:pPr>
            <w:r w:rsidRPr="00D21AD5">
              <w:rPr>
                <w:rFonts w:ascii="新細明體" w:hAnsi="新細明體" w:hint="eastAsia"/>
                <w:bCs/>
                <w:szCs w:val="24"/>
              </w:rPr>
              <w:t>證監會非執行董事</w:t>
            </w:r>
          </w:p>
        </w:tc>
        <w:tc>
          <w:tcPr>
            <w:tcW w:w="6519" w:type="dxa"/>
            <w:tcBorders>
              <w:top w:val="single" w:sz="4" w:space="0" w:color="auto"/>
              <w:left w:val="single" w:sz="4" w:space="0" w:color="auto"/>
              <w:bottom w:val="single" w:sz="4" w:space="0" w:color="auto"/>
              <w:right w:val="single" w:sz="4" w:space="0" w:color="auto"/>
            </w:tcBorders>
            <w:shd w:val="clear" w:color="auto" w:fill="auto"/>
            <w:vAlign w:val="center"/>
          </w:tcPr>
          <w:p w:rsidR="00A22407" w:rsidRPr="00D21AD5" w:rsidRDefault="00A22407" w:rsidP="00A22407">
            <w:pPr>
              <w:numPr>
                <w:ilvl w:val="0"/>
                <w:numId w:val="18"/>
              </w:numPr>
              <w:spacing w:line="400" w:lineRule="atLeast"/>
              <w:ind w:left="270" w:hanging="283"/>
              <w:jc w:val="both"/>
              <w:rPr>
                <w:rFonts w:ascii="新細明體" w:hAnsi="新細明體"/>
                <w:bCs/>
                <w:szCs w:val="24"/>
              </w:rPr>
            </w:pPr>
            <w:r w:rsidRPr="00D21AD5">
              <w:rPr>
                <w:rFonts w:ascii="新細明體" w:hAnsi="新細明體" w:hint="eastAsia"/>
                <w:bCs/>
                <w:szCs w:val="24"/>
              </w:rPr>
              <w:t>由 2009年11月15日起，現時任期將於 2015年11月14日屆滿</w:t>
            </w:r>
          </w:p>
          <w:p w:rsidR="00A22407" w:rsidRPr="00D21AD5" w:rsidRDefault="00A22407" w:rsidP="00A22407">
            <w:pPr>
              <w:numPr>
                <w:ilvl w:val="0"/>
                <w:numId w:val="18"/>
              </w:numPr>
              <w:spacing w:line="400" w:lineRule="atLeast"/>
              <w:ind w:left="270" w:hanging="283"/>
              <w:jc w:val="both"/>
              <w:rPr>
                <w:rFonts w:ascii="新細明體" w:hAnsi="新細明體"/>
                <w:bCs/>
                <w:szCs w:val="24"/>
              </w:rPr>
            </w:pPr>
            <w:r w:rsidRPr="00D21AD5">
              <w:rPr>
                <w:rFonts w:ascii="新細明體" w:hAnsi="新細明體" w:hint="eastAsia"/>
                <w:bCs/>
                <w:szCs w:val="24"/>
              </w:rPr>
              <w:t>貝克‧麥堅時律師事務所香港、中國、越南及韓國辦事處主席；貝克‧麥堅時律師事務所商業和證券部成員；貝克‧麥堅時律師事務所亞太區域委員會主席(1999-2000)；貝克‧麥堅時律師事務所全球執行委員會成員(1997-2000)；東區尤德夫人那打素醫院管治委員會主席；香港證券專業學會資深會員；香港房屋協會監事委員會委員(2000-2004)。</w:t>
            </w:r>
          </w:p>
          <w:p w:rsidR="00A22407" w:rsidRPr="00D21AD5" w:rsidRDefault="00A22407" w:rsidP="00A22407">
            <w:pPr>
              <w:numPr>
                <w:ilvl w:val="0"/>
                <w:numId w:val="18"/>
              </w:numPr>
              <w:spacing w:line="400" w:lineRule="atLeast"/>
              <w:ind w:left="270" w:hanging="283"/>
              <w:jc w:val="both"/>
              <w:rPr>
                <w:rFonts w:ascii="新細明體" w:hAnsi="新細明體"/>
                <w:bCs/>
                <w:szCs w:val="24"/>
              </w:rPr>
            </w:pPr>
            <w:r w:rsidRPr="00D21AD5">
              <w:rPr>
                <w:rFonts w:ascii="新細明體" w:hAnsi="新細明體" w:hint="eastAsia"/>
                <w:bCs/>
                <w:szCs w:val="24"/>
              </w:rPr>
              <w:t>薪酬委員會主席、稽核委員會及證監會（香港交易所上市）上訴委員會委員。</w:t>
            </w:r>
          </w:p>
        </w:tc>
      </w:tr>
      <w:tr w:rsidR="00A22407" w:rsidRPr="00320151" w:rsidTr="00A22407">
        <w:trPr>
          <w:cantSplit/>
          <w:trHeight w:val="6505"/>
          <w:jc w:val="center"/>
        </w:trPr>
        <w:tc>
          <w:tcPr>
            <w:tcW w:w="2303" w:type="dxa"/>
            <w:tcBorders>
              <w:top w:val="single" w:sz="4" w:space="0" w:color="auto"/>
              <w:left w:val="single" w:sz="4" w:space="0" w:color="auto"/>
              <w:bottom w:val="single" w:sz="4" w:space="0" w:color="auto"/>
              <w:right w:val="single" w:sz="4" w:space="0" w:color="auto"/>
            </w:tcBorders>
            <w:shd w:val="clear" w:color="auto" w:fill="auto"/>
            <w:vAlign w:val="center"/>
          </w:tcPr>
          <w:p w:rsidR="00A22407" w:rsidRPr="00E0358E" w:rsidRDefault="00A22407" w:rsidP="00A22407">
            <w:pPr>
              <w:jc w:val="center"/>
              <w:rPr>
                <w:rFonts w:ascii="標楷體" w:eastAsia="標楷體" w:hAnsi="標楷體"/>
                <w:szCs w:val="24"/>
              </w:rPr>
            </w:pPr>
            <w:r>
              <w:rPr>
                <w:rFonts w:ascii="標楷體" w:eastAsia="標楷體" w:hAnsi="標楷體"/>
                <w:noProof/>
                <w:szCs w:val="24"/>
              </w:rPr>
              <w:drawing>
                <wp:inline distT="0" distB="0" distL="0" distR="0" wp14:anchorId="179B5ADE" wp14:editId="3DF9B66A">
                  <wp:extent cx="1339215" cy="1600200"/>
                  <wp:effectExtent l="0" t="0" r="0" b="0"/>
                  <wp:docPr id="29" name="圖片 29" descr="馬雪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2" descr="馬雪征"/>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339215" cy="1600200"/>
                          </a:xfrm>
                          <a:prstGeom prst="rect">
                            <a:avLst/>
                          </a:prstGeom>
                          <a:noFill/>
                          <a:ln>
                            <a:noFill/>
                          </a:ln>
                        </pic:spPr>
                      </pic:pic>
                    </a:graphicData>
                  </a:graphic>
                </wp:inline>
              </w:drawing>
            </w:r>
          </w:p>
          <w:p w:rsidR="00A22407" w:rsidRPr="00D21AD5" w:rsidRDefault="00A22407" w:rsidP="00A22407">
            <w:pPr>
              <w:jc w:val="center"/>
              <w:rPr>
                <w:rFonts w:ascii="新細明體" w:hAnsi="新細明體"/>
                <w:bCs/>
                <w:szCs w:val="24"/>
              </w:rPr>
            </w:pPr>
            <w:r w:rsidRPr="00D21AD5">
              <w:rPr>
                <w:rFonts w:ascii="新細明體" w:hAnsi="新細明體" w:hint="eastAsia"/>
                <w:bCs/>
                <w:szCs w:val="24"/>
              </w:rPr>
              <w:t>馬雪征</w:t>
            </w:r>
          </w:p>
          <w:p w:rsidR="00A22407" w:rsidRPr="00E0358E" w:rsidRDefault="00A22407" w:rsidP="00A22407">
            <w:pPr>
              <w:jc w:val="center"/>
              <w:rPr>
                <w:rFonts w:ascii="標楷體" w:eastAsia="標楷體" w:hAnsi="標楷體"/>
                <w:szCs w:val="24"/>
              </w:rPr>
            </w:pPr>
            <w:r w:rsidRPr="00D21AD5">
              <w:rPr>
                <w:rFonts w:ascii="新細明體" w:hAnsi="新細明體" w:hint="eastAsia"/>
                <w:bCs/>
                <w:szCs w:val="24"/>
              </w:rPr>
              <w:t>證監會非執行董事</w:t>
            </w:r>
          </w:p>
        </w:tc>
        <w:tc>
          <w:tcPr>
            <w:tcW w:w="6519" w:type="dxa"/>
            <w:tcBorders>
              <w:top w:val="single" w:sz="4" w:space="0" w:color="auto"/>
              <w:left w:val="single" w:sz="4" w:space="0" w:color="auto"/>
              <w:bottom w:val="single" w:sz="4" w:space="0" w:color="auto"/>
              <w:right w:val="single" w:sz="4" w:space="0" w:color="auto"/>
            </w:tcBorders>
            <w:shd w:val="clear" w:color="auto" w:fill="auto"/>
            <w:vAlign w:val="center"/>
          </w:tcPr>
          <w:p w:rsidR="00A22407" w:rsidRPr="00D21AD5" w:rsidRDefault="00A22407" w:rsidP="00A22407">
            <w:pPr>
              <w:numPr>
                <w:ilvl w:val="0"/>
                <w:numId w:val="18"/>
              </w:numPr>
              <w:spacing w:line="400" w:lineRule="atLeast"/>
              <w:ind w:left="270" w:hanging="283"/>
              <w:jc w:val="both"/>
              <w:rPr>
                <w:rFonts w:ascii="新細明體" w:hAnsi="新細明體"/>
                <w:bCs/>
                <w:szCs w:val="24"/>
              </w:rPr>
            </w:pPr>
            <w:r w:rsidRPr="00D21AD5">
              <w:rPr>
                <w:rFonts w:ascii="新細明體" w:hAnsi="新細明體" w:hint="eastAsia"/>
                <w:bCs/>
                <w:szCs w:val="24"/>
              </w:rPr>
              <w:t>由 2013年11月15日起，現時任期將於 2015年11月14日屆滿</w:t>
            </w:r>
          </w:p>
          <w:p w:rsidR="00A22407" w:rsidRPr="00D21AD5" w:rsidRDefault="00A22407" w:rsidP="00A22407">
            <w:pPr>
              <w:numPr>
                <w:ilvl w:val="0"/>
                <w:numId w:val="18"/>
              </w:numPr>
              <w:spacing w:line="400" w:lineRule="atLeast"/>
              <w:ind w:left="270" w:hanging="283"/>
              <w:jc w:val="both"/>
              <w:rPr>
                <w:rFonts w:ascii="新細明體" w:hAnsi="新細明體"/>
                <w:bCs/>
                <w:szCs w:val="24"/>
              </w:rPr>
            </w:pPr>
            <w:r w:rsidRPr="00D21AD5">
              <w:rPr>
                <w:rFonts w:ascii="新細明體" w:hAnsi="新細明體" w:hint="eastAsia"/>
                <w:bCs/>
                <w:szCs w:val="24"/>
              </w:rPr>
              <w:t>博裕資本董事長；聯想集團有限公司獨立非執行董事；聯想集團有限公司高級副總裁及首席財務官 (1990-2007)；Unilever PLC、Unilever N.V.、寶光實業（國際）有限公司及物美商業集團非執行董事；香港董事學會會員；美國德太投資有限公司合夥人兼中國區聯席主席 (2007-2011)；哈佛大學肯尼迪政府學院院長委員會委員 (2002-2007)；達芙妮國際控股有限公司非執行董事 (2009-2011)；深圳發展銀行股份有限公司董事 (2007-2010)；渣打銀行（香港）有限公司獨立非執行董事 (2004-2013)；中國科學院國際合作局處長 (1978-1990)；香港交易及結算所有限公司上市委員會成員 (2009-2013)。</w:t>
            </w:r>
          </w:p>
          <w:p w:rsidR="00A22407" w:rsidRPr="00D21AD5" w:rsidRDefault="00A22407" w:rsidP="00A22407">
            <w:pPr>
              <w:numPr>
                <w:ilvl w:val="0"/>
                <w:numId w:val="18"/>
              </w:numPr>
              <w:spacing w:line="400" w:lineRule="atLeast"/>
              <w:ind w:left="270" w:hanging="283"/>
              <w:jc w:val="both"/>
              <w:rPr>
                <w:rFonts w:ascii="新細明體" w:hAnsi="新細明體"/>
                <w:bCs/>
                <w:szCs w:val="24"/>
              </w:rPr>
            </w:pPr>
            <w:r w:rsidRPr="00D21AD5">
              <w:rPr>
                <w:rFonts w:ascii="新細明體" w:hAnsi="新細明體" w:hint="eastAsia"/>
                <w:bCs/>
                <w:szCs w:val="24"/>
              </w:rPr>
              <w:t>薪酬委員會及投資委員會委員。</w:t>
            </w:r>
          </w:p>
        </w:tc>
      </w:tr>
      <w:tr w:rsidR="00A22407" w:rsidRPr="00320151" w:rsidTr="00A22407">
        <w:trPr>
          <w:cantSplit/>
          <w:trHeight w:val="6505"/>
          <w:jc w:val="center"/>
        </w:trPr>
        <w:tc>
          <w:tcPr>
            <w:tcW w:w="2303" w:type="dxa"/>
            <w:tcBorders>
              <w:top w:val="single" w:sz="4" w:space="0" w:color="auto"/>
              <w:left w:val="single" w:sz="4" w:space="0" w:color="auto"/>
              <w:bottom w:val="single" w:sz="4" w:space="0" w:color="auto"/>
              <w:right w:val="single" w:sz="4" w:space="0" w:color="auto"/>
            </w:tcBorders>
            <w:shd w:val="clear" w:color="auto" w:fill="auto"/>
            <w:vAlign w:val="center"/>
          </w:tcPr>
          <w:p w:rsidR="00A22407" w:rsidRPr="00D21AD5" w:rsidRDefault="00A22407" w:rsidP="00A22407">
            <w:pPr>
              <w:jc w:val="center"/>
              <w:rPr>
                <w:rFonts w:ascii="新細明體" w:hAnsi="新細明體"/>
                <w:szCs w:val="24"/>
              </w:rPr>
            </w:pPr>
            <w:r>
              <w:rPr>
                <w:rFonts w:ascii="新細明體" w:hAnsi="新細明體"/>
                <w:noProof/>
                <w:szCs w:val="24"/>
              </w:rPr>
              <w:lastRenderedPageBreak/>
              <w:drawing>
                <wp:inline distT="0" distB="0" distL="0" distR="0" wp14:anchorId="2FD7CA17" wp14:editId="04709612">
                  <wp:extent cx="1350010" cy="1610995"/>
                  <wp:effectExtent l="0" t="0" r="2540" b="8255"/>
                  <wp:docPr id="30" name="圖片 30" descr="黃天祐博士，JP，FHKI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3" descr="黃天祐博士，JP，FHKIoD"/>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350010" cy="1610995"/>
                          </a:xfrm>
                          <a:prstGeom prst="rect">
                            <a:avLst/>
                          </a:prstGeom>
                          <a:noFill/>
                          <a:ln>
                            <a:noFill/>
                          </a:ln>
                        </pic:spPr>
                      </pic:pic>
                    </a:graphicData>
                  </a:graphic>
                </wp:inline>
              </w:drawing>
            </w:r>
          </w:p>
          <w:p w:rsidR="00A22407" w:rsidRPr="00D21AD5" w:rsidRDefault="00A22407" w:rsidP="00A22407">
            <w:pPr>
              <w:jc w:val="center"/>
              <w:rPr>
                <w:rFonts w:ascii="新細明體" w:hAnsi="新細明體"/>
                <w:bCs/>
                <w:szCs w:val="24"/>
              </w:rPr>
            </w:pPr>
            <w:r w:rsidRPr="00D21AD5">
              <w:rPr>
                <w:rFonts w:ascii="新細明體" w:hAnsi="新細明體" w:hint="eastAsia"/>
                <w:bCs/>
                <w:szCs w:val="24"/>
              </w:rPr>
              <w:t>黃天祐博士</w:t>
            </w:r>
          </w:p>
          <w:p w:rsidR="00A22407" w:rsidRPr="00D21AD5" w:rsidRDefault="00A22407" w:rsidP="00A22407">
            <w:pPr>
              <w:jc w:val="center"/>
              <w:rPr>
                <w:rFonts w:ascii="新細明體" w:hAnsi="新細明體"/>
                <w:szCs w:val="24"/>
              </w:rPr>
            </w:pPr>
            <w:r w:rsidRPr="00D21AD5">
              <w:rPr>
                <w:rFonts w:ascii="新細明體" w:hAnsi="新細明體" w:hint="eastAsia"/>
                <w:bCs/>
                <w:szCs w:val="24"/>
              </w:rPr>
              <w:t>證監會非執行董事</w:t>
            </w:r>
          </w:p>
        </w:tc>
        <w:tc>
          <w:tcPr>
            <w:tcW w:w="6519" w:type="dxa"/>
            <w:tcBorders>
              <w:top w:val="single" w:sz="4" w:space="0" w:color="auto"/>
              <w:left w:val="single" w:sz="4" w:space="0" w:color="auto"/>
              <w:bottom w:val="single" w:sz="4" w:space="0" w:color="auto"/>
              <w:right w:val="single" w:sz="4" w:space="0" w:color="auto"/>
            </w:tcBorders>
            <w:shd w:val="clear" w:color="auto" w:fill="auto"/>
            <w:vAlign w:val="center"/>
          </w:tcPr>
          <w:p w:rsidR="00A22407" w:rsidRPr="00D21AD5" w:rsidRDefault="00A22407" w:rsidP="00A22407">
            <w:pPr>
              <w:numPr>
                <w:ilvl w:val="0"/>
                <w:numId w:val="18"/>
              </w:numPr>
              <w:spacing w:line="400" w:lineRule="atLeast"/>
              <w:ind w:left="270" w:hanging="283"/>
              <w:jc w:val="both"/>
              <w:rPr>
                <w:rFonts w:ascii="新細明體" w:hAnsi="新細明體"/>
                <w:bCs/>
                <w:szCs w:val="24"/>
              </w:rPr>
            </w:pPr>
            <w:r w:rsidRPr="00D21AD5">
              <w:rPr>
                <w:rFonts w:ascii="新細明體" w:hAnsi="新細明體" w:hint="eastAsia"/>
                <w:bCs/>
                <w:szCs w:val="24"/>
              </w:rPr>
              <w:t>由 2012年10月20日起，現時任期將於 2016年10月19日屆滿</w:t>
            </w:r>
          </w:p>
          <w:p w:rsidR="00A22407" w:rsidRPr="00D21AD5" w:rsidRDefault="00A22407" w:rsidP="00A22407">
            <w:pPr>
              <w:numPr>
                <w:ilvl w:val="0"/>
                <w:numId w:val="18"/>
              </w:numPr>
              <w:spacing w:line="400" w:lineRule="atLeast"/>
              <w:ind w:left="270" w:hanging="283"/>
              <w:jc w:val="both"/>
              <w:rPr>
                <w:rFonts w:ascii="新細明體" w:hAnsi="新細明體"/>
                <w:bCs/>
                <w:szCs w:val="24"/>
              </w:rPr>
            </w:pPr>
            <w:r w:rsidRPr="00D21AD5">
              <w:rPr>
                <w:rFonts w:ascii="新細明體" w:hAnsi="新細明體" w:hint="eastAsia"/>
                <w:bCs/>
                <w:szCs w:val="24"/>
              </w:rPr>
              <w:t>中遠太平洋有限公司執行董事兼董事副總經理；香港董事學會理事會主席(2009-2014年7月)；香港聯合交易所有限公司主板及創業板上市委員會成員(2007-2013)；財務匯報檢討委員團召集人兼成員；公司法改革常務委員會委員；廉政公署防止貪污諮詢委員會委員；上訴委員會（城市規劃）成員；香港體育學院有限公司董事；香港管理專業協會理事會委員；香港中樂團有限公司主席(2006-2008)及理事會顧問；經濟合作組織(OECD)企業管治圓桌會議核心成員。</w:t>
            </w:r>
          </w:p>
          <w:p w:rsidR="00A22407" w:rsidRPr="00D21AD5" w:rsidRDefault="00A22407" w:rsidP="00A22407">
            <w:pPr>
              <w:numPr>
                <w:ilvl w:val="0"/>
                <w:numId w:val="18"/>
              </w:numPr>
              <w:spacing w:line="400" w:lineRule="atLeast"/>
              <w:ind w:left="270" w:hanging="283"/>
              <w:jc w:val="both"/>
              <w:rPr>
                <w:rFonts w:ascii="新細明體" w:hAnsi="新細明體"/>
                <w:bCs/>
                <w:szCs w:val="24"/>
              </w:rPr>
            </w:pPr>
            <w:r w:rsidRPr="00D21AD5">
              <w:rPr>
                <w:rFonts w:ascii="新細明體" w:hAnsi="新細明體" w:hint="eastAsia"/>
                <w:bCs/>
                <w:szCs w:val="24"/>
              </w:rPr>
              <w:t>財政預算委員會主席；稽核委員會副主席；證監會（香港交易所上市）上訴委員會，投資委員會及薪酬委員會委員。</w:t>
            </w:r>
          </w:p>
        </w:tc>
      </w:tr>
      <w:tr w:rsidR="00A22407" w:rsidRPr="00320151" w:rsidTr="00A22407">
        <w:trPr>
          <w:cantSplit/>
          <w:trHeight w:val="6505"/>
          <w:jc w:val="center"/>
        </w:trPr>
        <w:tc>
          <w:tcPr>
            <w:tcW w:w="2303" w:type="dxa"/>
            <w:tcBorders>
              <w:top w:val="single" w:sz="4" w:space="0" w:color="auto"/>
              <w:left w:val="single" w:sz="4" w:space="0" w:color="auto"/>
              <w:bottom w:val="single" w:sz="4" w:space="0" w:color="auto"/>
              <w:right w:val="single" w:sz="4" w:space="0" w:color="auto"/>
            </w:tcBorders>
            <w:shd w:val="clear" w:color="auto" w:fill="auto"/>
            <w:vAlign w:val="center"/>
          </w:tcPr>
          <w:p w:rsidR="00A22407" w:rsidRPr="00D21AD5" w:rsidRDefault="00A22407" w:rsidP="00A22407">
            <w:pPr>
              <w:jc w:val="center"/>
              <w:rPr>
                <w:rFonts w:ascii="新細明體" w:hAnsi="新細明體"/>
                <w:szCs w:val="24"/>
              </w:rPr>
            </w:pPr>
            <w:r>
              <w:rPr>
                <w:rFonts w:ascii="新細明體" w:hAnsi="新細明體"/>
                <w:noProof/>
                <w:szCs w:val="24"/>
              </w:rPr>
              <w:drawing>
                <wp:inline distT="0" distB="0" distL="0" distR="0" wp14:anchorId="6E39EF7A" wp14:editId="3FA50B57">
                  <wp:extent cx="1295400" cy="1545590"/>
                  <wp:effectExtent l="0" t="0" r="0" b="0"/>
                  <wp:docPr id="31" name="圖片 31" descr="黃啟民，BBS，J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4" descr="黃啟民，BBS，JP"/>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295400" cy="1545590"/>
                          </a:xfrm>
                          <a:prstGeom prst="rect">
                            <a:avLst/>
                          </a:prstGeom>
                          <a:noFill/>
                          <a:ln>
                            <a:noFill/>
                          </a:ln>
                        </pic:spPr>
                      </pic:pic>
                    </a:graphicData>
                  </a:graphic>
                </wp:inline>
              </w:drawing>
            </w:r>
          </w:p>
          <w:p w:rsidR="00A22407" w:rsidRPr="00D21AD5" w:rsidRDefault="00A22407" w:rsidP="00A22407">
            <w:pPr>
              <w:jc w:val="center"/>
              <w:rPr>
                <w:rFonts w:ascii="新細明體" w:hAnsi="新細明體"/>
                <w:bCs/>
                <w:szCs w:val="24"/>
              </w:rPr>
            </w:pPr>
            <w:r w:rsidRPr="00D21AD5">
              <w:rPr>
                <w:rFonts w:ascii="新細明體" w:hAnsi="新細明體" w:hint="eastAsia"/>
                <w:bCs/>
                <w:szCs w:val="24"/>
              </w:rPr>
              <w:t>黃啟民</w:t>
            </w:r>
          </w:p>
          <w:p w:rsidR="00A22407" w:rsidRPr="00D21AD5" w:rsidRDefault="00A22407" w:rsidP="00A22407">
            <w:pPr>
              <w:jc w:val="center"/>
              <w:rPr>
                <w:rFonts w:ascii="新細明體" w:hAnsi="新細明體"/>
                <w:szCs w:val="24"/>
              </w:rPr>
            </w:pPr>
            <w:r w:rsidRPr="00D21AD5">
              <w:rPr>
                <w:rFonts w:ascii="新細明體" w:hAnsi="新細明體" w:hint="eastAsia"/>
                <w:bCs/>
                <w:szCs w:val="24"/>
              </w:rPr>
              <w:t>證監會非執行董事</w:t>
            </w:r>
          </w:p>
        </w:tc>
        <w:tc>
          <w:tcPr>
            <w:tcW w:w="6519" w:type="dxa"/>
            <w:tcBorders>
              <w:top w:val="single" w:sz="4" w:space="0" w:color="auto"/>
              <w:left w:val="single" w:sz="4" w:space="0" w:color="auto"/>
              <w:bottom w:val="single" w:sz="4" w:space="0" w:color="auto"/>
              <w:right w:val="single" w:sz="4" w:space="0" w:color="auto"/>
            </w:tcBorders>
            <w:shd w:val="clear" w:color="auto" w:fill="auto"/>
            <w:vAlign w:val="center"/>
          </w:tcPr>
          <w:p w:rsidR="00A22407" w:rsidRPr="00D21AD5" w:rsidRDefault="00A22407" w:rsidP="00A22407">
            <w:pPr>
              <w:numPr>
                <w:ilvl w:val="0"/>
                <w:numId w:val="18"/>
              </w:numPr>
              <w:spacing w:line="400" w:lineRule="atLeast"/>
              <w:ind w:left="270" w:hanging="283"/>
              <w:jc w:val="both"/>
              <w:rPr>
                <w:rFonts w:ascii="新細明體" w:hAnsi="新細明體"/>
                <w:bCs/>
                <w:szCs w:val="24"/>
              </w:rPr>
            </w:pPr>
            <w:r w:rsidRPr="00D21AD5">
              <w:rPr>
                <w:rFonts w:ascii="新細明體" w:hAnsi="新細明體" w:hint="eastAsia"/>
                <w:bCs/>
                <w:szCs w:val="24"/>
              </w:rPr>
              <w:t>由 2009年5月26日起，現時任期將於 2015年5月25日屆滿</w:t>
            </w:r>
          </w:p>
          <w:p w:rsidR="00A22407" w:rsidRPr="00D21AD5" w:rsidRDefault="00A22407" w:rsidP="00A22407">
            <w:pPr>
              <w:numPr>
                <w:ilvl w:val="0"/>
                <w:numId w:val="18"/>
              </w:numPr>
              <w:spacing w:line="400" w:lineRule="atLeast"/>
              <w:ind w:left="270" w:hanging="283"/>
              <w:jc w:val="both"/>
              <w:rPr>
                <w:rFonts w:ascii="新細明體" w:hAnsi="新細明體"/>
                <w:bCs/>
                <w:szCs w:val="24"/>
              </w:rPr>
            </w:pPr>
            <w:r w:rsidRPr="00D21AD5">
              <w:rPr>
                <w:rFonts w:ascii="新細明體" w:hAnsi="新細明體" w:hint="eastAsia"/>
                <w:bCs/>
                <w:szCs w:val="24"/>
              </w:rPr>
              <w:t>馮氏(1906)慈善基金有限公司董事；經綸慈善基金有限公司董事；香格里拉（亞洲）有限公司獨立非執行董事；新意網集團有限公司獨立非執行董事；南華早報集團有限公司獨立非執行董事；中國建設銀行股份有限公司獨立非執行董事；偉易達集團有限公司獨立非執行董事；香港大學商學院名譽副教授；香港聯合交易所有限公司創業板上市委員會委員(1999-2003)；靈實醫院醫院管治委員會委員；香港大學校董會及校務委員會成員；香港大學專業進修學院董事局委員；香港城市大學顧問委員會成員；基督教靈實協會董事；香港世界宣明會董事。</w:t>
            </w:r>
          </w:p>
          <w:p w:rsidR="00A22407" w:rsidRPr="00D21AD5" w:rsidRDefault="00A22407" w:rsidP="00A22407">
            <w:pPr>
              <w:numPr>
                <w:ilvl w:val="0"/>
                <w:numId w:val="18"/>
              </w:numPr>
              <w:spacing w:line="400" w:lineRule="atLeast"/>
              <w:ind w:left="270" w:hanging="283"/>
              <w:jc w:val="both"/>
              <w:rPr>
                <w:rFonts w:ascii="新細明體" w:hAnsi="新細明體"/>
                <w:bCs/>
                <w:szCs w:val="24"/>
              </w:rPr>
            </w:pPr>
            <w:r w:rsidRPr="00D21AD5">
              <w:rPr>
                <w:rFonts w:ascii="新細明體" w:hAnsi="新細明體" w:hint="eastAsia"/>
                <w:bCs/>
                <w:szCs w:val="24"/>
              </w:rPr>
              <w:t>稽核委員會主席；投資委員會副主席；財政預算委員會、薪酬委員會及證監會（香港交易所上市）上訴委員會委員。</w:t>
            </w:r>
          </w:p>
        </w:tc>
      </w:tr>
      <w:tr w:rsidR="00A22407" w:rsidRPr="00320151" w:rsidTr="00A22407">
        <w:trPr>
          <w:cantSplit/>
          <w:trHeight w:val="4101"/>
          <w:jc w:val="center"/>
        </w:trPr>
        <w:tc>
          <w:tcPr>
            <w:tcW w:w="2303" w:type="dxa"/>
            <w:tcBorders>
              <w:top w:val="single" w:sz="4" w:space="0" w:color="auto"/>
              <w:left w:val="single" w:sz="4" w:space="0" w:color="auto"/>
              <w:bottom w:val="single" w:sz="4" w:space="0" w:color="auto"/>
              <w:right w:val="single" w:sz="4" w:space="0" w:color="auto"/>
            </w:tcBorders>
            <w:shd w:val="clear" w:color="auto" w:fill="auto"/>
            <w:vAlign w:val="center"/>
          </w:tcPr>
          <w:p w:rsidR="00A22407" w:rsidRDefault="00A22407" w:rsidP="00A22407">
            <w:pPr>
              <w:jc w:val="center"/>
              <w:rPr>
                <w:rFonts w:ascii="標楷體" w:eastAsia="標楷體" w:hAnsi="標楷體"/>
                <w:szCs w:val="24"/>
              </w:rPr>
            </w:pPr>
            <w:r>
              <w:rPr>
                <w:rFonts w:ascii="標楷體" w:eastAsia="標楷體" w:hAnsi="標楷體"/>
                <w:noProof/>
                <w:szCs w:val="24"/>
              </w:rPr>
              <w:lastRenderedPageBreak/>
              <w:drawing>
                <wp:inline distT="0" distB="0" distL="0" distR="0" wp14:anchorId="39B0D15D" wp14:editId="4F5C9E92">
                  <wp:extent cx="1327785" cy="1578610"/>
                  <wp:effectExtent l="0" t="0" r="5715" b="2540"/>
                  <wp:docPr id="32" name="圖片 32" descr="王鳴峰博士，S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7" descr="王鳴峰博士，SC"/>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327785" cy="1578610"/>
                          </a:xfrm>
                          <a:prstGeom prst="rect">
                            <a:avLst/>
                          </a:prstGeom>
                          <a:noFill/>
                          <a:ln>
                            <a:noFill/>
                          </a:ln>
                        </pic:spPr>
                      </pic:pic>
                    </a:graphicData>
                  </a:graphic>
                </wp:inline>
              </w:drawing>
            </w:r>
          </w:p>
          <w:p w:rsidR="00A22407" w:rsidRPr="00D21AD5" w:rsidRDefault="00A22407" w:rsidP="00A22407">
            <w:pPr>
              <w:jc w:val="center"/>
              <w:rPr>
                <w:rFonts w:ascii="新細明體" w:hAnsi="新細明體"/>
                <w:bCs/>
                <w:szCs w:val="24"/>
              </w:rPr>
            </w:pPr>
            <w:r w:rsidRPr="00D21AD5">
              <w:rPr>
                <w:rFonts w:ascii="新細明體" w:hAnsi="新細明體" w:hint="eastAsia"/>
                <w:bCs/>
                <w:szCs w:val="24"/>
              </w:rPr>
              <w:t>王鳴峰博士</w:t>
            </w:r>
          </w:p>
          <w:p w:rsidR="00A22407" w:rsidRPr="00E0358E" w:rsidRDefault="00A22407" w:rsidP="00A22407">
            <w:pPr>
              <w:jc w:val="center"/>
              <w:rPr>
                <w:rFonts w:ascii="標楷體" w:eastAsia="標楷體" w:hAnsi="標楷體"/>
                <w:szCs w:val="24"/>
              </w:rPr>
            </w:pPr>
            <w:r w:rsidRPr="00D21AD5">
              <w:rPr>
                <w:rFonts w:ascii="新細明體" w:hAnsi="新細明體" w:hint="eastAsia"/>
                <w:bCs/>
                <w:szCs w:val="24"/>
              </w:rPr>
              <w:t>證監會非執行董事</w:t>
            </w:r>
          </w:p>
        </w:tc>
        <w:tc>
          <w:tcPr>
            <w:tcW w:w="6519" w:type="dxa"/>
            <w:tcBorders>
              <w:top w:val="single" w:sz="4" w:space="0" w:color="auto"/>
              <w:left w:val="single" w:sz="4" w:space="0" w:color="auto"/>
              <w:bottom w:val="single" w:sz="4" w:space="0" w:color="auto"/>
              <w:right w:val="single" w:sz="4" w:space="0" w:color="auto"/>
            </w:tcBorders>
            <w:shd w:val="clear" w:color="auto" w:fill="auto"/>
            <w:vAlign w:val="center"/>
          </w:tcPr>
          <w:p w:rsidR="00A22407" w:rsidRPr="00D21AD5" w:rsidRDefault="00A22407" w:rsidP="00A22407">
            <w:pPr>
              <w:numPr>
                <w:ilvl w:val="0"/>
                <w:numId w:val="18"/>
              </w:numPr>
              <w:spacing w:line="400" w:lineRule="atLeast"/>
              <w:ind w:left="344" w:hanging="344"/>
              <w:jc w:val="both"/>
              <w:rPr>
                <w:rFonts w:ascii="新細明體" w:hAnsi="新細明體"/>
                <w:bCs/>
                <w:szCs w:val="24"/>
              </w:rPr>
            </w:pPr>
            <w:r w:rsidRPr="00D21AD5">
              <w:rPr>
                <w:rFonts w:ascii="新細明體" w:hAnsi="新細明體" w:hint="eastAsia"/>
                <w:bCs/>
                <w:szCs w:val="24"/>
              </w:rPr>
              <w:t>由 2014年8月 1日起，現時任期將於 2016年7月31日屆滿</w:t>
            </w:r>
          </w:p>
          <w:p w:rsidR="00A22407" w:rsidRPr="00D21AD5" w:rsidRDefault="00A22407" w:rsidP="00A22407">
            <w:pPr>
              <w:numPr>
                <w:ilvl w:val="0"/>
                <w:numId w:val="18"/>
              </w:numPr>
              <w:spacing w:line="400" w:lineRule="atLeast"/>
              <w:ind w:left="344" w:hanging="344"/>
              <w:jc w:val="both"/>
              <w:rPr>
                <w:rFonts w:ascii="新細明體" w:hAnsi="新細明體"/>
                <w:bCs/>
                <w:szCs w:val="24"/>
              </w:rPr>
            </w:pPr>
            <w:r w:rsidRPr="00D21AD5">
              <w:rPr>
                <w:rFonts w:ascii="新細明體" w:hAnsi="新細明體" w:hint="eastAsia"/>
                <w:bCs/>
                <w:szCs w:val="24"/>
              </w:rPr>
              <w:t>香港德輔大律師事務所資深大律師; 英國特許仲裁學會院士; 香港保險業聯會上訴委員會委員(自2014年); 香港大律師公會大律師資格考試委員會委員(自2006年); 香港大律師公會大中華事務委員會委員(自2005年); 香港中殿法律學會董事 (自1999年)。</w:t>
            </w:r>
          </w:p>
          <w:p w:rsidR="00A22407" w:rsidRPr="00E0358E" w:rsidRDefault="00A22407" w:rsidP="00A22407">
            <w:pPr>
              <w:numPr>
                <w:ilvl w:val="0"/>
                <w:numId w:val="18"/>
              </w:numPr>
              <w:spacing w:line="400" w:lineRule="atLeast"/>
              <w:ind w:left="344" w:hanging="344"/>
              <w:jc w:val="both"/>
              <w:rPr>
                <w:rFonts w:ascii="標楷體" w:eastAsia="標楷體" w:hAnsi="標楷體"/>
                <w:bCs/>
                <w:szCs w:val="24"/>
              </w:rPr>
            </w:pPr>
            <w:r w:rsidRPr="00D21AD5">
              <w:rPr>
                <w:rFonts w:ascii="新細明體" w:hAnsi="新細明體" w:hint="eastAsia"/>
                <w:bCs/>
                <w:szCs w:val="24"/>
              </w:rPr>
              <w:t>薪酬委員會及稽核委員會委員。</w:t>
            </w:r>
          </w:p>
        </w:tc>
      </w:tr>
    </w:tbl>
    <w:p w:rsidR="00A22407" w:rsidRDefault="00A22407" w:rsidP="00A22407"/>
    <w:p w:rsidR="00A22407" w:rsidRDefault="00A22407" w:rsidP="00A22407"/>
    <w:p w:rsidR="00A22407" w:rsidRPr="00A22407" w:rsidRDefault="00A22407" w:rsidP="00A22407">
      <w:pPr>
        <w:rPr>
          <w:b/>
          <w:sz w:val="26"/>
          <w:szCs w:val="26"/>
        </w:rPr>
      </w:pPr>
      <w:r>
        <w:rPr>
          <w:rFonts w:hint="eastAsia"/>
          <w:b/>
          <w:sz w:val="26"/>
          <w:szCs w:val="26"/>
        </w:rPr>
        <w:t>外界人士委員會</w:t>
      </w:r>
    </w:p>
    <w:p w:rsidR="00A22407" w:rsidRPr="00170CC6" w:rsidRDefault="00A22407" w:rsidP="00D87576">
      <w:pPr>
        <w:widowControl/>
        <w:spacing w:before="100" w:beforeAutospacing="1" w:after="100" w:afterAutospacing="1" w:line="460" w:lineRule="exact"/>
        <w:ind w:firstLine="539"/>
        <w:jc w:val="both"/>
        <w:textAlignment w:val="baseline"/>
        <w:rPr>
          <w:rFonts w:eastAsia="細明體" w:hAnsi="細明體" w:cs="細明體"/>
          <w:kern w:val="0"/>
          <w:szCs w:val="24"/>
        </w:rPr>
      </w:pPr>
      <w:r w:rsidRPr="00320151">
        <w:rPr>
          <w:rFonts w:eastAsia="細明體" w:hAnsi="細明體" w:cs="細明體" w:hint="eastAsia"/>
          <w:kern w:val="0"/>
          <w:szCs w:val="24"/>
        </w:rPr>
        <w:t>證監會的工作與不同的市場參與者息息相關，因此該會設立了多個主要由外界人士組成的委員會，成員包括香港市場各方面的相關人士。這些委員會可分為“諮詢委員會”和“監管事務委員會”兩大類別，各委員會均在機構管治方面擔當重要角色。</w:t>
      </w:r>
    </w:p>
    <w:p w:rsidR="00A22407" w:rsidRPr="00D1618E" w:rsidRDefault="00A22407" w:rsidP="00D87576">
      <w:pPr>
        <w:spacing w:line="460" w:lineRule="exact"/>
        <w:rPr>
          <w:b/>
        </w:rPr>
      </w:pPr>
      <w:r w:rsidRPr="00D1618E">
        <w:rPr>
          <w:rFonts w:hint="eastAsia"/>
          <w:b/>
        </w:rPr>
        <w:t xml:space="preserve">     </w:t>
      </w:r>
      <w:r w:rsidRPr="00A22407">
        <w:rPr>
          <w:rFonts w:hint="eastAsia"/>
          <w:b/>
          <w:sz w:val="26"/>
          <w:szCs w:val="26"/>
        </w:rPr>
        <w:t xml:space="preserve"> </w:t>
      </w:r>
      <w:r w:rsidRPr="00A22407">
        <w:rPr>
          <w:rFonts w:hint="eastAsia"/>
          <w:b/>
          <w:sz w:val="26"/>
          <w:szCs w:val="26"/>
        </w:rPr>
        <w:t>諮詢委員會</w:t>
      </w:r>
    </w:p>
    <w:p w:rsidR="00A22407" w:rsidRPr="00170CC6" w:rsidRDefault="00A22407" w:rsidP="00D87576">
      <w:pPr>
        <w:widowControl/>
        <w:spacing w:before="100" w:beforeAutospacing="1" w:after="100" w:afterAutospacing="1" w:line="460" w:lineRule="exact"/>
        <w:ind w:leftChars="295" w:left="708"/>
        <w:jc w:val="both"/>
        <w:textAlignment w:val="baseline"/>
        <w:rPr>
          <w:rFonts w:eastAsia="細明體" w:hAnsi="細明體" w:cs="細明體"/>
          <w:kern w:val="0"/>
          <w:szCs w:val="24"/>
        </w:rPr>
      </w:pPr>
      <w:r>
        <w:rPr>
          <w:rFonts w:eastAsia="細明體" w:hAnsi="細明體" w:cs="細明體" w:hint="eastAsia"/>
          <w:kern w:val="0"/>
          <w:szCs w:val="24"/>
        </w:rPr>
        <w:t xml:space="preserve">    </w:t>
      </w:r>
      <w:r w:rsidRPr="00170CC6">
        <w:rPr>
          <w:rFonts w:eastAsia="細明體" w:hAnsi="細明體" w:cs="細明體" w:hint="eastAsia"/>
          <w:kern w:val="0"/>
          <w:szCs w:val="24"/>
        </w:rPr>
        <w:t>根據《證券及期貨條例》成立，就各項政策事宜提供精闢分析、意見及建議，由本會主席領導，成員包括行政總裁及另外不多於兩名執行董事，其餘大多數成員是由香港特區行政長官授權財政司司長委任。</w:t>
      </w:r>
    </w:p>
    <w:p w:rsidR="00A22407" w:rsidRPr="00A22407" w:rsidRDefault="00A22407" w:rsidP="00D87576">
      <w:pPr>
        <w:spacing w:line="460" w:lineRule="exact"/>
        <w:rPr>
          <w:b/>
        </w:rPr>
      </w:pPr>
      <w:r>
        <w:rPr>
          <w:rFonts w:hint="eastAsia"/>
          <w:lang w:val="zh-CN"/>
        </w:rPr>
        <w:t xml:space="preserve">   </w:t>
      </w:r>
      <w:r w:rsidRPr="00D1618E">
        <w:rPr>
          <w:rFonts w:hint="eastAsia"/>
          <w:b/>
          <w:lang w:val="zh-CN"/>
        </w:rPr>
        <w:t xml:space="preserve">   </w:t>
      </w:r>
      <w:r w:rsidRPr="00A22407">
        <w:rPr>
          <w:rFonts w:hint="eastAsia"/>
          <w:b/>
        </w:rPr>
        <w:t>各監管事務委員會及提名委員會</w:t>
      </w:r>
    </w:p>
    <w:p w:rsidR="00A22407" w:rsidRDefault="00A22407" w:rsidP="00D87576">
      <w:pPr>
        <w:widowControl/>
        <w:spacing w:before="100" w:beforeAutospacing="1" w:after="100" w:afterAutospacing="1" w:line="460" w:lineRule="exact"/>
        <w:ind w:leftChars="295" w:left="708" w:firstLine="539"/>
        <w:jc w:val="both"/>
        <w:textAlignment w:val="baseline"/>
        <w:rPr>
          <w:rFonts w:eastAsia="細明體" w:hAnsi="細明體" w:cs="細明體"/>
          <w:kern w:val="0"/>
          <w:szCs w:val="24"/>
        </w:rPr>
      </w:pPr>
      <w:r w:rsidRPr="00170CC6">
        <w:rPr>
          <w:rFonts w:eastAsia="細明體" w:hAnsi="細明體" w:cs="細明體" w:hint="eastAsia"/>
          <w:kern w:val="0"/>
          <w:szCs w:val="24"/>
        </w:rPr>
        <w:t>同樣根據《證券及期貨條例》成立，每個委員會專責特定的監管範疇，例如市場監察、投資產品及股東的權益。委員會成員由董事局委任，包括非執行董事、執行董事，而外界代表則佔大多數。</w:t>
      </w:r>
    </w:p>
    <w:p w:rsidR="00A22407" w:rsidRDefault="00A22407" w:rsidP="00A22407">
      <w:pPr>
        <w:rPr>
          <w:rFonts w:hint="eastAsia"/>
        </w:rPr>
      </w:pPr>
    </w:p>
    <w:p w:rsidR="00137057" w:rsidRDefault="00137057" w:rsidP="00A22407">
      <w:pPr>
        <w:rPr>
          <w:rFonts w:hint="eastAsia"/>
        </w:rPr>
      </w:pPr>
    </w:p>
    <w:p w:rsidR="00137057" w:rsidRDefault="00137057" w:rsidP="00A22407">
      <w:pPr>
        <w:rPr>
          <w:rFonts w:hint="eastAsia"/>
        </w:rPr>
      </w:pPr>
    </w:p>
    <w:p w:rsidR="00137057" w:rsidRDefault="00137057" w:rsidP="00A22407">
      <w:pPr>
        <w:rPr>
          <w:rFonts w:hint="eastAsia"/>
        </w:rPr>
      </w:pPr>
    </w:p>
    <w:p w:rsidR="00137057" w:rsidRDefault="00137057" w:rsidP="00A22407"/>
    <w:p w:rsidR="00A22407" w:rsidRPr="00A22407" w:rsidRDefault="00A22407" w:rsidP="00A22407">
      <w:pPr>
        <w:rPr>
          <w:b/>
          <w:sz w:val="26"/>
          <w:szCs w:val="26"/>
        </w:rPr>
      </w:pPr>
      <w:r w:rsidRPr="00A22407">
        <w:rPr>
          <w:rFonts w:hint="eastAsia"/>
          <w:b/>
          <w:sz w:val="26"/>
          <w:szCs w:val="26"/>
        </w:rPr>
        <w:lastRenderedPageBreak/>
        <w:t>內部委員會</w:t>
      </w:r>
    </w:p>
    <w:p w:rsidR="00A22407" w:rsidRDefault="00A22407" w:rsidP="00A22407">
      <w:pPr>
        <w:widowControl/>
        <w:spacing w:before="100" w:beforeAutospacing="1" w:after="100" w:afterAutospacing="1" w:line="440" w:lineRule="atLeast"/>
        <w:ind w:firstLine="539"/>
        <w:jc w:val="both"/>
        <w:textAlignment w:val="baseline"/>
        <w:rPr>
          <w:rFonts w:eastAsia="細明體" w:hAnsi="細明體" w:cs="細明體"/>
          <w:kern w:val="0"/>
          <w:szCs w:val="24"/>
        </w:rPr>
      </w:pPr>
      <w:r w:rsidRPr="00320151">
        <w:rPr>
          <w:rFonts w:eastAsia="細明體" w:hAnsi="細明體" w:cs="細明體" w:hint="eastAsia"/>
          <w:kern w:val="0"/>
          <w:szCs w:val="24"/>
        </w:rPr>
        <w:t>內部委員會由執行董事及</w:t>
      </w:r>
      <w:r w:rsidRPr="00320151">
        <w:rPr>
          <w:rFonts w:eastAsia="細明體" w:hAnsi="細明體" w:cs="細明體"/>
          <w:kern w:val="0"/>
          <w:szCs w:val="24"/>
        </w:rPr>
        <w:t>/</w:t>
      </w:r>
      <w:r w:rsidRPr="00320151">
        <w:rPr>
          <w:rFonts w:eastAsia="細明體" w:hAnsi="細明體" w:cs="細明體" w:hint="eastAsia"/>
          <w:kern w:val="0"/>
          <w:szCs w:val="24"/>
        </w:rPr>
        <w:t>或非執行董事組成</w:t>
      </w:r>
      <w:r w:rsidRPr="00320151">
        <w:rPr>
          <w:rFonts w:eastAsia="細明體" w:hAnsi="細明體" w:cs="細明體"/>
          <w:kern w:val="0"/>
          <w:szCs w:val="24"/>
        </w:rPr>
        <w:t>,</w:t>
      </w:r>
      <w:r w:rsidRPr="00320151">
        <w:rPr>
          <w:rFonts w:eastAsia="細明體" w:hAnsi="細明體" w:cs="細明體" w:hint="eastAsia"/>
          <w:kern w:val="0"/>
          <w:szCs w:val="24"/>
        </w:rPr>
        <w:t>負責研究特定的內部營運事宜。包括：稽核委員會</w:t>
      </w:r>
      <w:r>
        <w:rPr>
          <w:rFonts w:eastAsia="細明體" w:hAnsi="細明體" w:cs="細明體" w:hint="eastAsia"/>
          <w:kern w:val="0"/>
          <w:szCs w:val="24"/>
        </w:rPr>
        <w:t>、</w:t>
      </w:r>
      <w:r w:rsidRPr="00320151">
        <w:rPr>
          <w:rFonts w:eastAsia="細明體" w:hAnsi="細明體" w:cs="細明體" w:hint="eastAsia"/>
          <w:kern w:val="0"/>
          <w:szCs w:val="24"/>
        </w:rPr>
        <w:t>薪酬委員會</w:t>
      </w:r>
      <w:r>
        <w:rPr>
          <w:rFonts w:eastAsia="細明體" w:hAnsi="細明體" w:cs="細明體" w:hint="eastAsia"/>
          <w:kern w:val="0"/>
          <w:szCs w:val="24"/>
        </w:rPr>
        <w:t>、</w:t>
      </w:r>
      <w:r w:rsidRPr="00320151">
        <w:rPr>
          <w:rFonts w:eastAsia="細明體" w:hAnsi="細明體" w:cs="細明體" w:hint="eastAsia"/>
          <w:kern w:val="0"/>
          <w:szCs w:val="24"/>
        </w:rPr>
        <w:t>財政預算委員會</w:t>
      </w:r>
      <w:r>
        <w:rPr>
          <w:rFonts w:eastAsia="細明體" w:hAnsi="細明體" w:cs="細明體" w:hint="eastAsia"/>
          <w:kern w:val="0"/>
          <w:szCs w:val="24"/>
        </w:rPr>
        <w:t>、執行委員會</w:t>
      </w:r>
      <w:r w:rsidRPr="00320151">
        <w:rPr>
          <w:rFonts w:eastAsia="細明體" w:hAnsi="細明體" w:cs="細明體" w:hint="eastAsia"/>
          <w:kern w:val="0"/>
          <w:szCs w:val="24"/>
        </w:rPr>
        <w:t>及</w:t>
      </w:r>
      <w:r>
        <w:rPr>
          <w:rFonts w:eastAsia="細明體" w:hAnsi="細明體" w:cs="細明體" w:hint="eastAsia"/>
          <w:kern w:val="0"/>
          <w:szCs w:val="24"/>
        </w:rPr>
        <w:t>投資委員會</w:t>
      </w:r>
      <w:r w:rsidRPr="00320151">
        <w:rPr>
          <w:rFonts w:eastAsia="細明體" w:hAnsi="細明體" w:cs="細明體" w:hint="eastAsia"/>
          <w:kern w:val="0"/>
          <w:szCs w:val="24"/>
        </w:rPr>
        <w:t>。</w:t>
      </w:r>
    </w:p>
    <w:tbl>
      <w:tblPr>
        <w:tblW w:w="0" w:type="auto"/>
        <w:jc w:val="center"/>
        <w:tblInd w:w="-16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4"/>
        <w:gridCol w:w="6742"/>
      </w:tblGrid>
      <w:tr w:rsidR="00A22407" w:rsidRPr="000B1136" w:rsidTr="00A22407">
        <w:trPr>
          <w:trHeight w:val="326"/>
          <w:jc w:val="center"/>
        </w:trPr>
        <w:tc>
          <w:tcPr>
            <w:tcW w:w="1994" w:type="dxa"/>
            <w:shd w:val="clear" w:color="auto" w:fill="auto"/>
          </w:tcPr>
          <w:p w:rsidR="00A22407" w:rsidRPr="00D21AD5" w:rsidRDefault="00A22407" w:rsidP="00A22407">
            <w:pPr>
              <w:jc w:val="center"/>
              <w:rPr>
                <w:rFonts w:ascii="新細明體" w:hAnsi="新細明體"/>
                <w:b/>
                <w:bCs/>
                <w:szCs w:val="24"/>
              </w:rPr>
            </w:pPr>
            <w:r w:rsidRPr="00D21AD5">
              <w:rPr>
                <w:rFonts w:ascii="新細明體" w:hAnsi="新細明體"/>
                <w:b/>
                <w:bCs/>
                <w:szCs w:val="24"/>
              </w:rPr>
              <w:t>委員會</w:t>
            </w:r>
          </w:p>
        </w:tc>
        <w:tc>
          <w:tcPr>
            <w:tcW w:w="6742" w:type="dxa"/>
            <w:shd w:val="clear" w:color="auto" w:fill="auto"/>
          </w:tcPr>
          <w:p w:rsidR="00A22407" w:rsidRPr="00D21AD5" w:rsidRDefault="00A22407" w:rsidP="00A22407">
            <w:pPr>
              <w:jc w:val="center"/>
              <w:rPr>
                <w:rFonts w:ascii="新細明體" w:hAnsi="新細明體"/>
                <w:b/>
                <w:bCs/>
                <w:szCs w:val="24"/>
              </w:rPr>
            </w:pPr>
            <w:r w:rsidRPr="00D21AD5">
              <w:rPr>
                <w:rFonts w:ascii="新細明體" w:hAnsi="新細明體" w:hint="eastAsia"/>
                <w:b/>
                <w:bCs/>
                <w:szCs w:val="24"/>
              </w:rPr>
              <w:t>職責</w:t>
            </w:r>
          </w:p>
        </w:tc>
      </w:tr>
      <w:tr w:rsidR="00A22407" w:rsidRPr="000B1136" w:rsidTr="00A22407">
        <w:trPr>
          <w:trHeight w:val="2707"/>
          <w:jc w:val="center"/>
        </w:trPr>
        <w:tc>
          <w:tcPr>
            <w:tcW w:w="1994" w:type="dxa"/>
            <w:shd w:val="clear" w:color="auto" w:fill="auto"/>
            <w:vAlign w:val="center"/>
          </w:tcPr>
          <w:p w:rsidR="00A22407" w:rsidRPr="00D21AD5" w:rsidRDefault="00A22407" w:rsidP="00A22407">
            <w:pPr>
              <w:jc w:val="center"/>
              <w:rPr>
                <w:rFonts w:ascii="新細明體" w:hAnsi="新細明體"/>
                <w:bCs/>
                <w:szCs w:val="24"/>
              </w:rPr>
            </w:pPr>
            <w:r w:rsidRPr="00D21AD5">
              <w:rPr>
                <w:rFonts w:ascii="新細明體" w:hAnsi="新細明體"/>
                <w:szCs w:val="24"/>
              </w:rPr>
              <w:t>稽核委員會</w:t>
            </w:r>
          </w:p>
        </w:tc>
        <w:tc>
          <w:tcPr>
            <w:tcW w:w="6742" w:type="dxa"/>
            <w:shd w:val="clear" w:color="auto" w:fill="auto"/>
            <w:vAlign w:val="center"/>
          </w:tcPr>
          <w:p w:rsidR="00A22407" w:rsidRPr="00D21AD5" w:rsidRDefault="00A22407" w:rsidP="00A22407">
            <w:pPr>
              <w:widowControl/>
              <w:numPr>
                <w:ilvl w:val="0"/>
                <w:numId w:val="19"/>
              </w:numPr>
              <w:tabs>
                <w:tab w:val="num" w:pos="307"/>
              </w:tabs>
              <w:spacing w:line="440" w:lineRule="exact"/>
              <w:ind w:leftChars="69" w:left="710" w:hanging="544"/>
              <w:textAlignment w:val="baseline"/>
              <w:rPr>
                <w:rFonts w:ascii="新細明體" w:hAnsi="新細明體"/>
                <w:color w:val="222222"/>
                <w:szCs w:val="24"/>
              </w:rPr>
            </w:pPr>
            <w:r w:rsidRPr="00D21AD5">
              <w:rPr>
                <w:rFonts w:ascii="新細明體" w:hAnsi="新細明體"/>
                <w:color w:val="222222"/>
                <w:szCs w:val="24"/>
              </w:rPr>
              <w:t>覆核年度財務報表</w:t>
            </w:r>
          </w:p>
          <w:p w:rsidR="00A22407" w:rsidRPr="00D21AD5" w:rsidRDefault="00A22407" w:rsidP="00A22407">
            <w:pPr>
              <w:widowControl/>
              <w:numPr>
                <w:ilvl w:val="0"/>
                <w:numId w:val="19"/>
              </w:numPr>
              <w:tabs>
                <w:tab w:val="num" w:pos="307"/>
              </w:tabs>
              <w:spacing w:line="440" w:lineRule="exact"/>
              <w:ind w:leftChars="69" w:left="710" w:hanging="544"/>
              <w:textAlignment w:val="baseline"/>
              <w:rPr>
                <w:rFonts w:ascii="新細明體" w:hAnsi="新細明體"/>
                <w:color w:val="222222"/>
                <w:szCs w:val="24"/>
              </w:rPr>
            </w:pPr>
            <w:r w:rsidRPr="00D21AD5">
              <w:rPr>
                <w:rFonts w:ascii="新細明體" w:hAnsi="新細明體"/>
                <w:color w:val="222222"/>
                <w:szCs w:val="24"/>
              </w:rPr>
              <w:t>審查管理程序，以確保有效的財務及內部監控運作</w:t>
            </w:r>
          </w:p>
          <w:p w:rsidR="00A22407" w:rsidRPr="00D21AD5" w:rsidRDefault="00A22407" w:rsidP="00A22407">
            <w:pPr>
              <w:widowControl/>
              <w:numPr>
                <w:ilvl w:val="0"/>
                <w:numId w:val="19"/>
              </w:numPr>
              <w:tabs>
                <w:tab w:val="num" w:pos="307"/>
              </w:tabs>
              <w:spacing w:line="440" w:lineRule="exact"/>
              <w:ind w:leftChars="69" w:left="710" w:hanging="544"/>
              <w:textAlignment w:val="baseline"/>
              <w:rPr>
                <w:rFonts w:ascii="新細明體" w:hAnsi="新細明體"/>
                <w:color w:val="222222"/>
                <w:szCs w:val="24"/>
              </w:rPr>
            </w:pPr>
            <w:r w:rsidRPr="00D21AD5">
              <w:rPr>
                <w:rFonts w:ascii="新細明體" w:hAnsi="新細明體"/>
                <w:color w:val="222222"/>
                <w:szCs w:val="24"/>
              </w:rPr>
              <w:t>就外聘核數師向證監會董事局提供建議</w:t>
            </w:r>
          </w:p>
          <w:p w:rsidR="00A22407" w:rsidRPr="00D21AD5" w:rsidRDefault="00A22407" w:rsidP="00A22407">
            <w:pPr>
              <w:widowControl/>
              <w:numPr>
                <w:ilvl w:val="0"/>
                <w:numId w:val="19"/>
              </w:numPr>
              <w:tabs>
                <w:tab w:val="num" w:pos="307"/>
              </w:tabs>
              <w:spacing w:line="440" w:lineRule="exact"/>
              <w:ind w:leftChars="69" w:left="710" w:hanging="544"/>
              <w:textAlignment w:val="baseline"/>
              <w:rPr>
                <w:rFonts w:ascii="新細明體" w:hAnsi="新細明體"/>
                <w:color w:val="222222"/>
                <w:szCs w:val="24"/>
              </w:rPr>
            </w:pPr>
            <w:r w:rsidRPr="00D21AD5">
              <w:rPr>
                <w:rFonts w:ascii="新細明體" w:hAnsi="新細明體"/>
                <w:color w:val="222222"/>
                <w:szCs w:val="24"/>
              </w:rPr>
              <w:t>考慮外部稽核的範疇及計劃，以及覆核稽核結果</w:t>
            </w:r>
          </w:p>
          <w:p w:rsidR="00A22407" w:rsidRPr="00D21AD5" w:rsidRDefault="00A22407" w:rsidP="00A22407">
            <w:pPr>
              <w:widowControl/>
              <w:numPr>
                <w:ilvl w:val="0"/>
                <w:numId w:val="19"/>
              </w:numPr>
              <w:tabs>
                <w:tab w:val="num" w:pos="307"/>
              </w:tabs>
              <w:spacing w:line="440" w:lineRule="exact"/>
              <w:ind w:leftChars="70" w:left="319" w:hanging="151"/>
              <w:textAlignment w:val="baseline"/>
              <w:rPr>
                <w:rFonts w:ascii="新細明體" w:hAnsi="新細明體"/>
                <w:color w:val="222222"/>
                <w:szCs w:val="24"/>
              </w:rPr>
            </w:pPr>
            <w:r w:rsidRPr="00D21AD5">
              <w:rPr>
                <w:rFonts w:ascii="新細明體" w:hAnsi="新細明體"/>
                <w:color w:val="222222"/>
                <w:szCs w:val="24"/>
              </w:rPr>
              <w:t>審議由證監會董事局轉介的事宜，包括針對證監會職員的投訴</w:t>
            </w:r>
          </w:p>
        </w:tc>
      </w:tr>
      <w:tr w:rsidR="00A22407" w:rsidRPr="000B1136" w:rsidTr="00A22407">
        <w:trPr>
          <w:trHeight w:val="1894"/>
          <w:jc w:val="center"/>
        </w:trPr>
        <w:tc>
          <w:tcPr>
            <w:tcW w:w="1994" w:type="dxa"/>
            <w:shd w:val="clear" w:color="auto" w:fill="auto"/>
            <w:vAlign w:val="center"/>
          </w:tcPr>
          <w:p w:rsidR="00A22407" w:rsidRPr="00D21AD5" w:rsidRDefault="00A22407" w:rsidP="00A22407">
            <w:pPr>
              <w:jc w:val="center"/>
              <w:rPr>
                <w:rFonts w:ascii="新細明體" w:hAnsi="新細明體"/>
                <w:bCs/>
                <w:szCs w:val="24"/>
              </w:rPr>
            </w:pPr>
            <w:r w:rsidRPr="00D21AD5">
              <w:rPr>
                <w:rFonts w:ascii="新細明體" w:hAnsi="新細明體"/>
                <w:szCs w:val="24"/>
              </w:rPr>
              <w:t>薪酬委員會</w:t>
            </w:r>
          </w:p>
        </w:tc>
        <w:tc>
          <w:tcPr>
            <w:tcW w:w="6742" w:type="dxa"/>
            <w:shd w:val="clear" w:color="auto" w:fill="auto"/>
            <w:vAlign w:val="center"/>
          </w:tcPr>
          <w:p w:rsidR="00A22407" w:rsidRPr="00D21AD5" w:rsidRDefault="00A22407" w:rsidP="00A22407">
            <w:pPr>
              <w:widowControl/>
              <w:numPr>
                <w:ilvl w:val="0"/>
                <w:numId w:val="19"/>
              </w:numPr>
              <w:tabs>
                <w:tab w:val="num" w:pos="307"/>
              </w:tabs>
              <w:spacing w:line="440" w:lineRule="exact"/>
              <w:ind w:leftChars="69" w:left="710" w:hanging="544"/>
              <w:textAlignment w:val="baseline"/>
              <w:rPr>
                <w:rFonts w:ascii="新細明體" w:hAnsi="新細明體"/>
                <w:color w:val="222222"/>
                <w:szCs w:val="24"/>
              </w:rPr>
            </w:pPr>
            <w:r w:rsidRPr="00D21AD5">
              <w:rPr>
                <w:rFonts w:ascii="新細明體" w:hAnsi="新細明體"/>
                <w:color w:val="222222"/>
                <w:szCs w:val="24"/>
              </w:rPr>
              <w:t>檢討員工的薪酬架構及水平</w:t>
            </w:r>
          </w:p>
          <w:p w:rsidR="00A22407" w:rsidRPr="00D21AD5" w:rsidRDefault="00A22407" w:rsidP="00A22407">
            <w:pPr>
              <w:widowControl/>
              <w:numPr>
                <w:ilvl w:val="0"/>
                <w:numId w:val="19"/>
              </w:numPr>
              <w:tabs>
                <w:tab w:val="num" w:pos="307"/>
              </w:tabs>
              <w:spacing w:line="440" w:lineRule="exact"/>
              <w:ind w:leftChars="69" w:left="710" w:hanging="544"/>
              <w:textAlignment w:val="baseline"/>
              <w:rPr>
                <w:rFonts w:ascii="新細明體" w:hAnsi="新細明體"/>
                <w:color w:val="222222"/>
                <w:szCs w:val="24"/>
              </w:rPr>
            </w:pPr>
            <w:r w:rsidRPr="00D21AD5">
              <w:rPr>
                <w:rFonts w:ascii="新細明體" w:hAnsi="新細明體"/>
                <w:color w:val="222222"/>
                <w:szCs w:val="24"/>
              </w:rPr>
              <w:t>檢討薪酬待遇的趨勢，並就薪酬調整提供建議</w:t>
            </w:r>
          </w:p>
          <w:p w:rsidR="00A22407" w:rsidRPr="00D21AD5" w:rsidRDefault="00A22407" w:rsidP="00A22407">
            <w:pPr>
              <w:widowControl/>
              <w:numPr>
                <w:ilvl w:val="0"/>
                <w:numId w:val="19"/>
              </w:numPr>
              <w:tabs>
                <w:tab w:val="num" w:pos="307"/>
              </w:tabs>
              <w:spacing w:line="440" w:lineRule="exact"/>
              <w:ind w:leftChars="70" w:left="309" w:hanging="141"/>
              <w:textAlignment w:val="baseline"/>
              <w:rPr>
                <w:rFonts w:ascii="新細明體" w:hAnsi="新細明體"/>
                <w:color w:val="222222"/>
                <w:szCs w:val="24"/>
              </w:rPr>
            </w:pPr>
            <w:r w:rsidRPr="00D21AD5">
              <w:rPr>
                <w:rFonts w:ascii="新細明體" w:hAnsi="新細明體"/>
                <w:color w:val="222222"/>
                <w:szCs w:val="24"/>
              </w:rPr>
              <w:t>按需要審議其他事項，包括就執行董事的薪酬及再委任若干執行董事向政府提供建議</w:t>
            </w:r>
          </w:p>
        </w:tc>
      </w:tr>
      <w:tr w:rsidR="00A22407" w:rsidRPr="000B1136" w:rsidTr="00A22407">
        <w:trPr>
          <w:trHeight w:val="2401"/>
          <w:jc w:val="center"/>
        </w:trPr>
        <w:tc>
          <w:tcPr>
            <w:tcW w:w="1994" w:type="dxa"/>
            <w:shd w:val="clear" w:color="auto" w:fill="auto"/>
            <w:vAlign w:val="center"/>
          </w:tcPr>
          <w:p w:rsidR="00A22407" w:rsidRPr="00D21AD5" w:rsidRDefault="00A22407" w:rsidP="00A22407">
            <w:pPr>
              <w:jc w:val="center"/>
              <w:rPr>
                <w:rFonts w:ascii="新細明體" w:hAnsi="新細明體"/>
                <w:bCs/>
                <w:szCs w:val="24"/>
              </w:rPr>
            </w:pPr>
            <w:r w:rsidRPr="00D21AD5">
              <w:rPr>
                <w:rFonts w:ascii="新細明體" w:hAnsi="新細明體"/>
                <w:szCs w:val="24"/>
              </w:rPr>
              <w:t>財政預算委員會</w:t>
            </w:r>
          </w:p>
        </w:tc>
        <w:tc>
          <w:tcPr>
            <w:tcW w:w="6742" w:type="dxa"/>
            <w:shd w:val="clear" w:color="auto" w:fill="auto"/>
            <w:vAlign w:val="center"/>
          </w:tcPr>
          <w:p w:rsidR="00A22407" w:rsidRPr="00D21AD5" w:rsidRDefault="00A22407" w:rsidP="00A22407">
            <w:pPr>
              <w:widowControl/>
              <w:numPr>
                <w:ilvl w:val="0"/>
                <w:numId w:val="19"/>
              </w:numPr>
              <w:tabs>
                <w:tab w:val="num" w:pos="307"/>
              </w:tabs>
              <w:spacing w:line="440" w:lineRule="exact"/>
              <w:ind w:leftChars="69" w:left="710" w:hanging="544"/>
              <w:textAlignment w:val="baseline"/>
              <w:rPr>
                <w:rFonts w:ascii="新細明體" w:hAnsi="新細明體"/>
                <w:color w:val="222222"/>
                <w:szCs w:val="24"/>
              </w:rPr>
            </w:pPr>
            <w:r w:rsidRPr="00D21AD5">
              <w:rPr>
                <w:rFonts w:ascii="新細明體" w:hAnsi="新細明體"/>
                <w:color w:val="222222"/>
                <w:szCs w:val="24"/>
              </w:rPr>
              <w:t>審議及核准年度財政預算所採用的編製規範及基準</w:t>
            </w:r>
          </w:p>
          <w:p w:rsidR="00A22407" w:rsidRPr="00D21AD5" w:rsidRDefault="00A22407" w:rsidP="00A22407">
            <w:pPr>
              <w:widowControl/>
              <w:numPr>
                <w:ilvl w:val="0"/>
                <w:numId w:val="19"/>
              </w:numPr>
              <w:tabs>
                <w:tab w:val="num" w:pos="307"/>
              </w:tabs>
              <w:spacing w:line="440" w:lineRule="exact"/>
              <w:ind w:leftChars="69" w:left="710" w:hanging="544"/>
              <w:textAlignment w:val="baseline"/>
              <w:rPr>
                <w:rFonts w:ascii="新細明體" w:hAnsi="新細明體"/>
                <w:color w:val="222222"/>
                <w:szCs w:val="24"/>
              </w:rPr>
            </w:pPr>
            <w:r w:rsidRPr="00D21AD5">
              <w:rPr>
                <w:rFonts w:ascii="新細明體" w:hAnsi="新細明體"/>
                <w:color w:val="222222"/>
                <w:szCs w:val="24"/>
              </w:rPr>
              <w:t>審議年度財政預算</w:t>
            </w:r>
          </w:p>
          <w:p w:rsidR="00A22407" w:rsidRPr="00D21AD5" w:rsidRDefault="00A22407" w:rsidP="00A22407">
            <w:pPr>
              <w:widowControl/>
              <w:numPr>
                <w:ilvl w:val="0"/>
                <w:numId w:val="19"/>
              </w:numPr>
              <w:tabs>
                <w:tab w:val="num" w:pos="307"/>
              </w:tabs>
              <w:spacing w:line="440" w:lineRule="exact"/>
              <w:ind w:leftChars="80" w:left="310" w:hanging="118"/>
              <w:textAlignment w:val="baseline"/>
              <w:rPr>
                <w:rFonts w:ascii="新細明體" w:hAnsi="新細明體"/>
                <w:color w:val="222222"/>
                <w:szCs w:val="24"/>
              </w:rPr>
            </w:pPr>
            <w:r w:rsidRPr="00D21AD5">
              <w:rPr>
                <w:rFonts w:ascii="新細明體" w:hAnsi="新細明體"/>
                <w:color w:val="222222"/>
                <w:szCs w:val="24"/>
              </w:rPr>
              <w:t>審議半年的財政預算檢討，並就任何需要作出的修訂或採取的行動向證監會提出建議</w:t>
            </w:r>
          </w:p>
          <w:p w:rsidR="00A22407" w:rsidRPr="00D21AD5" w:rsidRDefault="00A22407" w:rsidP="00A22407">
            <w:pPr>
              <w:widowControl/>
              <w:numPr>
                <w:ilvl w:val="0"/>
                <w:numId w:val="19"/>
              </w:numPr>
              <w:tabs>
                <w:tab w:val="num" w:pos="307"/>
              </w:tabs>
              <w:spacing w:line="440" w:lineRule="exact"/>
              <w:ind w:leftChars="69" w:left="710" w:hanging="544"/>
              <w:textAlignment w:val="baseline"/>
              <w:rPr>
                <w:rFonts w:ascii="新細明體" w:hAnsi="新細明體"/>
                <w:color w:val="222222"/>
                <w:szCs w:val="24"/>
              </w:rPr>
            </w:pPr>
            <w:r w:rsidRPr="00D21AD5">
              <w:rPr>
                <w:rFonts w:ascii="新細明體" w:hAnsi="新細明體"/>
                <w:color w:val="222222"/>
                <w:szCs w:val="24"/>
              </w:rPr>
              <w:t>考慮由證監會轉介的任何其他事宜</w:t>
            </w:r>
          </w:p>
        </w:tc>
      </w:tr>
      <w:tr w:rsidR="00A22407" w:rsidRPr="000B1136" w:rsidTr="00A22407">
        <w:trPr>
          <w:trHeight w:val="1465"/>
          <w:jc w:val="center"/>
        </w:trPr>
        <w:tc>
          <w:tcPr>
            <w:tcW w:w="1994" w:type="dxa"/>
            <w:shd w:val="clear" w:color="auto" w:fill="auto"/>
            <w:vAlign w:val="center"/>
          </w:tcPr>
          <w:p w:rsidR="00A22407" w:rsidRPr="00D21AD5" w:rsidRDefault="00A22407" w:rsidP="00A22407">
            <w:pPr>
              <w:jc w:val="center"/>
              <w:rPr>
                <w:rFonts w:ascii="新細明體" w:hAnsi="新細明體"/>
                <w:bCs/>
                <w:szCs w:val="24"/>
              </w:rPr>
            </w:pPr>
            <w:r w:rsidRPr="00D21AD5">
              <w:rPr>
                <w:rFonts w:ascii="新細明體" w:hAnsi="新細明體"/>
                <w:szCs w:val="24"/>
              </w:rPr>
              <w:t>執行委員會</w:t>
            </w:r>
          </w:p>
        </w:tc>
        <w:tc>
          <w:tcPr>
            <w:tcW w:w="6742" w:type="dxa"/>
            <w:shd w:val="clear" w:color="auto" w:fill="auto"/>
            <w:vAlign w:val="center"/>
          </w:tcPr>
          <w:p w:rsidR="00A22407" w:rsidRPr="00D21AD5" w:rsidRDefault="00A22407" w:rsidP="00A22407">
            <w:pPr>
              <w:widowControl/>
              <w:numPr>
                <w:ilvl w:val="0"/>
                <w:numId w:val="19"/>
              </w:numPr>
              <w:tabs>
                <w:tab w:val="num" w:pos="307"/>
              </w:tabs>
              <w:spacing w:line="440" w:lineRule="exact"/>
              <w:ind w:leftChars="69" w:left="710" w:hanging="544"/>
              <w:textAlignment w:val="baseline"/>
              <w:rPr>
                <w:rFonts w:ascii="新細明體" w:hAnsi="新細明體"/>
                <w:color w:val="222222"/>
                <w:szCs w:val="24"/>
              </w:rPr>
            </w:pPr>
            <w:r w:rsidRPr="00D21AD5">
              <w:rPr>
                <w:rFonts w:ascii="新細明體" w:hAnsi="新細明體"/>
                <w:color w:val="222222"/>
                <w:szCs w:val="24"/>
              </w:rPr>
              <w:t>執行董事局所訂定的目標，並確保證監會有效運作</w:t>
            </w:r>
          </w:p>
          <w:p w:rsidR="00A22407" w:rsidRPr="00D21AD5" w:rsidRDefault="00A22407" w:rsidP="00A22407">
            <w:pPr>
              <w:widowControl/>
              <w:numPr>
                <w:ilvl w:val="0"/>
                <w:numId w:val="19"/>
              </w:numPr>
              <w:tabs>
                <w:tab w:val="num" w:pos="307"/>
              </w:tabs>
              <w:spacing w:line="440" w:lineRule="exact"/>
              <w:ind w:leftChars="69" w:left="710" w:hanging="544"/>
              <w:textAlignment w:val="baseline"/>
              <w:rPr>
                <w:rFonts w:ascii="新細明體" w:hAnsi="新細明體"/>
                <w:color w:val="222222"/>
                <w:szCs w:val="24"/>
              </w:rPr>
            </w:pPr>
            <w:r w:rsidRPr="00D21AD5">
              <w:rPr>
                <w:rFonts w:ascii="新細明體" w:hAnsi="新細明體"/>
                <w:color w:val="222222"/>
                <w:szCs w:val="24"/>
              </w:rPr>
              <w:t>審議所有部門提交的建議和撥款要求</w:t>
            </w:r>
          </w:p>
          <w:p w:rsidR="00A22407" w:rsidRPr="00D21AD5" w:rsidRDefault="00A22407" w:rsidP="00A22407">
            <w:pPr>
              <w:widowControl/>
              <w:numPr>
                <w:ilvl w:val="0"/>
                <w:numId w:val="19"/>
              </w:numPr>
              <w:tabs>
                <w:tab w:val="num" w:pos="307"/>
              </w:tabs>
              <w:spacing w:line="440" w:lineRule="exact"/>
              <w:ind w:leftChars="69" w:left="710" w:hanging="544"/>
              <w:textAlignment w:val="baseline"/>
              <w:rPr>
                <w:rFonts w:ascii="新細明體" w:hAnsi="新細明體"/>
                <w:color w:val="222222"/>
                <w:szCs w:val="24"/>
              </w:rPr>
            </w:pPr>
            <w:r w:rsidRPr="00D21AD5">
              <w:rPr>
                <w:rFonts w:ascii="新細明體" w:hAnsi="新細明體"/>
                <w:color w:val="222222"/>
                <w:szCs w:val="24"/>
              </w:rPr>
              <w:t>在周會討論備受關注的議題</w:t>
            </w:r>
          </w:p>
        </w:tc>
      </w:tr>
      <w:tr w:rsidR="00A22407" w:rsidRPr="000B1136" w:rsidTr="00A22407">
        <w:trPr>
          <w:trHeight w:val="2397"/>
          <w:jc w:val="center"/>
        </w:trPr>
        <w:tc>
          <w:tcPr>
            <w:tcW w:w="1994" w:type="dxa"/>
            <w:shd w:val="clear" w:color="auto" w:fill="auto"/>
            <w:vAlign w:val="center"/>
          </w:tcPr>
          <w:p w:rsidR="00A22407" w:rsidRPr="00D21AD5" w:rsidRDefault="00A22407" w:rsidP="00A22407">
            <w:pPr>
              <w:jc w:val="center"/>
              <w:rPr>
                <w:rFonts w:ascii="新細明體" w:hAnsi="新細明體"/>
                <w:szCs w:val="24"/>
              </w:rPr>
            </w:pPr>
            <w:r w:rsidRPr="00D21AD5">
              <w:rPr>
                <w:rFonts w:ascii="新細明體" w:hAnsi="新細明體" w:hint="eastAsia"/>
                <w:szCs w:val="24"/>
              </w:rPr>
              <w:t>投資</w:t>
            </w:r>
            <w:r w:rsidRPr="00D21AD5">
              <w:rPr>
                <w:rFonts w:ascii="新細明體" w:hAnsi="新細明體"/>
                <w:szCs w:val="24"/>
              </w:rPr>
              <w:t>委員會</w:t>
            </w:r>
          </w:p>
        </w:tc>
        <w:tc>
          <w:tcPr>
            <w:tcW w:w="6742" w:type="dxa"/>
            <w:shd w:val="clear" w:color="auto" w:fill="auto"/>
            <w:vAlign w:val="center"/>
          </w:tcPr>
          <w:p w:rsidR="00A22407" w:rsidRPr="00D21AD5" w:rsidRDefault="00A22407" w:rsidP="00A22407">
            <w:pPr>
              <w:widowControl/>
              <w:numPr>
                <w:ilvl w:val="0"/>
                <w:numId w:val="19"/>
              </w:numPr>
              <w:tabs>
                <w:tab w:val="num" w:pos="307"/>
              </w:tabs>
              <w:spacing w:line="440" w:lineRule="exact"/>
              <w:ind w:leftChars="69" w:left="710" w:hanging="544"/>
              <w:textAlignment w:val="baseline"/>
              <w:rPr>
                <w:rFonts w:ascii="新細明體" w:hAnsi="新細明體"/>
                <w:color w:val="222222"/>
                <w:szCs w:val="24"/>
              </w:rPr>
            </w:pPr>
            <w:r w:rsidRPr="00D21AD5">
              <w:rPr>
                <w:rFonts w:ascii="新細明體" w:hAnsi="新細明體"/>
                <w:color w:val="222222"/>
                <w:szCs w:val="24"/>
              </w:rPr>
              <w:t>就證監會的基金管理政策、策略及投資指引提出建議</w:t>
            </w:r>
          </w:p>
          <w:p w:rsidR="00A22407" w:rsidRPr="00D21AD5" w:rsidRDefault="00A22407" w:rsidP="00A22407">
            <w:pPr>
              <w:widowControl/>
              <w:numPr>
                <w:ilvl w:val="0"/>
                <w:numId w:val="19"/>
              </w:numPr>
              <w:tabs>
                <w:tab w:val="num" w:pos="307"/>
              </w:tabs>
              <w:spacing w:line="440" w:lineRule="exact"/>
              <w:ind w:leftChars="70" w:left="257" w:hanging="89"/>
              <w:textAlignment w:val="baseline"/>
              <w:rPr>
                <w:rFonts w:ascii="新細明體" w:hAnsi="新細明體"/>
                <w:color w:val="222222"/>
                <w:szCs w:val="24"/>
              </w:rPr>
            </w:pPr>
            <w:r w:rsidRPr="00D21AD5">
              <w:rPr>
                <w:rFonts w:ascii="新細明體" w:hAnsi="新細明體"/>
                <w:color w:val="222222"/>
                <w:szCs w:val="24"/>
              </w:rPr>
              <w:t>就投資經理及顧問的委任作出建議，並監察其表現包括有否遵守投資指引</w:t>
            </w:r>
          </w:p>
          <w:p w:rsidR="00A22407" w:rsidRPr="00D21AD5" w:rsidRDefault="00A22407" w:rsidP="00A22407">
            <w:pPr>
              <w:widowControl/>
              <w:numPr>
                <w:ilvl w:val="0"/>
                <w:numId w:val="19"/>
              </w:numPr>
              <w:tabs>
                <w:tab w:val="num" w:pos="307"/>
              </w:tabs>
              <w:spacing w:line="440" w:lineRule="exact"/>
              <w:ind w:leftChars="69" w:left="710" w:hanging="544"/>
              <w:textAlignment w:val="baseline"/>
              <w:rPr>
                <w:rFonts w:ascii="新細明體" w:hAnsi="新細明體"/>
                <w:color w:val="222222"/>
                <w:szCs w:val="24"/>
              </w:rPr>
            </w:pPr>
            <w:r w:rsidRPr="00D21AD5">
              <w:rPr>
                <w:rFonts w:ascii="新細明體" w:hAnsi="新細明體"/>
                <w:color w:val="222222"/>
                <w:szCs w:val="24"/>
              </w:rPr>
              <w:t>就投資風險管理及資產分配提出建議，並監察投資表現</w:t>
            </w:r>
          </w:p>
          <w:p w:rsidR="00A22407" w:rsidRPr="00D21AD5" w:rsidRDefault="00A22407" w:rsidP="00A22407">
            <w:pPr>
              <w:widowControl/>
              <w:numPr>
                <w:ilvl w:val="0"/>
                <w:numId w:val="19"/>
              </w:numPr>
              <w:tabs>
                <w:tab w:val="num" w:pos="307"/>
              </w:tabs>
              <w:spacing w:line="440" w:lineRule="exact"/>
              <w:ind w:leftChars="69" w:left="710" w:hanging="544"/>
              <w:textAlignment w:val="baseline"/>
              <w:rPr>
                <w:rFonts w:ascii="新細明體" w:hAnsi="新細明體"/>
                <w:color w:val="222222"/>
                <w:szCs w:val="24"/>
              </w:rPr>
            </w:pPr>
            <w:r w:rsidRPr="00D21AD5">
              <w:rPr>
                <w:rFonts w:ascii="新細明體" w:hAnsi="新細明體"/>
                <w:color w:val="222222"/>
                <w:szCs w:val="24"/>
              </w:rPr>
              <w:t>考慮由證監會轉介的任何其他事宜</w:t>
            </w:r>
          </w:p>
        </w:tc>
      </w:tr>
    </w:tbl>
    <w:p w:rsidR="00A22407" w:rsidRDefault="00A22407" w:rsidP="00A22407"/>
    <w:p w:rsidR="00A22407" w:rsidRDefault="00A22407" w:rsidP="00A22407"/>
    <w:p w:rsidR="00137057" w:rsidRDefault="00137057" w:rsidP="00A22407">
      <w:pPr>
        <w:rPr>
          <w:rFonts w:hint="eastAsia"/>
          <w:b/>
          <w:sz w:val="26"/>
          <w:szCs w:val="26"/>
        </w:rPr>
      </w:pPr>
    </w:p>
    <w:p w:rsidR="00A22407" w:rsidRDefault="00A22407" w:rsidP="00A22407">
      <w:pPr>
        <w:rPr>
          <w:b/>
          <w:sz w:val="26"/>
          <w:szCs w:val="26"/>
        </w:rPr>
      </w:pPr>
      <w:r w:rsidRPr="00A22407">
        <w:rPr>
          <w:rFonts w:hint="eastAsia"/>
          <w:b/>
          <w:sz w:val="26"/>
          <w:szCs w:val="26"/>
        </w:rPr>
        <w:lastRenderedPageBreak/>
        <w:t>營運部門</w:t>
      </w:r>
    </w:p>
    <w:tbl>
      <w:tblPr>
        <w:tblW w:w="0" w:type="auto"/>
        <w:jc w:val="center"/>
        <w:tblInd w:w="-8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4"/>
        <w:gridCol w:w="7335"/>
      </w:tblGrid>
      <w:tr w:rsidR="00A22407" w:rsidRPr="00B03B2C" w:rsidTr="00A22407">
        <w:trPr>
          <w:trHeight w:val="547"/>
          <w:jc w:val="center"/>
        </w:trPr>
        <w:tc>
          <w:tcPr>
            <w:tcW w:w="1454" w:type="dxa"/>
            <w:shd w:val="clear" w:color="auto" w:fill="auto"/>
            <w:vAlign w:val="center"/>
          </w:tcPr>
          <w:p w:rsidR="00A22407" w:rsidRPr="00B03B2C" w:rsidRDefault="00A22407" w:rsidP="00A22407">
            <w:pPr>
              <w:jc w:val="center"/>
              <w:rPr>
                <w:rFonts w:ascii="新細明體" w:hAnsi="新細明體"/>
                <w:b/>
                <w:szCs w:val="24"/>
              </w:rPr>
            </w:pPr>
            <w:r w:rsidRPr="00B03B2C">
              <w:rPr>
                <w:rFonts w:ascii="新細明體" w:hAnsi="新細明體"/>
                <w:b/>
                <w:szCs w:val="24"/>
              </w:rPr>
              <w:t>部門</w:t>
            </w:r>
          </w:p>
        </w:tc>
        <w:tc>
          <w:tcPr>
            <w:tcW w:w="7335" w:type="dxa"/>
            <w:shd w:val="clear" w:color="auto" w:fill="auto"/>
            <w:vAlign w:val="center"/>
          </w:tcPr>
          <w:p w:rsidR="00A22407" w:rsidRPr="00B03B2C" w:rsidRDefault="00A22407" w:rsidP="00A22407">
            <w:pPr>
              <w:jc w:val="center"/>
              <w:rPr>
                <w:rFonts w:ascii="新細明體" w:hAnsi="新細明體"/>
                <w:b/>
                <w:szCs w:val="24"/>
              </w:rPr>
            </w:pPr>
            <w:r w:rsidRPr="00B03B2C">
              <w:rPr>
                <w:rFonts w:ascii="新細明體" w:hAnsi="新細明體" w:hint="eastAsia"/>
                <w:b/>
                <w:szCs w:val="24"/>
              </w:rPr>
              <w:t>主要</w:t>
            </w:r>
            <w:r w:rsidRPr="00B03B2C">
              <w:rPr>
                <w:rFonts w:ascii="新細明體" w:hAnsi="新細明體"/>
                <w:b/>
                <w:szCs w:val="24"/>
              </w:rPr>
              <w:t>職責</w:t>
            </w:r>
          </w:p>
        </w:tc>
      </w:tr>
      <w:tr w:rsidR="00A22407" w:rsidRPr="00B03B2C" w:rsidTr="00A22407">
        <w:trPr>
          <w:trHeight w:val="4948"/>
          <w:jc w:val="center"/>
        </w:trPr>
        <w:tc>
          <w:tcPr>
            <w:tcW w:w="1454" w:type="dxa"/>
            <w:shd w:val="clear" w:color="auto" w:fill="auto"/>
            <w:vAlign w:val="center"/>
          </w:tcPr>
          <w:p w:rsidR="00A22407" w:rsidRPr="00B03B2C" w:rsidRDefault="00A22407" w:rsidP="00A22407">
            <w:pPr>
              <w:rPr>
                <w:rFonts w:ascii="新細明體" w:hAnsi="新細明體"/>
                <w:szCs w:val="24"/>
              </w:rPr>
            </w:pPr>
            <w:r w:rsidRPr="00B03B2C">
              <w:rPr>
                <w:rFonts w:ascii="新細明體" w:hAnsi="新細明體"/>
                <w:szCs w:val="24"/>
              </w:rPr>
              <w:t>企業融資部</w:t>
            </w:r>
          </w:p>
        </w:tc>
        <w:tc>
          <w:tcPr>
            <w:tcW w:w="7335" w:type="dxa"/>
            <w:shd w:val="clear" w:color="auto" w:fill="auto"/>
          </w:tcPr>
          <w:p w:rsidR="00A22407" w:rsidRPr="00B03B2C" w:rsidRDefault="00A22407" w:rsidP="00A22407">
            <w:pPr>
              <w:widowControl/>
              <w:spacing w:line="440" w:lineRule="exact"/>
              <w:jc w:val="both"/>
              <w:rPr>
                <w:rFonts w:ascii="新細明體" w:hAnsi="新細明體"/>
                <w:szCs w:val="24"/>
              </w:rPr>
            </w:pPr>
            <w:r w:rsidRPr="00B03B2C">
              <w:rPr>
                <w:rFonts w:ascii="新細明體" w:hAnsi="新細明體"/>
                <w:szCs w:val="24"/>
              </w:rPr>
              <w:t>主要工作包括監察聯交所與上市事務有關的職能、監管非上市股份及債權證的要約，及就其他相關事宜制訂政策。</w:t>
            </w:r>
          </w:p>
          <w:p w:rsidR="00A22407" w:rsidRPr="00B03B2C" w:rsidRDefault="00A22407" w:rsidP="00A22407">
            <w:pPr>
              <w:widowControl/>
              <w:numPr>
                <w:ilvl w:val="0"/>
                <w:numId w:val="19"/>
              </w:numPr>
              <w:tabs>
                <w:tab w:val="num" w:pos="307"/>
              </w:tabs>
              <w:spacing w:line="440" w:lineRule="exact"/>
              <w:ind w:leftChars="69" w:left="330" w:hanging="164"/>
              <w:textAlignment w:val="baseline"/>
              <w:rPr>
                <w:rFonts w:ascii="新細明體" w:hAnsi="新細明體"/>
                <w:color w:val="222222"/>
                <w:szCs w:val="24"/>
              </w:rPr>
            </w:pPr>
            <w:r w:rsidRPr="00B03B2C">
              <w:rPr>
                <w:rFonts w:ascii="新細明體" w:hAnsi="新細明體"/>
                <w:color w:val="222222"/>
                <w:szCs w:val="24"/>
              </w:rPr>
              <w:t>執行《證券及期貨條例》下的雙重存檔制度，以提高上市申請人及上市公司在資料披露方面的質素和表現</w:t>
            </w:r>
          </w:p>
          <w:p w:rsidR="00A22407" w:rsidRPr="00B03B2C" w:rsidRDefault="00A22407" w:rsidP="00A22407">
            <w:pPr>
              <w:widowControl/>
              <w:numPr>
                <w:ilvl w:val="0"/>
                <w:numId w:val="19"/>
              </w:numPr>
              <w:tabs>
                <w:tab w:val="clear" w:pos="786"/>
              </w:tabs>
              <w:spacing w:line="440" w:lineRule="exact"/>
              <w:ind w:leftChars="70" w:left="309" w:hanging="141"/>
              <w:textAlignment w:val="baseline"/>
              <w:rPr>
                <w:rFonts w:ascii="新細明體" w:hAnsi="新細明體"/>
                <w:color w:val="222222"/>
                <w:szCs w:val="24"/>
              </w:rPr>
            </w:pPr>
            <w:r w:rsidRPr="00B03B2C">
              <w:rPr>
                <w:rFonts w:ascii="新細明體" w:hAnsi="新細明體"/>
                <w:color w:val="222222"/>
                <w:szCs w:val="24"/>
              </w:rPr>
              <w:t>執行《公司收購、合併及股份購回守則》，以確保股東享有公平對待，並為香港的收購及股份回購交易提供有秩序的架構</w:t>
            </w:r>
          </w:p>
          <w:p w:rsidR="00A22407" w:rsidRPr="00B03B2C" w:rsidRDefault="00A22407" w:rsidP="00A22407">
            <w:pPr>
              <w:widowControl/>
              <w:numPr>
                <w:ilvl w:val="0"/>
                <w:numId w:val="19"/>
              </w:numPr>
              <w:tabs>
                <w:tab w:val="clear" w:pos="786"/>
              </w:tabs>
              <w:spacing w:line="440" w:lineRule="exact"/>
              <w:ind w:leftChars="73" w:left="318" w:hanging="143"/>
              <w:textAlignment w:val="baseline"/>
              <w:rPr>
                <w:rFonts w:ascii="新細明體" w:hAnsi="新細明體"/>
                <w:color w:val="222222"/>
                <w:szCs w:val="24"/>
              </w:rPr>
            </w:pPr>
            <w:r w:rsidRPr="00B03B2C">
              <w:rPr>
                <w:rFonts w:ascii="新細明體" w:hAnsi="新細明體"/>
                <w:color w:val="222222"/>
                <w:szCs w:val="24"/>
              </w:rPr>
              <w:t>監察香港聯合交易所有限公司（聯交所）與上市有關的職能及職責</w:t>
            </w:r>
          </w:p>
          <w:p w:rsidR="00A22407" w:rsidRPr="00B03B2C" w:rsidRDefault="00A22407" w:rsidP="00A22407">
            <w:pPr>
              <w:widowControl/>
              <w:numPr>
                <w:ilvl w:val="0"/>
                <w:numId w:val="19"/>
              </w:numPr>
              <w:tabs>
                <w:tab w:val="num" w:pos="307"/>
              </w:tabs>
              <w:spacing w:line="440" w:lineRule="exact"/>
              <w:ind w:leftChars="69" w:left="710" w:hanging="544"/>
              <w:textAlignment w:val="baseline"/>
              <w:rPr>
                <w:rFonts w:ascii="新細明體" w:hAnsi="新細明體"/>
                <w:color w:val="222222"/>
                <w:szCs w:val="24"/>
              </w:rPr>
            </w:pPr>
            <w:r w:rsidRPr="00B03B2C">
              <w:rPr>
                <w:rFonts w:ascii="新細明體" w:hAnsi="新細明體"/>
                <w:color w:val="222222"/>
                <w:szCs w:val="24"/>
              </w:rPr>
              <w:t>檢討由聯交所負責執行的《上市規則》及提出修訂建議</w:t>
            </w:r>
          </w:p>
          <w:p w:rsidR="00A22407" w:rsidRPr="00B03B2C" w:rsidRDefault="00A22407" w:rsidP="00A22407">
            <w:pPr>
              <w:widowControl/>
              <w:numPr>
                <w:ilvl w:val="0"/>
                <w:numId w:val="19"/>
              </w:numPr>
              <w:tabs>
                <w:tab w:val="clear" w:pos="786"/>
              </w:tabs>
              <w:spacing w:line="440" w:lineRule="exact"/>
              <w:ind w:leftChars="69" w:left="307" w:hanging="141"/>
              <w:textAlignment w:val="baseline"/>
              <w:rPr>
                <w:rFonts w:ascii="新細明體" w:hAnsi="新細明體"/>
                <w:color w:val="222222"/>
                <w:szCs w:val="24"/>
              </w:rPr>
            </w:pPr>
            <w:r w:rsidRPr="00B03B2C">
              <w:rPr>
                <w:rFonts w:ascii="新細明體" w:hAnsi="新細明體"/>
                <w:color w:val="222222"/>
                <w:szCs w:val="24"/>
              </w:rPr>
              <w:t>審核及認可非上市股份或債權證（不包括結構性產品）的招股章程及推廣材料</w:t>
            </w:r>
          </w:p>
        </w:tc>
      </w:tr>
      <w:tr w:rsidR="00A22407" w:rsidRPr="00B03B2C" w:rsidTr="00A22407">
        <w:trPr>
          <w:trHeight w:val="4081"/>
          <w:jc w:val="center"/>
        </w:trPr>
        <w:tc>
          <w:tcPr>
            <w:tcW w:w="1454" w:type="dxa"/>
            <w:shd w:val="clear" w:color="auto" w:fill="auto"/>
            <w:vAlign w:val="center"/>
          </w:tcPr>
          <w:p w:rsidR="00A22407" w:rsidRPr="00B03B2C" w:rsidRDefault="00A22407" w:rsidP="00A22407">
            <w:pPr>
              <w:rPr>
                <w:rFonts w:ascii="新細明體" w:hAnsi="新細明體"/>
                <w:szCs w:val="24"/>
              </w:rPr>
            </w:pPr>
            <w:r w:rsidRPr="00B03B2C">
              <w:rPr>
                <w:rFonts w:ascii="新細明體" w:hAnsi="新細明體"/>
                <w:szCs w:val="24"/>
              </w:rPr>
              <w:t>法規執行部</w:t>
            </w:r>
          </w:p>
        </w:tc>
        <w:tc>
          <w:tcPr>
            <w:tcW w:w="7335" w:type="dxa"/>
            <w:shd w:val="clear" w:color="auto" w:fill="auto"/>
            <w:vAlign w:val="center"/>
          </w:tcPr>
          <w:p w:rsidR="00A22407" w:rsidRPr="00B03B2C" w:rsidRDefault="00A22407" w:rsidP="00A22407">
            <w:pPr>
              <w:widowControl/>
              <w:spacing w:line="440" w:lineRule="exact"/>
              <w:jc w:val="both"/>
              <w:rPr>
                <w:rFonts w:ascii="新細明體" w:hAnsi="新細明體"/>
                <w:szCs w:val="24"/>
              </w:rPr>
            </w:pPr>
            <w:r w:rsidRPr="00B03B2C">
              <w:rPr>
                <w:rFonts w:ascii="新細明體" w:hAnsi="新細明體"/>
                <w:szCs w:val="24"/>
              </w:rPr>
              <w:t>負責採取有效的監察及執法行動，以遏止市場的非法或失當行為，從而維持香港市場的廉潔穩健。</w:t>
            </w:r>
          </w:p>
          <w:p w:rsidR="00A22407" w:rsidRPr="00B03B2C" w:rsidRDefault="00A22407" w:rsidP="00A22407">
            <w:pPr>
              <w:widowControl/>
              <w:numPr>
                <w:ilvl w:val="0"/>
                <w:numId w:val="19"/>
              </w:numPr>
              <w:tabs>
                <w:tab w:val="num" w:pos="307"/>
              </w:tabs>
              <w:spacing w:line="440" w:lineRule="exact"/>
              <w:ind w:leftChars="69" w:left="330" w:hanging="164"/>
              <w:textAlignment w:val="baseline"/>
              <w:rPr>
                <w:rFonts w:ascii="新細明體" w:hAnsi="新細明體"/>
                <w:color w:val="222222"/>
                <w:szCs w:val="24"/>
              </w:rPr>
            </w:pPr>
            <w:r w:rsidRPr="00B03B2C">
              <w:rPr>
                <w:rFonts w:ascii="新細明體" w:hAnsi="新細明體"/>
                <w:color w:val="222222"/>
                <w:szCs w:val="24"/>
              </w:rPr>
              <w:t>依據《證券及期貨條例》執法</w:t>
            </w:r>
          </w:p>
          <w:p w:rsidR="00A22407" w:rsidRPr="00B03B2C" w:rsidRDefault="00A22407" w:rsidP="00A22407">
            <w:pPr>
              <w:widowControl/>
              <w:numPr>
                <w:ilvl w:val="0"/>
                <w:numId w:val="19"/>
              </w:numPr>
              <w:tabs>
                <w:tab w:val="num" w:pos="307"/>
              </w:tabs>
              <w:spacing w:line="440" w:lineRule="exact"/>
              <w:ind w:leftChars="69" w:left="330" w:hanging="164"/>
              <w:textAlignment w:val="baseline"/>
              <w:rPr>
                <w:rFonts w:ascii="新細明體" w:hAnsi="新細明體"/>
                <w:color w:val="222222"/>
                <w:szCs w:val="24"/>
              </w:rPr>
            </w:pPr>
            <w:r w:rsidRPr="00B03B2C">
              <w:rPr>
                <w:rFonts w:ascii="新細明體" w:hAnsi="新細明體"/>
                <w:color w:val="222222"/>
                <w:szCs w:val="24"/>
              </w:rPr>
              <w:t>對不誠實或違反規則的受規管中介人採取紀律處分</w:t>
            </w:r>
          </w:p>
          <w:p w:rsidR="00A22407" w:rsidRPr="00B03B2C" w:rsidRDefault="00A22407" w:rsidP="00A22407">
            <w:pPr>
              <w:widowControl/>
              <w:numPr>
                <w:ilvl w:val="0"/>
                <w:numId w:val="19"/>
              </w:numPr>
              <w:tabs>
                <w:tab w:val="num" w:pos="307"/>
              </w:tabs>
              <w:spacing w:line="440" w:lineRule="exact"/>
              <w:ind w:leftChars="69" w:left="330" w:hanging="164"/>
              <w:textAlignment w:val="baseline"/>
              <w:rPr>
                <w:rFonts w:ascii="新細明體" w:hAnsi="新細明體"/>
                <w:color w:val="222222"/>
                <w:szCs w:val="24"/>
              </w:rPr>
            </w:pPr>
            <w:r w:rsidRPr="00B03B2C">
              <w:rPr>
                <w:rFonts w:ascii="新細明體" w:hAnsi="新細明體"/>
                <w:color w:val="222222"/>
                <w:szCs w:val="24"/>
              </w:rPr>
              <w:t>監察香港的證券及衍生工具市場的交易活動，以及調查違規或失當行為</w:t>
            </w:r>
          </w:p>
          <w:p w:rsidR="00A22407" w:rsidRPr="00B03B2C" w:rsidRDefault="00A22407" w:rsidP="00A22407">
            <w:pPr>
              <w:widowControl/>
              <w:numPr>
                <w:ilvl w:val="0"/>
                <w:numId w:val="19"/>
              </w:numPr>
              <w:tabs>
                <w:tab w:val="num" w:pos="307"/>
              </w:tabs>
              <w:spacing w:line="440" w:lineRule="exact"/>
              <w:ind w:leftChars="69" w:left="330" w:hanging="164"/>
              <w:textAlignment w:val="baseline"/>
              <w:rPr>
                <w:rFonts w:ascii="新細明體" w:hAnsi="新細明體"/>
                <w:color w:val="222222"/>
                <w:szCs w:val="24"/>
              </w:rPr>
            </w:pPr>
            <w:r w:rsidRPr="00B03B2C">
              <w:rPr>
                <w:rFonts w:ascii="新細明體" w:hAnsi="新細明體"/>
                <w:color w:val="222222"/>
                <w:szCs w:val="24"/>
              </w:rPr>
              <w:t>查閱涉及失當行為的上市公司的簿冊和紀錄</w:t>
            </w:r>
          </w:p>
          <w:p w:rsidR="00A22407" w:rsidRPr="00B03B2C" w:rsidRDefault="00A22407" w:rsidP="00A22407">
            <w:pPr>
              <w:widowControl/>
              <w:numPr>
                <w:ilvl w:val="0"/>
                <w:numId w:val="19"/>
              </w:numPr>
              <w:tabs>
                <w:tab w:val="num" w:pos="307"/>
              </w:tabs>
              <w:spacing w:line="440" w:lineRule="exact"/>
              <w:ind w:leftChars="69" w:left="330" w:hanging="164"/>
              <w:textAlignment w:val="baseline"/>
              <w:rPr>
                <w:rFonts w:ascii="新細明體" w:hAnsi="新細明體"/>
                <w:color w:val="222222"/>
                <w:szCs w:val="24"/>
              </w:rPr>
            </w:pPr>
            <w:r w:rsidRPr="00B03B2C">
              <w:rPr>
                <w:rFonts w:ascii="新細明體" w:hAnsi="新細明體"/>
                <w:color w:val="222222"/>
                <w:szCs w:val="24"/>
              </w:rPr>
              <w:t>向財政司司長報告市場上涉嫌失當的行為</w:t>
            </w:r>
          </w:p>
          <w:p w:rsidR="00A22407" w:rsidRPr="00B03B2C" w:rsidRDefault="00A22407" w:rsidP="00A22407">
            <w:pPr>
              <w:widowControl/>
              <w:numPr>
                <w:ilvl w:val="0"/>
                <w:numId w:val="19"/>
              </w:numPr>
              <w:tabs>
                <w:tab w:val="num" w:pos="307"/>
              </w:tabs>
              <w:spacing w:line="440" w:lineRule="exact"/>
              <w:ind w:leftChars="69" w:left="330" w:hanging="164"/>
              <w:textAlignment w:val="baseline"/>
              <w:rPr>
                <w:rFonts w:ascii="新細明體" w:hAnsi="新細明體"/>
                <w:color w:val="222222"/>
                <w:szCs w:val="24"/>
              </w:rPr>
            </w:pPr>
            <w:r w:rsidRPr="00B03B2C">
              <w:rPr>
                <w:rFonts w:ascii="新細明體" w:hAnsi="新細明體"/>
                <w:color w:val="222222"/>
                <w:szCs w:val="24"/>
              </w:rPr>
              <w:t>與本地及海外監管機構合作進行本地及海外的調查工作</w:t>
            </w:r>
          </w:p>
        </w:tc>
      </w:tr>
      <w:tr w:rsidR="00A22407" w:rsidRPr="00B03B2C" w:rsidTr="00A22407">
        <w:trPr>
          <w:trHeight w:val="3655"/>
          <w:jc w:val="center"/>
        </w:trPr>
        <w:tc>
          <w:tcPr>
            <w:tcW w:w="1454" w:type="dxa"/>
            <w:shd w:val="clear" w:color="auto" w:fill="auto"/>
            <w:vAlign w:val="center"/>
          </w:tcPr>
          <w:p w:rsidR="00A22407" w:rsidRPr="00B03B2C" w:rsidRDefault="00A22407" w:rsidP="00A22407">
            <w:pPr>
              <w:rPr>
                <w:rFonts w:ascii="新細明體" w:hAnsi="新細明體"/>
                <w:szCs w:val="24"/>
              </w:rPr>
            </w:pPr>
            <w:r w:rsidRPr="00B03B2C">
              <w:rPr>
                <w:rFonts w:ascii="新細明體" w:hAnsi="新細明體"/>
                <w:szCs w:val="24"/>
              </w:rPr>
              <w:t>投資產品部</w:t>
            </w:r>
          </w:p>
        </w:tc>
        <w:tc>
          <w:tcPr>
            <w:tcW w:w="7335" w:type="dxa"/>
            <w:shd w:val="clear" w:color="auto" w:fill="auto"/>
            <w:vAlign w:val="center"/>
          </w:tcPr>
          <w:p w:rsidR="00A22407" w:rsidRPr="00B03B2C" w:rsidRDefault="00A22407" w:rsidP="00A22407">
            <w:pPr>
              <w:widowControl/>
              <w:spacing w:line="440" w:lineRule="exact"/>
              <w:jc w:val="both"/>
              <w:rPr>
                <w:rFonts w:ascii="新細明體" w:hAnsi="新細明體"/>
                <w:szCs w:val="24"/>
              </w:rPr>
            </w:pPr>
            <w:r w:rsidRPr="00B03B2C">
              <w:rPr>
                <w:rFonts w:ascii="新細明體" w:hAnsi="新細明體"/>
                <w:szCs w:val="24"/>
              </w:rPr>
              <w:t>制定認可程序，要求所有售予香港公眾的投資產品作出妥善的資料披露，遵從《證監會有關單位信託及互惠基金、與投資有關的人壽保險計劃及非上市結構性投資產品的手冊》的規定。部門亦致力促進產品的多元化發展，以及推動內地的離岸集資活動。</w:t>
            </w:r>
          </w:p>
          <w:p w:rsidR="00A22407" w:rsidRPr="00B03B2C" w:rsidRDefault="00A22407" w:rsidP="00A22407">
            <w:pPr>
              <w:widowControl/>
              <w:numPr>
                <w:ilvl w:val="0"/>
                <w:numId w:val="19"/>
              </w:numPr>
              <w:tabs>
                <w:tab w:val="num" w:pos="307"/>
              </w:tabs>
              <w:spacing w:line="440" w:lineRule="exact"/>
              <w:ind w:leftChars="69" w:left="330" w:hanging="164"/>
              <w:textAlignment w:val="baseline"/>
              <w:rPr>
                <w:rFonts w:ascii="新細明體" w:hAnsi="新細明體"/>
                <w:color w:val="222222"/>
                <w:szCs w:val="24"/>
              </w:rPr>
            </w:pPr>
            <w:r w:rsidRPr="00B03B2C">
              <w:rPr>
                <w:rFonts w:ascii="新細明體" w:hAnsi="新細明體"/>
                <w:color w:val="222222"/>
                <w:szCs w:val="24"/>
              </w:rPr>
              <w:t>制訂並執行守則與指引，建立投資產品認可申請的平台，以促進市場發展及產品創新</w:t>
            </w:r>
          </w:p>
          <w:p w:rsidR="00A22407" w:rsidRPr="00B03B2C" w:rsidRDefault="00A22407" w:rsidP="00A22407">
            <w:pPr>
              <w:widowControl/>
              <w:numPr>
                <w:ilvl w:val="0"/>
                <w:numId w:val="19"/>
              </w:numPr>
              <w:tabs>
                <w:tab w:val="num" w:pos="307"/>
              </w:tabs>
              <w:spacing w:line="440" w:lineRule="exact"/>
              <w:ind w:leftChars="69" w:left="330" w:hanging="164"/>
              <w:textAlignment w:val="baseline"/>
              <w:rPr>
                <w:rFonts w:ascii="新細明體" w:hAnsi="新細明體"/>
                <w:color w:val="222222"/>
                <w:szCs w:val="24"/>
              </w:rPr>
            </w:pPr>
            <w:r w:rsidRPr="00B03B2C">
              <w:rPr>
                <w:rFonts w:ascii="新細明體" w:hAnsi="新細明體"/>
                <w:color w:val="222222"/>
                <w:szCs w:val="24"/>
              </w:rPr>
              <w:t>規管及審核向公眾發售的投資產品</w:t>
            </w:r>
          </w:p>
          <w:p w:rsidR="00A22407" w:rsidRPr="00B03B2C" w:rsidRDefault="00A22407" w:rsidP="00A22407">
            <w:pPr>
              <w:widowControl/>
              <w:numPr>
                <w:ilvl w:val="0"/>
                <w:numId w:val="19"/>
              </w:numPr>
              <w:tabs>
                <w:tab w:val="num" w:pos="307"/>
              </w:tabs>
              <w:spacing w:line="440" w:lineRule="exact"/>
              <w:ind w:leftChars="69" w:left="330" w:hanging="164"/>
              <w:textAlignment w:val="baseline"/>
              <w:rPr>
                <w:rFonts w:ascii="新細明體" w:hAnsi="新細明體"/>
                <w:color w:val="222222"/>
                <w:szCs w:val="24"/>
              </w:rPr>
            </w:pPr>
            <w:r w:rsidRPr="00B03B2C">
              <w:rPr>
                <w:rFonts w:ascii="新細明體" w:hAnsi="新細明體"/>
                <w:color w:val="222222"/>
                <w:szCs w:val="24"/>
              </w:rPr>
              <w:t>監察認可投資產品的資料披露和持續合規事宜</w:t>
            </w:r>
          </w:p>
        </w:tc>
      </w:tr>
      <w:tr w:rsidR="00A22407" w:rsidRPr="00B03B2C" w:rsidTr="00A22407">
        <w:trPr>
          <w:trHeight w:val="4946"/>
          <w:jc w:val="center"/>
        </w:trPr>
        <w:tc>
          <w:tcPr>
            <w:tcW w:w="1454" w:type="dxa"/>
            <w:shd w:val="clear" w:color="auto" w:fill="auto"/>
            <w:vAlign w:val="center"/>
          </w:tcPr>
          <w:p w:rsidR="00A22407" w:rsidRPr="00B03B2C" w:rsidRDefault="00A22407" w:rsidP="00A22407">
            <w:pPr>
              <w:rPr>
                <w:rFonts w:ascii="新細明體" w:hAnsi="新細明體"/>
                <w:szCs w:val="24"/>
              </w:rPr>
            </w:pPr>
            <w:r w:rsidRPr="00B03B2C">
              <w:rPr>
                <w:rFonts w:ascii="新細明體" w:hAnsi="新細明體"/>
                <w:szCs w:val="24"/>
              </w:rPr>
              <w:lastRenderedPageBreak/>
              <w:t>市場監察部</w:t>
            </w:r>
          </w:p>
        </w:tc>
        <w:tc>
          <w:tcPr>
            <w:tcW w:w="7335" w:type="dxa"/>
            <w:shd w:val="clear" w:color="auto" w:fill="auto"/>
            <w:vAlign w:val="center"/>
          </w:tcPr>
          <w:p w:rsidR="00A22407" w:rsidRPr="00B03B2C" w:rsidRDefault="00A22407" w:rsidP="00A22407">
            <w:pPr>
              <w:widowControl/>
              <w:spacing w:line="440" w:lineRule="exact"/>
              <w:jc w:val="both"/>
              <w:rPr>
                <w:rFonts w:ascii="新細明體" w:hAnsi="新細明體"/>
                <w:szCs w:val="24"/>
              </w:rPr>
            </w:pPr>
            <w:r w:rsidRPr="00B03B2C">
              <w:rPr>
                <w:rFonts w:ascii="新細明體" w:hAnsi="新細明體"/>
                <w:szCs w:val="24"/>
              </w:rPr>
              <w:t>負責監管主要市場營運機構，並致力確保香港證券及期貨市場的發展與國際標準看齊。</w:t>
            </w:r>
          </w:p>
          <w:p w:rsidR="00A22407" w:rsidRPr="00B03B2C" w:rsidRDefault="00A22407" w:rsidP="00A22407">
            <w:pPr>
              <w:widowControl/>
              <w:numPr>
                <w:ilvl w:val="0"/>
                <w:numId w:val="19"/>
              </w:numPr>
              <w:tabs>
                <w:tab w:val="num" w:pos="307"/>
              </w:tabs>
              <w:spacing w:line="440" w:lineRule="exact"/>
              <w:ind w:leftChars="69" w:left="330" w:hanging="164"/>
              <w:textAlignment w:val="baseline"/>
              <w:rPr>
                <w:rFonts w:ascii="新細明體" w:hAnsi="新細明體"/>
                <w:color w:val="222222"/>
                <w:szCs w:val="24"/>
              </w:rPr>
            </w:pPr>
            <w:r w:rsidRPr="00B03B2C">
              <w:rPr>
                <w:rFonts w:ascii="新細明體" w:hAnsi="新細明體"/>
                <w:color w:val="222222"/>
                <w:szCs w:val="24"/>
              </w:rPr>
              <w:t>與本地及海外的市場參與者溝通聯繫，以鼓勵他們參與香港市場，促進市場發展</w:t>
            </w:r>
          </w:p>
          <w:p w:rsidR="00A22407" w:rsidRPr="00B03B2C" w:rsidRDefault="00A22407" w:rsidP="00A22407">
            <w:pPr>
              <w:widowControl/>
              <w:numPr>
                <w:ilvl w:val="0"/>
                <w:numId w:val="19"/>
              </w:numPr>
              <w:tabs>
                <w:tab w:val="num" w:pos="307"/>
              </w:tabs>
              <w:spacing w:line="440" w:lineRule="exact"/>
              <w:ind w:leftChars="69" w:left="330" w:hanging="164"/>
              <w:textAlignment w:val="baseline"/>
              <w:rPr>
                <w:rFonts w:ascii="新細明體" w:hAnsi="新細明體"/>
                <w:color w:val="222222"/>
                <w:szCs w:val="24"/>
              </w:rPr>
            </w:pPr>
            <w:r w:rsidRPr="00B03B2C">
              <w:rPr>
                <w:rFonts w:ascii="新細明體" w:hAnsi="新細明體"/>
                <w:color w:val="222222"/>
                <w:szCs w:val="24"/>
              </w:rPr>
              <w:t>強化香港的市場基礎設施</w:t>
            </w:r>
          </w:p>
          <w:p w:rsidR="00A22407" w:rsidRPr="00B03B2C" w:rsidRDefault="00A22407" w:rsidP="00A22407">
            <w:pPr>
              <w:widowControl/>
              <w:numPr>
                <w:ilvl w:val="0"/>
                <w:numId w:val="19"/>
              </w:numPr>
              <w:tabs>
                <w:tab w:val="num" w:pos="307"/>
              </w:tabs>
              <w:spacing w:line="440" w:lineRule="exact"/>
              <w:ind w:leftChars="69" w:left="330" w:hanging="164"/>
              <w:textAlignment w:val="baseline"/>
              <w:rPr>
                <w:rFonts w:ascii="新細明體" w:hAnsi="新細明體"/>
                <w:color w:val="222222"/>
                <w:szCs w:val="24"/>
              </w:rPr>
            </w:pPr>
            <w:r w:rsidRPr="00B03B2C">
              <w:rPr>
                <w:rFonts w:ascii="新細明體" w:hAnsi="新細明體"/>
                <w:color w:val="222222"/>
                <w:szCs w:val="24"/>
              </w:rPr>
              <w:t>監管和監察交易所控制人，交易所及結算所的活動</w:t>
            </w:r>
          </w:p>
          <w:p w:rsidR="00A22407" w:rsidRPr="00B03B2C" w:rsidRDefault="00A22407" w:rsidP="00A22407">
            <w:pPr>
              <w:widowControl/>
              <w:numPr>
                <w:ilvl w:val="0"/>
                <w:numId w:val="19"/>
              </w:numPr>
              <w:tabs>
                <w:tab w:val="num" w:pos="307"/>
              </w:tabs>
              <w:spacing w:line="440" w:lineRule="exact"/>
              <w:ind w:leftChars="69" w:left="330" w:hanging="164"/>
              <w:textAlignment w:val="baseline"/>
              <w:rPr>
                <w:rFonts w:ascii="新細明體" w:hAnsi="新細明體"/>
                <w:color w:val="222222"/>
                <w:szCs w:val="24"/>
              </w:rPr>
            </w:pPr>
            <w:r w:rsidRPr="00B03B2C">
              <w:rPr>
                <w:rFonts w:ascii="新細明體" w:hAnsi="新細明體"/>
                <w:color w:val="222222"/>
                <w:szCs w:val="24"/>
              </w:rPr>
              <w:t>認可自動化交易服務提供者</w:t>
            </w:r>
          </w:p>
          <w:p w:rsidR="00A22407" w:rsidRPr="00B03B2C" w:rsidRDefault="00A22407" w:rsidP="00A22407">
            <w:pPr>
              <w:widowControl/>
              <w:numPr>
                <w:ilvl w:val="0"/>
                <w:numId w:val="19"/>
              </w:numPr>
              <w:tabs>
                <w:tab w:val="num" w:pos="307"/>
              </w:tabs>
              <w:spacing w:line="440" w:lineRule="exact"/>
              <w:ind w:leftChars="69" w:left="330" w:hanging="164"/>
              <w:textAlignment w:val="baseline"/>
              <w:rPr>
                <w:rFonts w:ascii="新細明體" w:hAnsi="新細明體"/>
                <w:color w:val="222222"/>
                <w:szCs w:val="24"/>
              </w:rPr>
            </w:pPr>
            <w:r w:rsidRPr="00B03B2C">
              <w:rPr>
                <w:rFonts w:ascii="新細明體" w:hAnsi="新細明體"/>
                <w:color w:val="222222"/>
                <w:szCs w:val="24"/>
              </w:rPr>
              <w:t>規管獲認可的股份登記機構</w:t>
            </w:r>
          </w:p>
          <w:p w:rsidR="00A22407" w:rsidRPr="00B03B2C" w:rsidRDefault="00A22407" w:rsidP="00A22407">
            <w:pPr>
              <w:widowControl/>
              <w:numPr>
                <w:ilvl w:val="0"/>
                <w:numId w:val="19"/>
              </w:numPr>
              <w:tabs>
                <w:tab w:val="num" w:pos="307"/>
              </w:tabs>
              <w:spacing w:line="440" w:lineRule="exact"/>
              <w:ind w:leftChars="69" w:left="330" w:hanging="164"/>
              <w:textAlignment w:val="baseline"/>
              <w:rPr>
                <w:rFonts w:ascii="新細明體" w:hAnsi="新細明體"/>
                <w:color w:val="222222"/>
                <w:szCs w:val="24"/>
              </w:rPr>
            </w:pPr>
            <w:r w:rsidRPr="00B03B2C">
              <w:rPr>
                <w:rFonts w:ascii="新細明體" w:hAnsi="新細明體"/>
                <w:color w:val="222222"/>
                <w:szCs w:val="24"/>
              </w:rPr>
              <w:t>協調市場的緊急應變計劃</w:t>
            </w:r>
          </w:p>
          <w:p w:rsidR="00A22407" w:rsidRPr="00B03B2C" w:rsidRDefault="00A22407" w:rsidP="00A22407">
            <w:pPr>
              <w:widowControl/>
              <w:numPr>
                <w:ilvl w:val="0"/>
                <w:numId w:val="19"/>
              </w:numPr>
              <w:tabs>
                <w:tab w:val="num" w:pos="307"/>
              </w:tabs>
              <w:spacing w:line="440" w:lineRule="exact"/>
              <w:ind w:leftChars="69" w:left="330" w:hanging="164"/>
              <w:textAlignment w:val="baseline"/>
              <w:rPr>
                <w:rFonts w:ascii="新細明體" w:hAnsi="新細明體"/>
                <w:color w:val="222222"/>
                <w:szCs w:val="24"/>
              </w:rPr>
            </w:pPr>
            <w:r w:rsidRPr="00B03B2C">
              <w:rPr>
                <w:rFonts w:ascii="新細明體" w:hAnsi="新細明體"/>
                <w:color w:val="222222"/>
                <w:szCs w:val="24"/>
              </w:rPr>
              <w:t>監管投資者賠償有限公司及管理投資者賠償基金</w:t>
            </w:r>
          </w:p>
          <w:p w:rsidR="00A22407" w:rsidRPr="00B03B2C" w:rsidRDefault="00A22407" w:rsidP="00A22407">
            <w:pPr>
              <w:widowControl/>
              <w:numPr>
                <w:ilvl w:val="0"/>
                <w:numId w:val="19"/>
              </w:numPr>
              <w:tabs>
                <w:tab w:val="num" w:pos="307"/>
              </w:tabs>
              <w:spacing w:line="440" w:lineRule="exact"/>
              <w:ind w:leftChars="69" w:left="330" w:hanging="164"/>
              <w:textAlignment w:val="baseline"/>
              <w:rPr>
                <w:rFonts w:ascii="新細明體" w:hAnsi="新細明體"/>
                <w:color w:val="222222"/>
                <w:szCs w:val="24"/>
              </w:rPr>
            </w:pPr>
            <w:r w:rsidRPr="00B03B2C">
              <w:rPr>
                <w:rFonts w:ascii="新細明體" w:hAnsi="新細明體"/>
                <w:color w:val="222222"/>
                <w:szCs w:val="24"/>
              </w:rPr>
              <w:t>進行與市場有關的研究，協助制訂政策</w:t>
            </w:r>
          </w:p>
        </w:tc>
      </w:tr>
      <w:tr w:rsidR="00A22407" w:rsidRPr="00B03B2C" w:rsidTr="00A22407">
        <w:trPr>
          <w:trHeight w:val="1827"/>
          <w:jc w:val="center"/>
        </w:trPr>
        <w:tc>
          <w:tcPr>
            <w:tcW w:w="1454" w:type="dxa"/>
            <w:tcBorders>
              <w:top w:val="single" w:sz="4" w:space="0" w:color="auto"/>
              <w:left w:val="single" w:sz="4" w:space="0" w:color="auto"/>
              <w:bottom w:val="single" w:sz="4" w:space="0" w:color="auto"/>
              <w:right w:val="single" w:sz="4" w:space="0" w:color="auto"/>
            </w:tcBorders>
            <w:shd w:val="clear" w:color="auto" w:fill="auto"/>
            <w:vAlign w:val="center"/>
          </w:tcPr>
          <w:p w:rsidR="00A22407" w:rsidRPr="00B03B2C" w:rsidRDefault="00A22407" w:rsidP="00A22407">
            <w:pPr>
              <w:rPr>
                <w:rFonts w:ascii="新細明體" w:hAnsi="新細明體"/>
                <w:bCs/>
                <w:szCs w:val="24"/>
              </w:rPr>
            </w:pPr>
            <w:r w:rsidRPr="00B03B2C">
              <w:rPr>
                <w:rFonts w:ascii="新細明體" w:hAnsi="新細明體" w:hint="eastAsia"/>
                <w:bCs/>
                <w:szCs w:val="24"/>
              </w:rPr>
              <w:t>中介機構部</w:t>
            </w:r>
          </w:p>
        </w:tc>
        <w:tc>
          <w:tcPr>
            <w:tcW w:w="7335" w:type="dxa"/>
            <w:tcBorders>
              <w:top w:val="single" w:sz="4" w:space="0" w:color="auto"/>
              <w:left w:val="single" w:sz="4" w:space="0" w:color="auto"/>
              <w:bottom w:val="single" w:sz="4" w:space="0" w:color="auto"/>
              <w:right w:val="single" w:sz="4" w:space="0" w:color="auto"/>
            </w:tcBorders>
            <w:shd w:val="clear" w:color="auto" w:fill="auto"/>
            <w:vAlign w:val="center"/>
          </w:tcPr>
          <w:p w:rsidR="00A22407" w:rsidRPr="00B03B2C" w:rsidRDefault="00A22407" w:rsidP="00A22407">
            <w:pPr>
              <w:widowControl/>
              <w:spacing w:line="440" w:lineRule="exact"/>
              <w:jc w:val="both"/>
              <w:rPr>
                <w:rFonts w:ascii="新細明體" w:hAnsi="新細明體"/>
                <w:szCs w:val="24"/>
              </w:rPr>
            </w:pPr>
            <w:r w:rsidRPr="00B03B2C">
              <w:rPr>
                <w:rFonts w:ascii="新細明體" w:hAnsi="新細明體"/>
                <w:szCs w:val="24"/>
              </w:rPr>
              <w:t>為確保香港的證券及期貨業秉持最高標準，規定只有符合相關資格準則的人士及公司，方可晉身業界，</w:t>
            </w:r>
            <w:r w:rsidRPr="00B03B2C">
              <w:rPr>
                <w:rFonts w:ascii="新細明體" w:hAnsi="新細明體" w:hint="eastAsia"/>
                <w:szCs w:val="24"/>
              </w:rPr>
              <w:t>且</w:t>
            </w:r>
            <w:r w:rsidRPr="00B03B2C">
              <w:rPr>
                <w:rFonts w:ascii="新細明體" w:hAnsi="新細明體"/>
                <w:szCs w:val="24"/>
              </w:rPr>
              <w:t>須遵守適用於中介人的相關法例及規管規定。此外，不時檢討本會就發牌及合規事宜所訂立的政策措施，務求緊貼市場發展。</w:t>
            </w:r>
          </w:p>
        </w:tc>
      </w:tr>
      <w:tr w:rsidR="00A22407" w:rsidRPr="00B03B2C" w:rsidTr="00A22407">
        <w:trPr>
          <w:trHeight w:val="2758"/>
          <w:jc w:val="center"/>
        </w:trPr>
        <w:tc>
          <w:tcPr>
            <w:tcW w:w="1454" w:type="dxa"/>
            <w:tcBorders>
              <w:top w:val="single" w:sz="4" w:space="0" w:color="auto"/>
              <w:left w:val="single" w:sz="4" w:space="0" w:color="auto"/>
              <w:bottom w:val="single" w:sz="4" w:space="0" w:color="auto"/>
              <w:right w:val="single" w:sz="4" w:space="0" w:color="auto"/>
            </w:tcBorders>
            <w:shd w:val="clear" w:color="auto" w:fill="auto"/>
            <w:vAlign w:val="center"/>
          </w:tcPr>
          <w:p w:rsidR="00A22407" w:rsidRPr="00B03B2C" w:rsidRDefault="00A22407" w:rsidP="00A22407">
            <w:pPr>
              <w:rPr>
                <w:rFonts w:ascii="新細明體" w:hAnsi="新細明體"/>
                <w:bCs/>
                <w:szCs w:val="24"/>
              </w:rPr>
            </w:pPr>
            <w:r w:rsidRPr="00B03B2C">
              <w:rPr>
                <w:rFonts w:ascii="新細明體" w:hAnsi="新細明體" w:hint="eastAsia"/>
                <w:bCs/>
                <w:szCs w:val="24"/>
              </w:rPr>
              <w:t>中</w:t>
            </w:r>
            <w:r w:rsidRPr="00B03B2C">
              <w:rPr>
                <w:rFonts w:ascii="新細明體" w:hAnsi="新細明體"/>
                <w:bCs/>
                <w:szCs w:val="24"/>
              </w:rPr>
              <w:t>介團體</w:t>
            </w:r>
          </w:p>
          <w:p w:rsidR="00A22407" w:rsidRPr="00B03B2C" w:rsidRDefault="00A22407" w:rsidP="00A22407">
            <w:pPr>
              <w:rPr>
                <w:rFonts w:ascii="新細明體" w:hAnsi="新細明體"/>
                <w:bCs/>
                <w:szCs w:val="24"/>
              </w:rPr>
            </w:pPr>
            <w:r w:rsidRPr="00B03B2C">
              <w:rPr>
                <w:rFonts w:ascii="新細明體" w:hAnsi="新細明體"/>
                <w:bCs/>
                <w:szCs w:val="24"/>
              </w:rPr>
              <w:t>監察科</w:t>
            </w:r>
          </w:p>
        </w:tc>
        <w:tc>
          <w:tcPr>
            <w:tcW w:w="7335" w:type="dxa"/>
            <w:tcBorders>
              <w:top w:val="single" w:sz="4" w:space="0" w:color="auto"/>
              <w:left w:val="single" w:sz="4" w:space="0" w:color="auto"/>
              <w:bottom w:val="single" w:sz="4" w:space="0" w:color="auto"/>
              <w:right w:val="single" w:sz="4" w:space="0" w:color="auto"/>
            </w:tcBorders>
            <w:shd w:val="clear" w:color="auto" w:fill="auto"/>
            <w:vAlign w:val="center"/>
          </w:tcPr>
          <w:p w:rsidR="00A22407" w:rsidRPr="00B03B2C" w:rsidRDefault="00A22407" w:rsidP="00A22407">
            <w:pPr>
              <w:widowControl/>
              <w:spacing w:line="440" w:lineRule="exact"/>
              <w:jc w:val="both"/>
              <w:rPr>
                <w:rFonts w:ascii="新細明體" w:hAnsi="新細明體"/>
                <w:szCs w:val="24"/>
              </w:rPr>
            </w:pPr>
            <w:r w:rsidRPr="00B03B2C">
              <w:rPr>
                <w:rFonts w:ascii="新細明體" w:hAnsi="新細明體"/>
                <w:szCs w:val="24"/>
              </w:rPr>
              <w:t>負責監管中介人，以業務操守及財政穩健程度為監察重點。</w:t>
            </w:r>
          </w:p>
          <w:p w:rsidR="00A22407" w:rsidRPr="00B03B2C" w:rsidRDefault="00A22407" w:rsidP="00A22407">
            <w:pPr>
              <w:widowControl/>
              <w:numPr>
                <w:ilvl w:val="0"/>
                <w:numId w:val="19"/>
              </w:numPr>
              <w:tabs>
                <w:tab w:val="num" w:pos="307"/>
              </w:tabs>
              <w:spacing w:line="440" w:lineRule="exact"/>
              <w:ind w:leftChars="69" w:left="330" w:hanging="164"/>
              <w:textAlignment w:val="baseline"/>
              <w:rPr>
                <w:rFonts w:ascii="新細明體" w:hAnsi="新細明體"/>
                <w:szCs w:val="24"/>
              </w:rPr>
            </w:pPr>
            <w:r w:rsidRPr="00B03B2C">
              <w:rPr>
                <w:rFonts w:ascii="新細明體" w:hAnsi="新細明體"/>
                <w:szCs w:val="24"/>
              </w:rPr>
              <w:t>進行現場審查及非現場監察，從而： </w:t>
            </w:r>
          </w:p>
          <w:p w:rsidR="00A22407" w:rsidRPr="00B03B2C" w:rsidRDefault="00A22407" w:rsidP="00A22407">
            <w:pPr>
              <w:widowControl/>
              <w:spacing w:line="440" w:lineRule="exact"/>
              <w:jc w:val="both"/>
              <w:rPr>
                <w:rFonts w:ascii="新細明體" w:hAnsi="新細明體"/>
                <w:szCs w:val="24"/>
              </w:rPr>
            </w:pPr>
            <w:r w:rsidRPr="00B03B2C">
              <w:rPr>
                <w:rFonts w:ascii="新細明體" w:hAnsi="新細明體"/>
                <w:szCs w:val="24"/>
              </w:rPr>
              <w:t>-監察中介人的業務操守，確定其遵守相關的規管規定 </w:t>
            </w:r>
          </w:p>
          <w:p w:rsidR="00A22407" w:rsidRPr="00B03B2C" w:rsidRDefault="00A22407" w:rsidP="00A22407">
            <w:pPr>
              <w:widowControl/>
              <w:spacing w:line="440" w:lineRule="exact"/>
              <w:jc w:val="both"/>
              <w:rPr>
                <w:rFonts w:ascii="新細明體" w:hAnsi="新細明體"/>
                <w:szCs w:val="24"/>
              </w:rPr>
            </w:pPr>
            <w:r w:rsidRPr="00B03B2C">
              <w:rPr>
                <w:rFonts w:ascii="新細明體" w:hAnsi="新細明體"/>
                <w:szCs w:val="24"/>
              </w:rPr>
              <w:t>-評估及監察中介人的財政穩健程度</w:t>
            </w:r>
          </w:p>
          <w:p w:rsidR="00A22407" w:rsidRPr="00B03B2C" w:rsidRDefault="00A22407" w:rsidP="00A22407">
            <w:pPr>
              <w:widowControl/>
              <w:numPr>
                <w:ilvl w:val="0"/>
                <w:numId w:val="19"/>
              </w:numPr>
              <w:tabs>
                <w:tab w:val="num" w:pos="307"/>
              </w:tabs>
              <w:spacing w:line="440" w:lineRule="exact"/>
              <w:ind w:leftChars="69" w:left="330" w:hanging="164"/>
              <w:textAlignment w:val="baseline"/>
              <w:rPr>
                <w:rFonts w:ascii="新細明體" w:hAnsi="新細明體"/>
                <w:szCs w:val="24"/>
              </w:rPr>
            </w:pPr>
            <w:r w:rsidRPr="00B03B2C">
              <w:rPr>
                <w:rFonts w:ascii="新細明體" w:hAnsi="新細明體"/>
                <w:szCs w:val="24"/>
              </w:rPr>
              <w:t>處理中介人就各項相關規定核准，寬免或修改所提出的申請</w:t>
            </w:r>
          </w:p>
          <w:p w:rsidR="00A22407" w:rsidRPr="00B03B2C" w:rsidRDefault="00A22407" w:rsidP="00A22407">
            <w:pPr>
              <w:widowControl/>
              <w:numPr>
                <w:ilvl w:val="0"/>
                <w:numId w:val="19"/>
              </w:numPr>
              <w:tabs>
                <w:tab w:val="num" w:pos="307"/>
              </w:tabs>
              <w:spacing w:line="440" w:lineRule="exact"/>
              <w:ind w:leftChars="69" w:left="330" w:hanging="164"/>
              <w:textAlignment w:val="baseline"/>
              <w:rPr>
                <w:rFonts w:ascii="新細明體" w:hAnsi="新細明體"/>
                <w:szCs w:val="24"/>
              </w:rPr>
            </w:pPr>
            <w:r w:rsidRPr="00B03B2C">
              <w:rPr>
                <w:rFonts w:ascii="新細明體" w:hAnsi="新細明體"/>
                <w:szCs w:val="24"/>
              </w:rPr>
              <w:t>就相關政策及監管事宜與中介人及業界保持溝通</w:t>
            </w:r>
          </w:p>
        </w:tc>
      </w:tr>
      <w:tr w:rsidR="00A22407" w:rsidRPr="00B03B2C" w:rsidTr="00A22407">
        <w:trPr>
          <w:trHeight w:val="3324"/>
          <w:jc w:val="center"/>
        </w:trPr>
        <w:tc>
          <w:tcPr>
            <w:tcW w:w="1454" w:type="dxa"/>
            <w:tcBorders>
              <w:top w:val="single" w:sz="4" w:space="0" w:color="auto"/>
              <w:left w:val="single" w:sz="4" w:space="0" w:color="auto"/>
              <w:bottom w:val="single" w:sz="4" w:space="0" w:color="auto"/>
              <w:right w:val="single" w:sz="4" w:space="0" w:color="auto"/>
            </w:tcBorders>
            <w:shd w:val="clear" w:color="auto" w:fill="auto"/>
            <w:vAlign w:val="center"/>
          </w:tcPr>
          <w:p w:rsidR="00A22407" w:rsidRPr="00B03B2C" w:rsidRDefault="00A22407" w:rsidP="00A22407">
            <w:pPr>
              <w:rPr>
                <w:rFonts w:ascii="新細明體" w:hAnsi="新細明體"/>
                <w:bCs/>
                <w:szCs w:val="24"/>
              </w:rPr>
            </w:pPr>
            <w:r w:rsidRPr="00B03B2C">
              <w:rPr>
                <w:rFonts w:ascii="新細明體" w:hAnsi="新細明體"/>
                <w:bCs/>
                <w:szCs w:val="24"/>
              </w:rPr>
              <w:t>發牌科</w:t>
            </w:r>
          </w:p>
        </w:tc>
        <w:tc>
          <w:tcPr>
            <w:tcW w:w="7335" w:type="dxa"/>
            <w:tcBorders>
              <w:top w:val="single" w:sz="4" w:space="0" w:color="auto"/>
              <w:left w:val="single" w:sz="4" w:space="0" w:color="auto"/>
              <w:bottom w:val="single" w:sz="4" w:space="0" w:color="auto"/>
              <w:right w:val="single" w:sz="4" w:space="0" w:color="auto"/>
            </w:tcBorders>
            <w:shd w:val="clear" w:color="auto" w:fill="auto"/>
            <w:vAlign w:val="center"/>
          </w:tcPr>
          <w:p w:rsidR="00A22407" w:rsidRPr="00B03B2C" w:rsidRDefault="00A22407" w:rsidP="00A22407">
            <w:pPr>
              <w:widowControl/>
              <w:spacing w:line="440" w:lineRule="exact"/>
              <w:jc w:val="both"/>
              <w:rPr>
                <w:rFonts w:ascii="新細明體" w:hAnsi="新細明體"/>
                <w:szCs w:val="24"/>
              </w:rPr>
            </w:pPr>
            <w:r w:rsidRPr="00B03B2C">
              <w:rPr>
                <w:rFonts w:ascii="新細明體" w:hAnsi="新細明體"/>
                <w:szCs w:val="24"/>
              </w:rPr>
              <w:t>擔當把關者的角色，負責確保有意進入香港證券及期貨市場的法團及個人符合既定的標準。</w:t>
            </w:r>
          </w:p>
          <w:p w:rsidR="00A22407" w:rsidRPr="00B03B2C" w:rsidRDefault="00A22407" w:rsidP="00A22407">
            <w:pPr>
              <w:widowControl/>
              <w:numPr>
                <w:ilvl w:val="0"/>
                <w:numId w:val="19"/>
              </w:numPr>
              <w:tabs>
                <w:tab w:val="num" w:pos="307"/>
              </w:tabs>
              <w:spacing w:line="440" w:lineRule="exact"/>
              <w:ind w:leftChars="69" w:left="330" w:hanging="164"/>
              <w:textAlignment w:val="baseline"/>
              <w:rPr>
                <w:rFonts w:ascii="新細明體" w:hAnsi="新細明體"/>
                <w:szCs w:val="24"/>
              </w:rPr>
            </w:pPr>
            <w:r w:rsidRPr="00B03B2C">
              <w:rPr>
                <w:rFonts w:ascii="新細明體" w:hAnsi="新細明體"/>
                <w:szCs w:val="24"/>
              </w:rPr>
              <w:t>向有意在香港經營受規管業務，因而須按照《證券及期貨條例》申領牌照的法團及個人發出牌照</w:t>
            </w:r>
          </w:p>
          <w:p w:rsidR="00A22407" w:rsidRPr="00B03B2C" w:rsidRDefault="00A22407" w:rsidP="00A22407">
            <w:pPr>
              <w:widowControl/>
              <w:numPr>
                <w:ilvl w:val="0"/>
                <w:numId w:val="19"/>
              </w:numPr>
              <w:tabs>
                <w:tab w:val="num" w:pos="307"/>
              </w:tabs>
              <w:spacing w:line="440" w:lineRule="exact"/>
              <w:ind w:leftChars="69" w:left="330" w:hanging="164"/>
              <w:textAlignment w:val="baseline"/>
              <w:rPr>
                <w:rFonts w:ascii="新細明體" w:hAnsi="新細明體"/>
                <w:szCs w:val="24"/>
              </w:rPr>
            </w:pPr>
            <w:r w:rsidRPr="00B03B2C">
              <w:rPr>
                <w:rFonts w:ascii="新細明體" w:hAnsi="新細明體"/>
                <w:szCs w:val="24"/>
              </w:rPr>
              <w:t>發出守則及指引，說明公司及個人應具備甚麼能力和哪些條件才適合獲發牌</w:t>
            </w:r>
          </w:p>
          <w:p w:rsidR="00A22407" w:rsidRPr="00B03B2C" w:rsidRDefault="00A22407" w:rsidP="00A22407">
            <w:pPr>
              <w:widowControl/>
              <w:numPr>
                <w:ilvl w:val="0"/>
                <w:numId w:val="19"/>
              </w:numPr>
              <w:tabs>
                <w:tab w:val="num" w:pos="307"/>
              </w:tabs>
              <w:spacing w:line="440" w:lineRule="exact"/>
              <w:ind w:leftChars="69" w:left="330" w:hanging="164"/>
              <w:textAlignment w:val="baseline"/>
              <w:rPr>
                <w:rFonts w:ascii="新細明體" w:hAnsi="新細明體"/>
                <w:szCs w:val="24"/>
              </w:rPr>
            </w:pPr>
            <w:r w:rsidRPr="00B03B2C">
              <w:rPr>
                <w:rFonts w:ascii="新細明體" w:hAnsi="新細明體"/>
                <w:szCs w:val="24"/>
              </w:rPr>
              <w:t>監察持牌人及相關人士是否持續遵守發牌規定</w:t>
            </w:r>
          </w:p>
        </w:tc>
      </w:tr>
    </w:tbl>
    <w:p w:rsidR="00A22407" w:rsidRDefault="00A22407" w:rsidP="00A22407">
      <w:pPr>
        <w:rPr>
          <w:b/>
          <w:sz w:val="26"/>
          <w:szCs w:val="26"/>
        </w:rPr>
      </w:pPr>
    </w:p>
    <w:p w:rsidR="00A22407" w:rsidRDefault="00A22407" w:rsidP="00A22407">
      <w:pPr>
        <w:rPr>
          <w:rFonts w:hint="eastAsia"/>
          <w:b/>
          <w:sz w:val="26"/>
          <w:szCs w:val="26"/>
        </w:rPr>
      </w:pPr>
    </w:p>
    <w:p w:rsidR="00137057" w:rsidRDefault="00137057" w:rsidP="00A22407">
      <w:pPr>
        <w:rPr>
          <w:b/>
          <w:sz w:val="26"/>
          <w:szCs w:val="26"/>
        </w:rPr>
      </w:pPr>
      <w:bookmarkStart w:id="2" w:name="_GoBack"/>
      <w:bookmarkEnd w:id="2"/>
    </w:p>
    <w:p w:rsidR="00A22407" w:rsidRDefault="00A22407" w:rsidP="00A22407">
      <w:pPr>
        <w:rPr>
          <w:b/>
          <w:sz w:val="26"/>
          <w:szCs w:val="26"/>
        </w:rPr>
      </w:pPr>
      <w:r>
        <w:rPr>
          <w:rFonts w:hint="eastAsia"/>
          <w:b/>
          <w:sz w:val="26"/>
          <w:szCs w:val="26"/>
        </w:rPr>
        <w:lastRenderedPageBreak/>
        <w:t>支援部門</w:t>
      </w:r>
    </w:p>
    <w:tbl>
      <w:tblPr>
        <w:tblW w:w="0" w:type="auto"/>
        <w:jc w:val="center"/>
        <w:tblInd w:w="-8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4"/>
        <w:gridCol w:w="7335"/>
      </w:tblGrid>
      <w:tr w:rsidR="00A22407" w:rsidRPr="000B1136" w:rsidTr="00A22407">
        <w:trPr>
          <w:trHeight w:val="547"/>
          <w:jc w:val="center"/>
        </w:trPr>
        <w:tc>
          <w:tcPr>
            <w:tcW w:w="1454" w:type="dxa"/>
            <w:shd w:val="clear" w:color="auto" w:fill="auto"/>
            <w:vAlign w:val="center"/>
          </w:tcPr>
          <w:p w:rsidR="00A22407" w:rsidRPr="00B03B2C" w:rsidRDefault="00A22407" w:rsidP="00A22407">
            <w:pPr>
              <w:jc w:val="center"/>
              <w:rPr>
                <w:rFonts w:ascii="新細明體" w:hAnsi="新細明體"/>
                <w:b/>
                <w:szCs w:val="24"/>
              </w:rPr>
            </w:pPr>
            <w:r w:rsidRPr="00B03B2C">
              <w:rPr>
                <w:rFonts w:ascii="新細明體" w:hAnsi="新細明體"/>
                <w:b/>
                <w:szCs w:val="24"/>
              </w:rPr>
              <w:t>部門</w:t>
            </w:r>
          </w:p>
        </w:tc>
        <w:tc>
          <w:tcPr>
            <w:tcW w:w="7335" w:type="dxa"/>
            <w:shd w:val="clear" w:color="auto" w:fill="auto"/>
            <w:vAlign w:val="center"/>
          </w:tcPr>
          <w:p w:rsidR="00A22407" w:rsidRPr="00B03B2C" w:rsidRDefault="00A22407" w:rsidP="00A22407">
            <w:pPr>
              <w:jc w:val="center"/>
              <w:rPr>
                <w:rFonts w:ascii="新細明體" w:hAnsi="新細明體"/>
                <w:b/>
                <w:szCs w:val="24"/>
              </w:rPr>
            </w:pPr>
            <w:r w:rsidRPr="00B03B2C">
              <w:rPr>
                <w:rFonts w:ascii="新細明體" w:hAnsi="新細明體" w:hint="eastAsia"/>
                <w:b/>
                <w:szCs w:val="24"/>
              </w:rPr>
              <w:t>主要</w:t>
            </w:r>
            <w:r w:rsidRPr="00B03B2C">
              <w:rPr>
                <w:rFonts w:ascii="新細明體" w:hAnsi="新細明體"/>
                <w:b/>
                <w:szCs w:val="24"/>
              </w:rPr>
              <w:t>職責</w:t>
            </w:r>
          </w:p>
        </w:tc>
      </w:tr>
      <w:tr w:rsidR="00A22407" w:rsidRPr="000B1136" w:rsidTr="00A22407">
        <w:trPr>
          <w:trHeight w:val="3244"/>
          <w:jc w:val="center"/>
        </w:trPr>
        <w:tc>
          <w:tcPr>
            <w:tcW w:w="1454" w:type="dxa"/>
            <w:shd w:val="clear" w:color="auto" w:fill="auto"/>
            <w:vAlign w:val="center"/>
          </w:tcPr>
          <w:p w:rsidR="00A22407" w:rsidRPr="00B03B2C" w:rsidRDefault="00A22407" w:rsidP="00A22407">
            <w:pPr>
              <w:rPr>
                <w:rFonts w:ascii="新細明體" w:hAnsi="新細明體"/>
                <w:bCs/>
                <w:szCs w:val="24"/>
              </w:rPr>
            </w:pPr>
            <w:r w:rsidRPr="00B03B2C">
              <w:rPr>
                <w:rFonts w:ascii="新細明體" w:hAnsi="新細明體" w:hint="eastAsia"/>
                <w:bCs/>
                <w:szCs w:val="24"/>
              </w:rPr>
              <w:t>機構事務部</w:t>
            </w:r>
          </w:p>
        </w:tc>
        <w:tc>
          <w:tcPr>
            <w:tcW w:w="7335" w:type="dxa"/>
            <w:shd w:val="clear" w:color="auto" w:fill="auto"/>
            <w:vAlign w:val="center"/>
          </w:tcPr>
          <w:p w:rsidR="00A22407" w:rsidRPr="00B03B2C" w:rsidRDefault="00A22407" w:rsidP="00A22407">
            <w:pPr>
              <w:widowControl/>
              <w:spacing w:line="440" w:lineRule="exact"/>
              <w:jc w:val="both"/>
              <w:rPr>
                <w:rFonts w:ascii="新細明體" w:hAnsi="新細明體"/>
                <w:szCs w:val="24"/>
              </w:rPr>
            </w:pPr>
            <w:r w:rsidRPr="00B03B2C">
              <w:rPr>
                <w:rFonts w:ascii="新細明體" w:hAnsi="新細明體"/>
                <w:szCs w:val="24"/>
              </w:rPr>
              <w:t>機構事務部涵括：規劃及行政科</w:t>
            </w:r>
            <w:r w:rsidRPr="00B03B2C">
              <w:rPr>
                <w:rFonts w:ascii="新細明體" w:hAnsi="新細明體" w:hint="eastAsia"/>
                <w:szCs w:val="24"/>
              </w:rPr>
              <w:t>、</w:t>
            </w:r>
            <w:r w:rsidRPr="00B03B2C">
              <w:rPr>
                <w:rFonts w:ascii="新細明體" w:hAnsi="新細明體"/>
                <w:szCs w:val="24"/>
              </w:rPr>
              <w:t>對外事務科</w:t>
            </w:r>
            <w:r w:rsidRPr="00B03B2C">
              <w:rPr>
                <w:rFonts w:ascii="新細明體" w:hAnsi="新細明體" w:hint="eastAsia"/>
                <w:szCs w:val="24"/>
              </w:rPr>
              <w:t>、</w:t>
            </w:r>
            <w:r w:rsidRPr="00B03B2C">
              <w:rPr>
                <w:rFonts w:ascii="新細明體" w:hAnsi="新細明體"/>
                <w:szCs w:val="24"/>
              </w:rPr>
              <w:t>財務科</w:t>
            </w:r>
            <w:r w:rsidRPr="00B03B2C">
              <w:rPr>
                <w:rFonts w:ascii="新細明體" w:hAnsi="新細明體" w:hint="eastAsia"/>
                <w:szCs w:val="24"/>
              </w:rPr>
              <w:t>、</w:t>
            </w:r>
            <w:r w:rsidRPr="00B03B2C">
              <w:rPr>
                <w:rFonts w:ascii="新細明體" w:hAnsi="新細明體"/>
                <w:szCs w:val="24"/>
              </w:rPr>
              <w:t>人力資源科</w:t>
            </w:r>
            <w:r w:rsidRPr="00B03B2C">
              <w:rPr>
                <w:rFonts w:ascii="新細明體" w:hAnsi="新細明體" w:hint="eastAsia"/>
                <w:szCs w:val="24"/>
              </w:rPr>
              <w:t>及</w:t>
            </w:r>
            <w:r w:rsidRPr="00B03B2C">
              <w:rPr>
                <w:rFonts w:ascii="新細明體" w:hAnsi="新細明體"/>
                <w:szCs w:val="24"/>
              </w:rPr>
              <w:t>資訊科技科</w:t>
            </w:r>
            <w:r w:rsidRPr="00B03B2C">
              <w:rPr>
                <w:rFonts w:ascii="新細明體" w:hAnsi="新細明體" w:hint="eastAsia"/>
                <w:szCs w:val="24"/>
              </w:rPr>
              <w:t>。</w:t>
            </w:r>
          </w:p>
          <w:p w:rsidR="00A22407" w:rsidRPr="00B03B2C" w:rsidRDefault="00A22407" w:rsidP="00A22407">
            <w:pPr>
              <w:widowControl/>
              <w:numPr>
                <w:ilvl w:val="0"/>
                <w:numId w:val="19"/>
              </w:numPr>
              <w:tabs>
                <w:tab w:val="num" w:pos="307"/>
              </w:tabs>
              <w:spacing w:line="440" w:lineRule="exact"/>
              <w:ind w:leftChars="69" w:left="330" w:hanging="164"/>
              <w:textAlignment w:val="baseline"/>
              <w:rPr>
                <w:rFonts w:ascii="新細明體" w:hAnsi="新細明體"/>
                <w:color w:val="222222"/>
                <w:szCs w:val="24"/>
              </w:rPr>
            </w:pPr>
            <w:r w:rsidRPr="00B03B2C">
              <w:rPr>
                <w:rFonts w:ascii="新細明體" w:hAnsi="新細明體"/>
                <w:color w:val="222222"/>
                <w:szCs w:val="24"/>
              </w:rPr>
              <w:t>提供整體的後勤支援，包括員工招聘與人力資源發展、資訊科技、項目管理，以及財務及行政工作</w:t>
            </w:r>
          </w:p>
          <w:p w:rsidR="00A22407" w:rsidRPr="00B03B2C" w:rsidRDefault="00A22407" w:rsidP="00A22407">
            <w:pPr>
              <w:widowControl/>
              <w:numPr>
                <w:ilvl w:val="0"/>
                <w:numId w:val="19"/>
              </w:numPr>
              <w:tabs>
                <w:tab w:val="num" w:pos="307"/>
              </w:tabs>
              <w:spacing w:line="440" w:lineRule="exact"/>
              <w:ind w:leftChars="69" w:left="330" w:hanging="164"/>
              <w:textAlignment w:val="baseline"/>
              <w:rPr>
                <w:rFonts w:ascii="新細明體" w:hAnsi="新細明體"/>
                <w:color w:val="222222"/>
                <w:szCs w:val="24"/>
              </w:rPr>
            </w:pPr>
            <w:r w:rsidRPr="00B03B2C">
              <w:rPr>
                <w:rFonts w:ascii="新細明體" w:hAnsi="新細明體"/>
                <w:color w:val="222222"/>
                <w:szCs w:val="24"/>
              </w:rPr>
              <w:t>與外界的相關人士溝通</w:t>
            </w:r>
          </w:p>
          <w:p w:rsidR="00A22407" w:rsidRPr="00B03B2C" w:rsidRDefault="00A22407" w:rsidP="00A22407">
            <w:pPr>
              <w:widowControl/>
              <w:numPr>
                <w:ilvl w:val="0"/>
                <w:numId w:val="19"/>
              </w:numPr>
              <w:tabs>
                <w:tab w:val="num" w:pos="307"/>
              </w:tabs>
              <w:spacing w:line="440" w:lineRule="exact"/>
              <w:ind w:leftChars="69" w:left="330" w:hanging="164"/>
              <w:textAlignment w:val="baseline"/>
              <w:rPr>
                <w:rFonts w:ascii="新細明體" w:hAnsi="新細明體"/>
                <w:color w:val="222222"/>
                <w:szCs w:val="24"/>
              </w:rPr>
            </w:pPr>
            <w:r w:rsidRPr="00B03B2C">
              <w:rPr>
                <w:rFonts w:ascii="新細明體" w:hAnsi="新細明體"/>
                <w:color w:val="222222"/>
                <w:szCs w:val="24"/>
              </w:rPr>
              <w:t>接收有關金融市場的失當行為的投訴及公眾的諮詢</w:t>
            </w:r>
          </w:p>
          <w:p w:rsidR="00A22407" w:rsidRPr="00B03B2C" w:rsidRDefault="00A22407" w:rsidP="00A22407">
            <w:pPr>
              <w:widowControl/>
              <w:numPr>
                <w:ilvl w:val="0"/>
                <w:numId w:val="19"/>
              </w:numPr>
              <w:tabs>
                <w:tab w:val="num" w:pos="307"/>
              </w:tabs>
              <w:spacing w:line="440" w:lineRule="exact"/>
              <w:ind w:leftChars="69" w:left="330" w:hanging="164"/>
              <w:textAlignment w:val="baseline"/>
              <w:rPr>
                <w:rFonts w:ascii="新細明體" w:hAnsi="新細明體"/>
                <w:color w:val="222222"/>
                <w:szCs w:val="24"/>
              </w:rPr>
            </w:pPr>
            <w:r w:rsidRPr="00B03B2C">
              <w:rPr>
                <w:rFonts w:ascii="新細明體" w:hAnsi="新細明體"/>
                <w:color w:val="222222"/>
                <w:szCs w:val="24"/>
              </w:rPr>
              <w:t>協助投資者了解投資風險與市場運作</w:t>
            </w:r>
          </w:p>
        </w:tc>
      </w:tr>
      <w:tr w:rsidR="00A22407" w:rsidRPr="000B1136" w:rsidTr="00A22407">
        <w:trPr>
          <w:trHeight w:val="4551"/>
          <w:jc w:val="center"/>
        </w:trPr>
        <w:tc>
          <w:tcPr>
            <w:tcW w:w="1454" w:type="dxa"/>
            <w:shd w:val="clear" w:color="auto" w:fill="auto"/>
            <w:vAlign w:val="center"/>
          </w:tcPr>
          <w:p w:rsidR="00A22407" w:rsidRPr="00B03B2C" w:rsidRDefault="00A22407" w:rsidP="00A22407">
            <w:pPr>
              <w:rPr>
                <w:rFonts w:ascii="新細明體" w:hAnsi="新細明體"/>
                <w:bCs/>
                <w:szCs w:val="24"/>
              </w:rPr>
            </w:pPr>
            <w:r w:rsidRPr="00B03B2C">
              <w:rPr>
                <w:rFonts w:ascii="新細明體" w:hAnsi="新細明體" w:hint="eastAsia"/>
                <w:bCs/>
                <w:szCs w:val="24"/>
              </w:rPr>
              <w:t>法律服務部</w:t>
            </w:r>
          </w:p>
        </w:tc>
        <w:tc>
          <w:tcPr>
            <w:tcW w:w="7335" w:type="dxa"/>
            <w:shd w:val="clear" w:color="auto" w:fill="auto"/>
            <w:vAlign w:val="center"/>
          </w:tcPr>
          <w:p w:rsidR="00A22407" w:rsidRPr="00B03B2C" w:rsidRDefault="00A22407" w:rsidP="00A22407">
            <w:pPr>
              <w:widowControl/>
              <w:spacing w:line="440" w:lineRule="exact"/>
              <w:jc w:val="both"/>
              <w:rPr>
                <w:rFonts w:ascii="新細明體" w:hAnsi="新細明體"/>
                <w:szCs w:val="24"/>
              </w:rPr>
            </w:pPr>
            <w:r w:rsidRPr="00B03B2C">
              <w:rPr>
                <w:rFonts w:ascii="新細明體" w:hAnsi="新細明體"/>
                <w:szCs w:val="24"/>
              </w:rPr>
              <w:t>負責為各部門提供法律意見及支援服務。</w:t>
            </w:r>
          </w:p>
          <w:p w:rsidR="00A22407" w:rsidRPr="00B03B2C" w:rsidRDefault="00A22407" w:rsidP="00A22407">
            <w:pPr>
              <w:widowControl/>
              <w:numPr>
                <w:ilvl w:val="0"/>
                <w:numId w:val="19"/>
              </w:numPr>
              <w:tabs>
                <w:tab w:val="num" w:pos="307"/>
              </w:tabs>
              <w:spacing w:line="440" w:lineRule="exact"/>
              <w:ind w:leftChars="69" w:left="330" w:hanging="164"/>
              <w:textAlignment w:val="baseline"/>
              <w:rPr>
                <w:rFonts w:ascii="新細明體" w:hAnsi="新細明體"/>
                <w:color w:val="222222"/>
                <w:szCs w:val="24"/>
              </w:rPr>
            </w:pPr>
            <w:r w:rsidRPr="00B03B2C">
              <w:rPr>
                <w:rFonts w:ascii="新細明體" w:hAnsi="新細明體"/>
                <w:color w:val="222222"/>
                <w:szCs w:val="24"/>
              </w:rPr>
              <w:t>處理涉及證監會的民事及刑事訴訟，包括就證據的充分程度、提出檢控所涉及的公眾利益，以及就個別個案援引不同條文的可行性提供意見；委託大律師代表證監會出庭、為法院擬備案件資料及在法院聆訊期間擔任本會的律師</w:t>
            </w:r>
          </w:p>
          <w:p w:rsidR="00A22407" w:rsidRPr="00B03B2C" w:rsidRDefault="00A22407" w:rsidP="00A22407">
            <w:pPr>
              <w:widowControl/>
              <w:numPr>
                <w:ilvl w:val="0"/>
                <w:numId w:val="19"/>
              </w:numPr>
              <w:tabs>
                <w:tab w:val="num" w:pos="307"/>
              </w:tabs>
              <w:spacing w:line="440" w:lineRule="exact"/>
              <w:ind w:leftChars="69" w:left="330" w:hanging="164"/>
              <w:textAlignment w:val="baseline"/>
              <w:rPr>
                <w:rFonts w:ascii="新細明體" w:hAnsi="新細明體"/>
                <w:color w:val="222222"/>
                <w:szCs w:val="24"/>
              </w:rPr>
            </w:pPr>
            <w:r w:rsidRPr="00B03B2C">
              <w:rPr>
                <w:rFonts w:ascii="新細明體" w:hAnsi="新細明體"/>
                <w:color w:val="222222"/>
                <w:szCs w:val="24"/>
              </w:rPr>
              <w:t>就各類事宜提供法律意見,包括法例詮釋、行政法、採購合約、僱員事務、雙重存檔個案、收購紀律處分個案、高風險經紀行情況、修訂守則指引，以及諒解備忘錄等事宜</w:t>
            </w:r>
          </w:p>
          <w:p w:rsidR="00A22407" w:rsidRPr="00B03B2C" w:rsidRDefault="00A22407" w:rsidP="00A22407">
            <w:pPr>
              <w:widowControl/>
              <w:numPr>
                <w:ilvl w:val="0"/>
                <w:numId w:val="19"/>
              </w:numPr>
              <w:tabs>
                <w:tab w:val="num" w:pos="307"/>
              </w:tabs>
              <w:spacing w:line="440" w:lineRule="exact"/>
              <w:ind w:leftChars="69" w:left="330" w:hanging="164"/>
              <w:textAlignment w:val="baseline"/>
              <w:rPr>
                <w:rFonts w:ascii="新細明體" w:hAnsi="新細明體"/>
                <w:color w:val="222222"/>
                <w:szCs w:val="24"/>
              </w:rPr>
            </w:pPr>
            <w:r w:rsidRPr="00B03B2C">
              <w:rPr>
                <w:rFonts w:ascii="新細明體" w:hAnsi="新細明體"/>
                <w:color w:val="222222"/>
                <w:szCs w:val="24"/>
              </w:rPr>
              <w:t>處理立法工作，包括修訂《證券及期貨條例》，以及草擬《證券及期貨條例》及《公司條例》的附屬法例</w:t>
            </w:r>
          </w:p>
        </w:tc>
      </w:tr>
    </w:tbl>
    <w:p w:rsidR="00A22407" w:rsidRDefault="00A22407" w:rsidP="00A22407">
      <w:pPr>
        <w:rPr>
          <w:b/>
          <w:sz w:val="26"/>
          <w:szCs w:val="26"/>
        </w:rPr>
      </w:pPr>
    </w:p>
    <w:sectPr w:rsidR="00A22407" w:rsidSect="00137057">
      <w:footerReference w:type="default" r:id="rId23"/>
      <w:pgSz w:w="11906" w:h="16838"/>
      <w:pgMar w:top="1134" w:right="1416" w:bottom="1440" w:left="1800" w:header="851" w:footer="992" w:gutter="0"/>
      <w:pgNumType w:start="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6105" w:rsidRDefault="00316105" w:rsidP="00CE0B2F">
      <w:r>
        <w:separator/>
      </w:r>
    </w:p>
  </w:endnote>
  <w:endnote w:type="continuationSeparator" w:id="0">
    <w:p w:rsidR="00316105" w:rsidRDefault="00316105" w:rsidP="00CE0B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ZWAdobeF">
    <w:panose1 w:val="00000000000000000000"/>
    <w:charset w:val="00"/>
    <w:family w:val="auto"/>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9722021"/>
      <w:docPartObj>
        <w:docPartGallery w:val="Page Numbers (Bottom of Page)"/>
        <w:docPartUnique/>
      </w:docPartObj>
    </w:sdtPr>
    <w:sdtEndPr/>
    <w:sdtContent>
      <w:p w:rsidR="00736108" w:rsidRDefault="00736108">
        <w:pPr>
          <w:pStyle w:val="af1"/>
          <w:jc w:val="center"/>
        </w:pPr>
        <w:r>
          <w:fldChar w:fldCharType="begin"/>
        </w:r>
        <w:r>
          <w:instrText>PAGE   \* MERGEFORMAT</w:instrText>
        </w:r>
        <w:r>
          <w:fldChar w:fldCharType="separate"/>
        </w:r>
        <w:r w:rsidR="00137057" w:rsidRPr="00137057">
          <w:rPr>
            <w:noProof/>
            <w:lang w:val="zh-TW"/>
          </w:rPr>
          <w:t>8</w:t>
        </w:r>
        <w:r>
          <w:fldChar w:fldCharType="end"/>
        </w:r>
      </w:p>
    </w:sdtContent>
  </w:sdt>
  <w:p w:rsidR="00736108" w:rsidRDefault="00736108">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6105" w:rsidRDefault="00316105" w:rsidP="00CE0B2F">
      <w:r>
        <w:separator/>
      </w:r>
    </w:p>
  </w:footnote>
  <w:footnote w:type="continuationSeparator" w:id="0">
    <w:p w:rsidR="00316105" w:rsidRDefault="00316105" w:rsidP="00CE0B2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653FF"/>
    <w:multiLevelType w:val="multilevel"/>
    <w:tmpl w:val="373EC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4C705F"/>
    <w:multiLevelType w:val="hybridMultilevel"/>
    <w:tmpl w:val="72AA41DE"/>
    <w:lvl w:ilvl="0" w:tplc="04090001">
      <w:start w:val="1"/>
      <w:numFmt w:val="bullet"/>
      <w:lvlText w:val=""/>
      <w:lvlJc w:val="left"/>
      <w:pPr>
        <w:ind w:left="1331" w:hanging="480"/>
      </w:pPr>
      <w:rPr>
        <w:rFonts w:ascii="Symbol" w:hAnsi="Symbol" w:hint="default"/>
      </w:rPr>
    </w:lvl>
    <w:lvl w:ilvl="1" w:tplc="04090003" w:tentative="1">
      <w:start w:val="1"/>
      <w:numFmt w:val="bullet"/>
      <w:lvlText w:val=""/>
      <w:lvlJc w:val="left"/>
      <w:pPr>
        <w:ind w:left="1811" w:hanging="480"/>
      </w:pPr>
      <w:rPr>
        <w:rFonts w:ascii="Wingdings" w:hAnsi="Wingdings" w:hint="default"/>
      </w:rPr>
    </w:lvl>
    <w:lvl w:ilvl="2" w:tplc="04090005" w:tentative="1">
      <w:start w:val="1"/>
      <w:numFmt w:val="bullet"/>
      <w:lvlText w:val=""/>
      <w:lvlJc w:val="left"/>
      <w:pPr>
        <w:ind w:left="2291" w:hanging="480"/>
      </w:pPr>
      <w:rPr>
        <w:rFonts w:ascii="Wingdings" w:hAnsi="Wingdings" w:hint="default"/>
      </w:rPr>
    </w:lvl>
    <w:lvl w:ilvl="3" w:tplc="04090001" w:tentative="1">
      <w:start w:val="1"/>
      <w:numFmt w:val="bullet"/>
      <w:lvlText w:val=""/>
      <w:lvlJc w:val="left"/>
      <w:pPr>
        <w:ind w:left="2771" w:hanging="480"/>
      </w:pPr>
      <w:rPr>
        <w:rFonts w:ascii="Wingdings" w:hAnsi="Wingdings" w:hint="default"/>
      </w:rPr>
    </w:lvl>
    <w:lvl w:ilvl="4" w:tplc="04090003" w:tentative="1">
      <w:start w:val="1"/>
      <w:numFmt w:val="bullet"/>
      <w:lvlText w:val=""/>
      <w:lvlJc w:val="left"/>
      <w:pPr>
        <w:ind w:left="3251" w:hanging="480"/>
      </w:pPr>
      <w:rPr>
        <w:rFonts w:ascii="Wingdings" w:hAnsi="Wingdings" w:hint="default"/>
      </w:rPr>
    </w:lvl>
    <w:lvl w:ilvl="5" w:tplc="04090005" w:tentative="1">
      <w:start w:val="1"/>
      <w:numFmt w:val="bullet"/>
      <w:lvlText w:val=""/>
      <w:lvlJc w:val="left"/>
      <w:pPr>
        <w:ind w:left="3731" w:hanging="480"/>
      </w:pPr>
      <w:rPr>
        <w:rFonts w:ascii="Wingdings" w:hAnsi="Wingdings" w:hint="default"/>
      </w:rPr>
    </w:lvl>
    <w:lvl w:ilvl="6" w:tplc="04090001" w:tentative="1">
      <w:start w:val="1"/>
      <w:numFmt w:val="bullet"/>
      <w:lvlText w:val=""/>
      <w:lvlJc w:val="left"/>
      <w:pPr>
        <w:ind w:left="4211" w:hanging="480"/>
      </w:pPr>
      <w:rPr>
        <w:rFonts w:ascii="Wingdings" w:hAnsi="Wingdings" w:hint="default"/>
      </w:rPr>
    </w:lvl>
    <w:lvl w:ilvl="7" w:tplc="04090003" w:tentative="1">
      <w:start w:val="1"/>
      <w:numFmt w:val="bullet"/>
      <w:lvlText w:val=""/>
      <w:lvlJc w:val="left"/>
      <w:pPr>
        <w:ind w:left="4691" w:hanging="480"/>
      </w:pPr>
      <w:rPr>
        <w:rFonts w:ascii="Wingdings" w:hAnsi="Wingdings" w:hint="default"/>
      </w:rPr>
    </w:lvl>
    <w:lvl w:ilvl="8" w:tplc="04090005" w:tentative="1">
      <w:start w:val="1"/>
      <w:numFmt w:val="bullet"/>
      <w:lvlText w:val=""/>
      <w:lvlJc w:val="left"/>
      <w:pPr>
        <w:ind w:left="5171" w:hanging="480"/>
      </w:pPr>
      <w:rPr>
        <w:rFonts w:ascii="Wingdings" w:hAnsi="Wingdings" w:hint="default"/>
      </w:rPr>
    </w:lvl>
  </w:abstractNum>
  <w:abstractNum w:abstractNumId="2">
    <w:nsid w:val="054F52D2"/>
    <w:multiLevelType w:val="hybridMultilevel"/>
    <w:tmpl w:val="2D3CBC60"/>
    <w:lvl w:ilvl="0" w:tplc="1F0EA512">
      <w:start w:val="1"/>
      <w:numFmt w:val="decimal"/>
      <w:lvlText w:val="%1."/>
      <w:lvlJc w:val="left"/>
      <w:pPr>
        <w:ind w:left="927" w:hanging="360"/>
      </w:pPr>
      <w:rPr>
        <w:rFonts w:cs="ZWAdobeF" w:hint="default"/>
      </w:rPr>
    </w:lvl>
    <w:lvl w:ilvl="1" w:tplc="04090019" w:tentative="1">
      <w:start w:val="1"/>
      <w:numFmt w:val="ideographTraditional"/>
      <w:lvlText w:val="%2、"/>
      <w:lvlJc w:val="left"/>
      <w:pPr>
        <w:tabs>
          <w:tab w:val="num" w:pos="1527"/>
        </w:tabs>
        <w:ind w:left="1527" w:hanging="480"/>
      </w:pPr>
    </w:lvl>
    <w:lvl w:ilvl="2" w:tplc="0409001B" w:tentative="1">
      <w:start w:val="1"/>
      <w:numFmt w:val="lowerRoman"/>
      <w:lvlText w:val="%3."/>
      <w:lvlJc w:val="right"/>
      <w:pPr>
        <w:tabs>
          <w:tab w:val="num" w:pos="2007"/>
        </w:tabs>
        <w:ind w:left="2007" w:hanging="480"/>
      </w:pPr>
    </w:lvl>
    <w:lvl w:ilvl="3" w:tplc="0409000F" w:tentative="1">
      <w:start w:val="1"/>
      <w:numFmt w:val="decimal"/>
      <w:lvlText w:val="%4."/>
      <w:lvlJc w:val="left"/>
      <w:pPr>
        <w:tabs>
          <w:tab w:val="num" w:pos="2487"/>
        </w:tabs>
        <w:ind w:left="2487" w:hanging="480"/>
      </w:pPr>
    </w:lvl>
    <w:lvl w:ilvl="4" w:tplc="04090019" w:tentative="1">
      <w:start w:val="1"/>
      <w:numFmt w:val="ideographTraditional"/>
      <w:lvlText w:val="%5、"/>
      <w:lvlJc w:val="left"/>
      <w:pPr>
        <w:tabs>
          <w:tab w:val="num" w:pos="2967"/>
        </w:tabs>
        <w:ind w:left="2967" w:hanging="480"/>
      </w:pPr>
    </w:lvl>
    <w:lvl w:ilvl="5" w:tplc="0409001B" w:tentative="1">
      <w:start w:val="1"/>
      <w:numFmt w:val="lowerRoman"/>
      <w:lvlText w:val="%6."/>
      <w:lvlJc w:val="right"/>
      <w:pPr>
        <w:tabs>
          <w:tab w:val="num" w:pos="3447"/>
        </w:tabs>
        <w:ind w:left="3447" w:hanging="480"/>
      </w:pPr>
    </w:lvl>
    <w:lvl w:ilvl="6" w:tplc="0409000F" w:tentative="1">
      <w:start w:val="1"/>
      <w:numFmt w:val="decimal"/>
      <w:lvlText w:val="%7."/>
      <w:lvlJc w:val="left"/>
      <w:pPr>
        <w:tabs>
          <w:tab w:val="num" w:pos="3927"/>
        </w:tabs>
        <w:ind w:left="3927" w:hanging="480"/>
      </w:pPr>
    </w:lvl>
    <w:lvl w:ilvl="7" w:tplc="04090019" w:tentative="1">
      <w:start w:val="1"/>
      <w:numFmt w:val="ideographTraditional"/>
      <w:lvlText w:val="%8、"/>
      <w:lvlJc w:val="left"/>
      <w:pPr>
        <w:tabs>
          <w:tab w:val="num" w:pos="4407"/>
        </w:tabs>
        <w:ind w:left="4407" w:hanging="480"/>
      </w:pPr>
    </w:lvl>
    <w:lvl w:ilvl="8" w:tplc="0409001B" w:tentative="1">
      <w:start w:val="1"/>
      <w:numFmt w:val="lowerRoman"/>
      <w:lvlText w:val="%9."/>
      <w:lvlJc w:val="right"/>
      <w:pPr>
        <w:tabs>
          <w:tab w:val="num" w:pos="4887"/>
        </w:tabs>
        <w:ind w:left="4887" w:hanging="480"/>
      </w:pPr>
    </w:lvl>
  </w:abstractNum>
  <w:abstractNum w:abstractNumId="3">
    <w:nsid w:val="05CF18B5"/>
    <w:multiLevelType w:val="hybridMultilevel"/>
    <w:tmpl w:val="F806B462"/>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4">
    <w:nsid w:val="0A187B5C"/>
    <w:multiLevelType w:val="hybridMultilevel"/>
    <w:tmpl w:val="8C10E5A4"/>
    <w:lvl w:ilvl="0" w:tplc="53D8E732">
      <w:start w:val="1"/>
      <w:numFmt w:val="taiwaneseCountingThousand"/>
      <w:lvlText w:val="(%1)"/>
      <w:lvlJc w:val="left"/>
      <w:pPr>
        <w:ind w:left="1331" w:hanging="480"/>
      </w:pPr>
      <w:rPr>
        <w:rFonts w:hint="eastAsia"/>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5">
    <w:nsid w:val="0C246BEB"/>
    <w:multiLevelType w:val="hybridMultilevel"/>
    <w:tmpl w:val="8C10E5A4"/>
    <w:lvl w:ilvl="0" w:tplc="53D8E732">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nsid w:val="0CC34CF4"/>
    <w:multiLevelType w:val="hybridMultilevel"/>
    <w:tmpl w:val="AA2258BC"/>
    <w:lvl w:ilvl="0" w:tplc="0409000F">
      <w:start w:val="1"/>
      <w:numFmt w:val="decimal"/>
      <w:lvlText w:val="%1."/>
      <w:lvlJc w:val="left"/>
      <w:pPr>
        <w:ind w:left="1614" w:hanging="480"/>
      </w:p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7">
    <w:nsid w:val="0D5534B3"/>
    <w:multiLevelType w:val="multilevel"/>
    <w:tmpl w:val="F4922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E6E3C46"/>
    <w:multiLevelType w:val="hybridMultilevel"/>
    <w:tmpl w:val="D81EB80A"/>
    <w:lvl w:ilvl="0" w:tplc="CC4C04A6">
      <w:start w:val="1"/>
      <w:numFmt w:val="decimal"/>
      <w:lvlText w:val="(%1)"/>
      <w:lvlJc w:val="left"/>
      <w:pPr>
        <w:ind w:left="1920" w:hanging="480"/>
      </w:pPr>
      <w:rPr>
        <w:rFonts w:hint="eastAsia"/>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9">
    <w:nsid w:val="0E9763AC"/>
    <w:multiLevelType w:val="hybridMultilevel"/>
    <w:tmpl w:val="AC188B7E"/>
    <w:lvl w:ilvl="0" w:tplc="8C2840A6">
      <w:start w:val="1"/>
      <w:numFmt w:val="taiwaneseCountingThousand"/>
      <w:lvlText w:val="第%1節"/>
      <w:lvlJc w:val="left"/>
      <w:pPr>
        <w:ind w:left="1128" w:hanging="1128"/>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11714E46"/>
    <w:multiLevelType w:val="hybridMultilevel"/>
    <w:tmpl w:val="17A80BE4"/>
    <w:lvl w:ilvl="0" w:tplc="A1C6B930">
      <w:start w:val="1"/>
      <w:numFmt w:val="taiwaneseCountingThousand"/>
      <w:pStyle w:val="1"/>
      <w:lvlText w:val="第%1章"/>
      <w:lvlJc w:val="left"/>
      <w:pPr>
        <w:ind w:left="1284" w:hanging="128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128E0537"/>
    <w:multiLevelType w:val="hybridMultilevel"/>
    <w:tmpl w:val="56243A6C"/>
    <w:lvl w:ilvl="0" w:tplc="CC4C04A6">
      <w:start w:val="1"/>
      <w:numFmt w:val="decimal"/>
      <w:lvlText w:val="(%1)"/>
      <w:lvlJc w:val="left"/>
      <w:pPr>
        <w:ind w:left="1920" w:hanging="480"/>
      </w:pPr>
      <w:rPr>
        <w:rFonts w:hint="eastAsia"/>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2">
    <w:nsid w:val="13F0050A"/>
    <w:multiLevelType w:val="hybridMultilevel"/>
    <w:tmpl w:val="F5320A22"/>
    <w:lvl w:ilvl="0" w:tplc="0409001B">
      <w:start w:val="1"/>
      <w:numFmt w:val="lowerRoman"/>
      <w:lvlText w:val="%1."/>
      <w:lvlJc w:val="righ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140A6CD2"/>
    <w:multiLevelType w:val="hybridMultilevel"/>
    <w:tmpl w:val="FBD24810"/>
    <w:lvl w:ilvl="0" w:tplc="0409001B">
      <w:start w:val="1"/>
      <w:numFmt w:val="lowerRoman"/>
      <w:lvlText w:val="%1."/>
      <w:lvlJc w:val="righ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4">
    <w:nsid w:val="15692097"/>
    <w:multiLevelType w:val="hybridMultilevel"/>
    <w:tmpl w:val="340C2632"/>
    <w:lvl w:ilvl="0" w:tplc="CC4C04A6">
      <w:start w:val="1"/>
      <w:numFmt w:val="decimal"/>
      <w:lvlText w:val="(%1)"/>
      <w:lvlJc w:val="left"/>
      <w:pPr>
        <w:ind w:left="1920" w:hanging="480"/>
      </w:pPr>
      <w:rPr>
        <w:rFonts w:hint="eastAsia"/>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5">
    <w:nsid w:val="16F56E57"/>
    <w:multiLevelType w:val="hybridMultilevel"/>
    <w:tmpl w:val="216E027C"/>
    <w:lvl w:ilvl="0" w:tplc="53D8E732">
      <w:start w:val="1"/>
      <w:numFmt w:val="taiwaneseCountingThousand"/>
      <w:lvlText w:val="(%1)"/>
      <w:lvlJc w:val="left"/>
      <w:pPr>
        <w:ind w:left="1331" w:hanging="480"/>
      </w:pPr>
      <w:rPr>
        <w:rFonts w:hint="eastAsia"/>
      </w:rPr>
    </w:lvl>
    <w:lvl w:ilvl="1" w:tplc="472001C8">
      <w:start w:val="1"/>
      <w:numFmt w:val="decimal"/>
      <w:lvlText w:val="%2."/>
      <w:lvlJc w:val="left"/>
      <w:pPr>
        <w:ind w:left="1691" w:hanging="360"/>
      </w:pPr>
      <w:rPr>
        <w:rFonts w:hint="default"/>
      </w:r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16">
    <w:nsid w:val="18745182"/>
    <w:multiLevelType w:val="hybridMultilevel"/>
    <w:tmpl w:val="F26264D8"/>
    <w:lvl w:ilvl="0" w:tplc="0409001B">
      <w:start w:val="1"/>
      <w:numFmt w:val="lowerRoman"/>
      <w:lvlText w:val="%1."/>
      <w:lvlJc w:val="righ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1AC4021B"/>
    <w:multiLevelType w:val="multilevel"/>
    <w:tmpl w:val="E15C0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1AD20FE5"/>
    <w:multiLevelType w:val="multilevel"/>
    <w:tmpl w:val="F2F8A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1E902B56"/>
    <w:multiLevelType w:val="multilevel"/>
    <w:tmpl w:val="70669328"/>
    <w:lvl w:ilvl="0">
      <w:start w:val="1"/>
      <w:numFmt w:val="bullet"/>
      <w:lvlText w:val=""/>
      <w:lvlJc w:val="left"/>
      <w:pPr>
        <w:tabs>
          <w:tab w:val="num" w:pos="786"/>
        </w:tabs>
        <w:ind w:left="786"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1EFB3D59"/>
    <w:multiLevelType w:val="hybridMultilevel"/>
    <w:tmpl w:val="A23C4EEC"/>
    <w:lvl w:ilvl="0" w:tplc="1F0EA512">
      <w:start w:val="1"/>
      <w:numFmt w:val="decimal"/>
      <w:lvlText w:val="%1."/>
      <w:lvlJc w:val="left"/>
      <w:pPr>
        <w:ind w:left="840" w:hanging="360"/>
      </w:pPr>
      <w:rPr>
        <w:rFonts w:cs="ZWAdobeF" w:hint="default"/>
      </w:rPr>
    </w:lvl>
    <w:lvl w:ilvl="1" w:tplc="04090019" w:tentative="1">
      <w:start w:val="1"/>
      <w:numFmt w:val="ideographTraditional"/>
      <w:lvlText w:val="%2、"/>
      <w:lvlJc w:val="left"/>
      <w:pPr>
        <w:tabs>
          <w:tab w:val="num" w:pos="1440"/>
        </w:tabs>
        <w:ind w:left="1440" w:hanging="480"/>
      </w:pPr>
      <w:rPr>
        <w:rFonts w:cs="Times New Roman"/>
      </w:rPr>
    </w:lvl>
    <w:lvl w:ilvl="2" w:tplc="0409001B" w:tentative="1">
      <w:start w:val="1"/>
      <w:numFmt w:val="lowerRoman"/>
      <w:lvlText w:val="%3."/>
      <w:lvlJc w:val="right"/>
      <w:pPr>
        <w:tabs>
          <w:tab w:val="num" w:pos="1920"/>
        </w:tabs>
        <w:ind w:left="1920" w:hanging="480"/>
      </w:pPr>
      <w:rPr>
        <w:rFonts w:cs="Times New Roman"/>
      </w:rPr>
    </w:lvl>
    <w:lvl w:ilvl="3" w:tplc="0409000F" w:tentative="1">
      <w:start w:val="1"/>
      <w:numFmt w:val="decimal"/>
      <w:lvlText w:val="%4."/>
      <w:lvlJc w:val="left"/>
      <w:pPr>
        <w:tabs>
          <w:tab w:val="num" w:pos="2400"/>
        </w:tabs>
        <w:ind w:left="2400" w:hanging="480"/>
      </w:pPr>
      <w:rPr>
        <w:rFonts w:cs="Times New Roman"/>
      </w:rPr>
    </w:lvl>
    <w:lvl w:ilvl="4" w:tplc="04090019" w:tentative="1">
      <w:start w:val="1"/>
      <w:numFmt w:val="ideographTraditional"/>
      <w:lvlText w:val="%5、"/>
      <w:lvlJc w:val="left"/>
      <w:pPr>
        <w:tabs>
          <w:tab w:val="num" w:pos="2880"/>
        </w:tabs>
        <w:ind w:left="2880" w:hanging="480"/>
      </w:pPr>
      <w:rPr>
        <w:rFonts w:cs="Times New Roman"/>
      </w:rPr>
    </w:lvl>
    <w:lvl w:ilvl="5" w:tplc="0409001B" w:tentative="1">
      <w:start w:val="1"/>
      <w:numFmt w:val="lowerRoman"/>
      <w:lvlText w:val="%6."/>
      <w:lvlJc w:val="right"/>
      <w:pPr>
        <w:tabs>
          <w:tab w:val="num" w:pos="3360"/>
        </w:tabs>
        <w:ind w:left="3360" w:hanging="480"/>
      </w:pPr>
      <w:rPr>
        <w:rFonts w:cs="Times New Roman"/>
      </w:rPr>
    </w:lvl>
    <w:lvl w:ilvl="6" w:tplc="0409000F" w:tentative="1">
      <w:start w:val="1"/>
      <w:numFmt w:val="decimal"/>
      <w:lvlText w:val="%7."/>
      <w:lvlJc w:val="left"/>
      <w:pPr>
        <w:tabs>
          <w:tab w:val="num" w:pos="3840"/>
        </w:tabs>
        <w:ind w:left="3840" w:hanging="480"/>
      </w:pPr>
      <w:rPr>
        <w:rFonts w:cs="Times New Roman"/>
      </w:rPr>
    </w:lvl>
    <w:lvl w:ilvl="7" w:tplc="04090019" w:tentative="1">
      <w:start w:val="1"/>
      <w:numFmt w:val="ideographTraditional"/>
      <w:lvlText w:val="%8、"/>
      <w:lvlJc w:val="left"/>
      <w:pPr>
        <w:tabs>
          <w:tab w:val="num" w:pos="4320"/>
        </w:tabs>
        <w:ind w:left="4320" w:hanging="480"/>
      </w:pPr>
      <w:rPr>
        <w:rFonts w:cs="Times New Roman"/>
      </w:rPr>
    </w:lvl>
    <w:lvl w:ilvl="8" w:tplc="0409001B" w:tentative="1">
      <w:start w:val="1"/>
      <w:numFmt w:val="lowerRoman"/>
      <w:lvlText w:val="%9."/>
      <w:lvlJc w:val="right"/>
      <w:pPr>
        <w:tabs>
          <w:tab w:val="num" w:pos="4800"/>
        </w:tabs>
        <w:ind w:left="4800" w:hanging="480"/>
      </w:pPr>
      <w:rPr>
        <w:rFonts w:cs="Times New Roman"/>
      </w:rPr>
    </w:lvl>
  </w:abstractNum>
  <w:abstractNum w:abstractNumId="21">
    <w:nsid w:val="1F8734C6"/>
    <w:multiLevelType w:val="hybridMultilevel"/>
    <w:tmpl w:val="7C7041FC"/>
    <w:lvl w:ilvl="0" w:tplc="0409000F">
      <w:start w:val="1"/>
      <w:numFmt w:val="decimal"/>
      <w:lvlText w:val="%1."/>
      <w:lvlJc w:val="left"/>
      <w:pPr>
        <w:ind w:left="622" w:hanging="480"/>
      </w:p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22">
    <w:nsid w:val="24212FC5"/>
    <w:multiLevelType w:val="hybridMultilevel"/>
    <w:tmpl w:val="923A378C"/>
    <w:lvl w:ilvl="0" w:tplc="53D8E732">
      <w:start w:val="1"/>
      <w:numFmt w:val="taiwaneseCountingThousand"/>
      <w:lvlText w:val="(%1)"/>
      <w:lvlJc w:val="left"/>
      <w:pPr>
        <w:ind w:left="1048"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25C40191"/>
    <w:multiLevelType w:val="hybridMultilevel"/>
    <w:tmpl w:val="6DB2DEE2"/>
    <w:lvl w:ilvl="0" w:tplc="1F0EA512">
      <w:start w:val="1"/>
      <w:numFmt w:val="decimal"/>
      <w:lvlText w:val="%1."/>
      <w:lvlJc w:val="left"/>
      <w:pPr>
        <w:ind w:left="840" w:hanging="360"/>
      </w:pPr>
      <w:rPr>
        <w:rFonts w:cs="ZWAdobeF" w:hint="default"/>
      </w:rPr>
    </w:lvl>
    <w:lvl w:ilvl="1" w:tplc="04090019" w:tentative="1">
      <w:start w:val="1"/>
      <w:numFmt w:val="ideographTraditional"/>
      <w:lvlText w:val="%2、"/>
      <w:lvlJc w:val="left"/>
      <w:pPr>
        <w:tabs>
          <w:tab w:val="num" w:pos="1440"/>
        </w:tabs>
        <w:ind w:left="1440" w:hanging="480"/>
      </w:pPr>
      <w:rPr>
        <w:rFonts w:cs="Times New Roman"/>
      </w:rPr>
    </w:lvl>
    <w:lvl w:ilvl="2" w:tplc="0409001B" w:tentative="1">
      <w:start w:val="1"/>
      <w:numFmt w:val="lowerRoman"/>
      <w:lvlText w:val="%3."/>
      <w:lvlJc w:val="right"/>
      <w:pPr>
        <w:tabs>
          <w:tab w:val="num" w:pos="1920"/>
        </w:tabs>
        <w:ind w:left="1920" w:hanging="480"/>
      </w:pPr>
      <w:rPr>
        <w:rFonts w:cs="Times New Roman"/>
      </w:rPr>
    </w:lvl>
    <w:lvl w:ilvl="3" w:tplc="0409000F" w:tentative="1">
      <w:start w:val="1"/>
      <w:numFmt w:val="decimal"/>
      <w:lvlText w:val="%4."/>
      <w:lvlJc w:val="left"/>
      <w:pPr>
        <w:tabs>
          <w:tab w:val="num" w:pos="2400"/>
        </w:tabs>
        <w:ind w:left="2400" w:hanging="480"/>
      </w:pPr>
      <w:rPr>
        <w:rFonts w:cs="Times New Roman"/>
      </w:rPr>
    </w:lvl>
    <w:lvl w:ilvl="4" w:tplc="04090019" w:tentative="1">
      <w:start w:val="1"/>
      <w:numFmt w:val="ideographTraditional"/>
      <w:lvlText w:val="%5、"/>
      <w:lvlJc w:val="left"/>
      <w:pPr>
        <w:tabs>
          <w:tab w:val="num" w:pos="2880"/>
        </w:tabs>
        <w:ind w:left="2880" w:hanging="480"/>
      </w:pPr>
      <w:rPr>
        <w:rFonts w:cs="Times New Roman"/>
      </w:rPr>
    </w:lvl>
    <w:lvl w:ilvl="5" w:tplc="0409001B" w:tentative="1">
      <w:start w:val="1"/>
      <w:numFmt w:val="lowerRoman"/>
      <w:lvlText w:val="%6."/>
      <w:lvlJc w:val="right"/>
      <w:pPr>
        <w:tabs>
          <w:tab w:val="num" w:pos="3360"/>
        </w:tabs>
        <w:ind w:left="3360" w:hanging="480"/>
      </w:pPr>
      <w:rPr>
        <w:rFonts w:cs="Times New Roman"/>
      </w:rPr>
    </w:lvl>
    <w:lvl w:ilvl="6" w:tplc="0409000F" w:tentative="1">
      <w:start w:val="1"/>
      <w:numFmt w:val="decimal"/>
      <w:lvlText w:val="%7."/>
      <w:lvlJc w:val="left"/>
      <w:pPr>
        <w:tabs>
          <w:tab w:val="num" w:pos="3840"/>
        </w:tabs>
        <w:ind w:left="3840" w:hanging="480"/>
      </w:pPr>
      <w:rPr>
        <w:rFonts w:cs="Times New Roman"/>
      </w:rPr>
    </w:lvl>
    <w:lvl w:ilvl="7" w:tplc="04090019" w:tentative="1">
      <w:start w:val="1"/>
      <w:numFmt w:val="ideographTraditional"/>
      <w:lvlText w:val="%8、"/>
      <w:lvlJc w:val="left"/>
      <w:pPr>
        <w:tabs>
          <w:tab w:val="num" w:pos="4320"/>
        </w:tabs>
        <w:ind w:left="4320" w:hanging="480"/>
      </w:pPr>
      <w:rPr>
        <w:rFonts w:cs="Times New Roman"/>
      </w:rPr>
    </w:lvl>
    <w:lvl w:ilvl="8" w:tplc="0409001B" w:tentative="1">
      <w:start w:val="1"/>
      <w:numFmt w:val="lowerRoman"/>
      <w:lvlText w:val="%9."/>
      <w:lvlJc w:val="right"/>
      <w:pPr>
        <w:tabs>
          <w:tab w:val="num" w:pos="4800"/>
        </w:tabs>
        <w:ind w:left="4800" w:hanging="480"/>
      </w:pPr>
      <w:rPr>
        <w:rFonts w:cs="Times New Roman"/>
      </w:rPr>
    </w:lvl>
  </w:abstractNum>
  <w:abstractNum w:abstractNumId="24">
    <w:nsid w:val="261645C1"/>
    <w:multiLevelType w:val="hybridMultilevel"/>
    <w:tmpl w:val="EB9EACE0"/>
    <w:lvl w:ilvl="0" w:tplc="0409000F">
      <w:start w:val="1"/>
      <w:numFmt w:val="decimal"/>
      <w:lvlText w:val="%1."/>
      <w:lvlJc w:val="left"/>
      <w:pPr>
        <w:ind w:left="1331"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26555582"/>
    <w:multiLevelType w:val="hybridMultilevel"/>
    <w:tmpl w:val="CE94854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2A430A4F"/>
    <w:multiLevelType w:val="hybridMultilevel"/>
    <w:tmpl w:val="D81EB80A"/>
    <w:lvl w:ilvl="0" w:tplc="CC4C04A6">
      <w:start w:val="1"/>
      <w:numFmt w:val="decimal"/>
      <w:lvlText w:val="(%1)"/>
      <w:lvlJc w:val="left"/>
      <w:pPr>
        <w:ind w:left="1920" w:hanging="480"/>
      </w:pPr>
      <w:rPr>
        <w:rFonts w:hint="eastAsia"/>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7">
    <w:nsid w:val="2B307B4C"/>
    <w:multiLevelType w:val="hybridMultilevel"/>
    <w:tmpl w:val="D33C22CC"/>
    <w:lvl w:ilvl="0" w:tplc="CC4C04A6">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8">
    <w:nsid w:val="2B5528ED"/>
    <w:multiLevelType w:val="hybridMultilevel"/>
    <w:tmpl w:val="7F1CF0E2"/>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9">
    <w:nsid w:val="2C0914CD"/>
    <w:multiLevelType w:val="hybridMultilevel"/>
    <w:tmpl w:val="3D3C9464"/>
    <w:lvl w:ilvl="0" w:tplc="1F0EA512">
      <w:start w:val="1"/>
      <w:numFmt w:val="decimal"/>
      <w:lvlText w:val="%1."/>
      <w:lvlJc w:val="left"/>
      <w:pPr>
        <w:ind w:left="840" w:hanging="360"/>
      </w:pPr>
      <w:rPr>
        <w:rFonts w:cs="ZWAdobeF" w:hint="default"/>
      </w:rPr>
    </w:lvl>
    <w:lvl w:ilvl="1" w:tplc="04090019" w:tentative="1">
      <w:start w:val="1"/>
      <w:numFmt w:val="ideographTraditional"/>
      <w:lvlText w:val="%2、"/>
      <w:lvlJc w:val="left"/>
      <w:pPr>
        <w:tabs>
          <w:tab w:val="num" w:pos="1440"/>
        </w:tabs>
        <w:ind w:left="1440" w:hanging="480"/>
      </w:pPr>
      <w:rPr>
        <w:rFonts w:cs="Times New Roman"/>
      </w:rPr>
    </w:lvl>
    <w:lvl w:ilvl="2" w:tplc="0409001B" w:tentative="1">
      <w:start w:val="1"/>
      <w:numFmt w:val="lowerRoman"/>
      <w:lvlText w:val="%3."/>
      <w:lvlJc w:val="right"/>
      <w:pPr>
        <w:tabs>
          <w:tab w:val="num" w:pos="1920"/>
        </w:tabs>
        <w:ind w:left="1920" w:hanging="480"/>
      </w:pPr>
      <w:rPr>
        <w:rFonts w:cs="Times New Roman"/>
      </w:rPr>
    </w:lvl>
    <w:lvl w:ilvl="3" w:tplc="0409000F" w:tentative="1">
      <w:start w:val="1"/>
      <w:numFmt w:val="decimal"/>
      <w:lvlText w:val="%4."/>
      <w:lvlJc w:val="left"/>
      <w:pPr>
        <w:tabs>
          <w:tab w:val="num" w:pos="2400"/>
        </w:tabs>
        <w:ind w:left="2400" w:hanging="480"/>
      </w:pPr>
      <w:rPr>
        <w:rFonts w:cs="Times New Roman"/>
      </w:rPr>
    </w:lvl>
    <w:lvl w:ilvl="4" w:tplc="04090019" w:tentative="1">
      <w:start w:val="1"/>
      <w:numFmt w:val="ideographTraditional"/>
      <w:lvlText w:val="%5、"/>
      <w:lvlJc w:val="left"/>
      <w:pPr>
        <w:tabs>
          <w:tab w:val="num" w:pos="2880"/>
        </w:tabs>
        <w:ind w:left="2880" w:hanging="480"/>
      </w:pPr>
      <w:rPr>
        <w:rFonts w:cs="Times New Roman"/>
      </w:rPr>
    </w:lvl>
    <w:lvl w:ilvl="5" w:tplc="0409001B" w:tentative="1">
      <w:start w:val="1"/>
      <w:numFmt w:val="lowerRoman"/>
      <w:lvlText w:val="%6."/>
      <w:lvlJc w:val="right"/>
      <w:pPr>
        <w:tabs>
          <w:tab w:val="num" w:pos="3360"/>
        </w:tabs>
        <w:ind w:left="3360" w:hanging="480"/>
      </w:pPr>
      <w:rPr>
        <w:rFonts w:cs="Times New Roman"/>
      </w:rPr>
    </w:lvl>
    <w:lvl w:ilvl="6" w:tplc="0409000F" w:tentative="1">
      <w:start w:val="1"/>
      <w:numFmt w:val="decimal"/>
      <w:lvlText w:val="%7."/>
      <w:lvlJc w:val="left"/>
      <w:pPr>
        <w:tabs>
          <w:tab w:val="num" w:pos="3840"/>
        </w:tabs>
        <w:ind w:left="3840" w:hanging="480"/>
      </w:pPr>
      <w:rPr>
        <w:rFonts w:cs="Times New Roman"/>
      </w:rPr>
    </w:lvl>
    <w:lvl w:ilvl="7" w:tplc="04090019" w:tentative="1">
      <w:start w:val="1"/>
      <w:numFmt w:val="ideographTraditional"/>
      <w:lvlText w:val="%8、"/>
      <w:lvlJc w:val="left"/>
      <w:pPr>
        <w:tabs>
          <w:tab w:val="num" w:pos="4320"/>
        </w:tabs>
        <w:ind w:left="4320" w:hanging="480"/>
      </w:pPr>
      <w:rPr>
        <w:rFonts w:cs="Times New Roman"/>
      </w:rPr>
    </w:lvl>
    <w:lvl w:ilvl="8" w:tplc="0409001B" w:tentative="1">
      <w:start w:val="1"/>
      <w:numFmt w:val="lowerRoman"/>
      <w:lvlText w:val="%9."/>
      <w:lvlJc w:val="right"/>
      <w:pPr>
        <w:tabs>
          <w:tab w:val="num" w:pos="4800"/>
        </w:tabs>
        <w:ind w:left="4800" w:hanging="480"/>
      </w:pPr>
      <w:rPr>
        <w:rFonts w:cs="Times New Roman"/>
      </w:rPr>
    </w:lvl>
  </w:abstractNum>
  <w:abstractNum w:abstractNumId="30">
    <w:nsid w:val="2CA86323"/>
    <w:multiLevelType w:val="hybridMultilevel"/>
    <w:tmpl w:val="01A8FE06"/>
    <w:lvl w:ilvl="0" w:tplc="DB62F30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nsid w:val="35E67BB9"/>
    <w:multiLevelType w:val="multilevel"/>
    <w:tmpl w:val="20ACD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39DE3C8C"/>
    <w:multiLevelType w:val="hybridMultilevel"/>
    <w:tmpl w:val="3C2858F4"/>
    <w:lvl w:ilvl="0" w:tplc="AA587D1A">
      <w:start w:val="1"/>
      <w:numFmt w:val="decimal"/>
      <w:lvlText w:val="(%1)"/>
      <w:lvlJc w:val="left"/>
      <w:pPr>
        <w:ind w:left="1440" w:hanging="480"/>
      </w:pPr>
      <w:rPr>
        <w:rFonts w:cs="Times New Roman" w:hint="default"/>
      </w:rPr>
    </w:lvl>
    <w:lvl w:ilvl="1" w:tplc="AA587D1A">
      <w:start w:val="1"/>
      <w:numFmt w:val="decimal"/>
      <w:lvlText w:val="(%2)"/>
      <w:lvlJc w:val="left"/>
      <w:pPr>
        <w:ind w:left="1920" w:hanging="480"/>
      </w:pPr>
      <w:rPr>
        <w:rFonts w:cs="Times New Roman" w:hint="default"/>
      </w:r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3">
    <w:nsid w:val="3AF16DF3"/>
    <w:multiLevelType w:val="hybridMultilevel"/>
    <w:tmpl w:val="3C2858F4"/>
    <w:lvl w:ilvl="0" w:tplc="AA587D1A">
      <w:start w:val="1"/>
      <w:numFmt w:val="decimal"/>
      <w:lvlText w:val="(%1)"/>
      <w:lvlJc w:val="left"/>
      <w:pPr>
        <w:ind w:left="1440" w:hanging="480"/>
      </w:pPr>
      <w:rPr>
        <w:rFonts w:cs="Times New Roman" w:hint="default"/>
      </w:rPr>
    </w:lvl>
    <w:lvl w:ilvl="1" w:tplc="AA587D1A">
      <w:start w:val="1"/>
      <w:numFmt w:val="decimal"/>
      <w:lvlText w:val="(%2)"/>
      <w:lvlJc w:val="left"/>
      <w:pPr>
        <w:ind w:left="1920" w:hanging="480"/>
      </w:pPr>
      <w:rPr>
        <w:rFonts w:cs="Times New Roman" w:hint="default"/>
      </w:r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4">
    <w:nsid w:val="3B1973CC"/>
    <w:multiLevelType w:val="hybridMultilevel"/>
    <w:tmpl w:val="FE7C8E36"/>
    <w:lvl w:ilvl="0" w:tplc="0409000F">
      <w:start w:val="1"/>
      <w:numFmt w:val="decimal"/>
      <w:lvlText w:val="%1."/>
      <w:lvlJc w:val="left"/>
      <w:pPr>
        <w:ind w:left="1473" w:hanging="480"/>
      </w:pPr>
    </w:lvl>
    <w:lvl w:ilvl="1" w:tplc="457ABA0C">
      <w:start w:val="1"/>
      <w:numFmt w:val="decimal"/>
      <w:lvlText w:val="(%2)"/>
      <w:lvlJc w:val="left"/>
      <w:pPr>
        <w:ind w:left="1833" w:hanging="360"/>
      </w:pPr>
      <w:rPr>
        <w:rFonts w:hint="default"/>
      </w:r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35">
    <w:nsid w:val="3B5444B1"/>
    <w:multiLevelType w:val="hybridMultilevel"/>
    <w:tmpl w:val="7F1CF0E2"/>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6">
    <w:nsid w:val="3BFD274E"/>
    <w:multiLevelType w:val="hybridMultilevel"/>
    <w:tmpl w:val="D1647F0A"/>
    <w:lvl w:ilvl="0" w:tplc="CC4C04A6">
      <w:start w:val="1"/>
      <w:numFmt w:val="decimal"/>
      <w:lvlText w:val="(%1)"/>
      <w:lvlJc w:val="left"/>
      <w:pPr>
        <w:ind w:left="1920" w:hanging="480"/>
      </w:pPr>
      <w:rPr>
        <w:rFonts w:hint="eastAsia"/>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37">
    <w:nsid w:val="3C66663D"/>
    <w:multiLevelType w:val="hybridMultilevel"/>
    <w:tmpl w:val="0728E20C"/>
    <w:lvl w:ilvl="0" w:tplc="0409001B">
      <w:start w:val="1"/>
      <w:numFmt w:val="lowerRoman"/>
      <w:lvlText w:val="%1."/>
      <w:lvlJc w:val="righ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nsid w:val="3CA24CA5"/>
    <w:multiLevelType w:val="hybridMultilevel"/>
    <w:tmpl w:val="21FAFD8C"/>
    <w:lvl w:ilvl="0" w:tplc="0409001B">
      <w:start w:val="1"/>
      <w:numFmt w:val="lowerRoman"/>
      <w:lvlText w:val="%1."/>
      <w:lvlJc w:val="righ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nsid w:val="401D50C0"/>
    <w:multiLevelType w:val="hybridMultilevel"/>
    <w:tmpl w:val="D3AE3BC4"/>
    <w:lvl w:ilvl="0" w:tplc="CC4C04A6">
      <w:start w:val="1"/>
      <w:numFmt w:val="decimal"/>
      <w:lvlText w:val="(%1)"/>
      <w:lvlJc w:val="left"/>
      <w:pPr>
        <w:ind w:left="1920" w:hanging="480"/>
      </w:pPr>
      <w:rPr>
        <w:rFonts w:hint="eastAsia"/>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40">
    <w:nsid w:val="41C43BFC"/>
    <w:multiLevelType w:val="hybridMultilevel"/>
    <w:tmpl w:val="F9A03B2C"/>
    <w:lvl w:ilvl="0" w:tplc="04090015">
      <w:start w:val="1"/>
      <w:numFmt w:val="taiwaneseCountingThousand"/>
      <w:lvlText w:val="%1、"/>
      <w:lvlJc w:val="left"/>
      <w:pPr>
        <w:ind w:left="764"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nsid w:val="429638F6"/>
    <w:multiLevelType w:val="multilevel"/>
    <w:tmpl w:val="D646F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43961A05"/>
    <w:multiLevelType w:val="hybridMultilevel"/>
    <w:tmpl w:val="E51A99A2"/>
    <w:lvl w:ilvl="0" w:tplc="04090001">
      <w:start w:val="1"/>
      <w:numFmt w:val="bullet"/>
      <w:lvlText w:val=""/>
      <w:lvlJc w:val="left"/>
      <w:pPr>
        <w:ind w:left="1331" w:hanging="480"/>
      </w:pPr>
      <w:rPr>
        <w:rFonts w:ascii="Symbol" w:hAnsi="Symbol" w:hint="default"/>
      </w:rPr>
    </w:lvl>
    <w:lvl w:ilvl="1" w:tplc="04090003" w:tentative="1">
      <w:start w:val="1"/>
      <w:numFmt w:val="bullet"/>
      <w:lvlText w:val=""/>
      <w:lvlJc w:val="left"/>
      <w:pPr>
        <w:ind w:left="1811" w:hanging="480"/>
      </w:pPr>
      <w:rPr>
        <w:rFonts w:ascii="Wingdings" w:hAnsi="Wingdings" w:hint="default"/>
      </w:rPr>
    </w:lvl>
    <w:lvl w:ilvl="2" w:tplc="04090005" w:tentative="1">
      <w:start w:val="1"/>
      <w:numFmt w:val="bullet"/>
      <w:lvlText w:val=""/>
      <w:lvlJc w:val="left"/>
      <w:pPr>
        <w:ind w:left="2291" w:hanging="480"/>
      </w:pPr>
      <w:rPr>
        <w:rFonts w:ascii="Wingdings" w:hAnsi="Wingdings" w:hint="default"/>
      </w:rPr>
    </w:lvl>
    <w:lvl w:ilvl="3" w:tplc="04090001" w:tentative="1">
      <w:start w:val="1"/>
      <w:numFmt w:val="bullet"/>
      <w:lvlText w:val=""/>
      <w:lvlJc w:val="left"/>
      <w:pPr>
        <w:ind w:left="2771" w:hanging="480"/>
      </w:pPr>
      <w:rPr>
        <w:rFonts w:ascii="Wingdings" w:hAnsi="Wingdings" w:hint="default"/>
      </w:rPr>
    </w:lvl>
    <w:lvl w:ilvl="4" w:tplc="04090003" w:tentative="1">
      <w:start w:val="1"/>
      <w:numFmt w:val="bullet"/>
      <w:lvlText w:val=""/>
      <w:lvlJc w:val="left"/>
      <w:pPr>
        <w:ind w:left="3251" w:hanging="480"/>
      </w:pPr>
      <w:rPr>
        <w:rFonts w:ascii="Wingdings" w:hAnsi="Wingdings" w:hint="default"/>
      </w:rPr>
    </w:lvl>
    <w:lvl w:ilvl="5" w:tplc="04090005" w:tentative="1">
      <w:start w:val="1"/>
      <w:numFmt w:val="bullet"/>
      <w:lvlText w:val=""/>
      <w:lvlJc w:val="left"/>
      <w:pPr>
        <w:ind w:left="3731" w:hanging="480"/>
      </w:pPr>
      <w:rPr>
        <w:rFonts w:ascii="Wingdings" w:hAnsi="Wingdings" w:hint="default"/>
      </w:rPr>
    </w:lvl>
    <w:lvl w:ilvl="6" w:tplc="04090001" w:tentative="1">
      <w:start w:val="1"/>
      <w:numFmt w:val="bullet"/>
      <w:lvlText w:val=""/>
      <w:lvlJc w:val="left"/>
      <w:pPr>
        <w:ind w:left="4211" w:hanging="480"/>
      </w:pPr>
      <w:rPr>
        <w:rFonts w:ascii="Wingdings" w:hAnsi="Wingdings" w:hint="default"/>
      </w:rPr>
    </w:lvl>
    <w:lvl w:ilvl="7" w:tplc="04090003" w:tentative="1">
      <w:start w:val="1"/>
      <w:numFmt w:val="bullet"/>
      <w:lvlText w:val=""/>
      <w:lvlJc w:val="left"/>
      <w:pPr>
        <w:ind w:left="4691" w:hanging="480"/>
      </w:pPr>
      <w:rPr>
        <w:rFonts w:ascii="Wingdings" w:hAnsi="Wingdings" w:hint="default"/>
      </w:rPr>
    </w:lvl>
    <w:lvl w:ilvl="8" w:tplc="04090005" w:tentative="1">
      <w:start w:val="1"/>
      <w:numFmt w:val="bullet"/>
      <w:lvlText w:val=""/>
      <w:lvlJc w:val="left"/>
      <w:pPr>
        <w:ind w:left="5171" w:hanging="480"/>
      </w:pPr>
      <w:rPr>
        <w:rFonts w:ascii="Wingdings" w:hAnsi="Wingdings" w:hint="default"/>
      </w:rPr>
    </w:lvl>
  </w:abstractNum>
  <w:abstractNum w:abstractNumId="43">
    <w:nsid w:val="43E97752"/>
    <w:multiLevelType w:val="hybridMultilevel"/>
    <w:tmpl w:val="8DE616E8"/>
    <w:lvl w:ilvl="0" w:tplc="04090015">
      <w:start w:val="1"/>
      <w:numFmt w:val="taiwaneseCountingThousand"/>
      <w:lvlText w:val="%1、"/>
      <w:lvlJc w:val="left"/>
      <w:pPr>
        <w:tabs>
          <w:tab w:val="num" w:pos="622"/>
        </w:tabs>
        <w:ind w:left="622" w:hanging="480"/>
      </w:pPr>
      <w:rPr>
        <w:rFonts w:hint="default"/>
      </w:rPr>
    </w:lvl>
    <w:lvl w:ilvl="1" w:tplc="04090019" w:tentative="1">
      <w:start w:val="1"/>
      <w:numFmt w:val="ideographTraditional"/>
      <w:lvlText w:val="%2、"/>
      <w:lvlJc w:val="left"/>
      <w:pPr>
        <w:tabs>
          <w:tab w:val="num" w:pos="1102"/>
        </w:tabs>
        <w:ind w:left="1102" w:hanging="480"/>
      </w:pPr>
      <w:rPr>
        <w:rFonts w:cs="Times New Roman"/>
      </w:rPr>
    </w:lvl>
    <w:lvl w:ilvl="2" w:tplc="0409001B" w:tentative="1">
      <w:start w:val="1"/>
      <w:numFmt w:val="lowerRoman"/>
      <w:lvlText w:val="%3."/>
      <w:lvlJc w:val="right"/>
      <w:pPr>
        <w:tabs>
          <w:tab w:val="num" w:pos="1582"/>
        </w:tabs>
        <w:ind w:left="1582" w:hanging="480"/>
      </w:pPr>
      <w:rPr>
        <w:rFonts w:cs="Times New Roman"/>
      </w:rPr>
    </w:lvl>
    <w:lvl w:ilvl="3" w:tplc="0409000F" w:tentative="1">
      <w:start w:val="1"/>
      <w:numFmt w:val="decimal"/>
      <w:lvlText w:val="%4."/>
      <w:lvlJc w:val="left"/>
      <w:pPr>
        <w:tabs>
          <w:tab w:val="num" w:pos="2062"/>
        </w:tabs>
        <w:ind w:left="2062" w:hanging="480"/>
      </w:pPr>
      <w:rPr>
        <w:rFonts w:cs="Times New Roman"/>
      </w:rPr>
    </w:lvl>
    <w:lvl w:ilvl="4" w:tplc="04090019" w:tentative="1">
      <w:start w:val="1"/>
      <w:numFmt w:val="ideographTraditional"/>
      <w:lvlText w:val="%5、"/>
      <w:lvlJc w:val="left"/>
      <w:pPr>
        <w:tabs>
          <w:tab w:val="num" w:pos="2542"/>
        </w:tabs>
        <w:ind w:left="2542" w:hanging="480"/>
      </w:pPr>
      <w:rPr>
        <w:rFonts w:cs="Times New Roman"/>
      </w:rPr>
    </w:lvl>
    <w:lvl w:ilvl="5" w:tplc="0409001B" w:tentative="1">
      <w:start w:val="1"/>
      <w:numFmt w:val="lowerRoman"/>
      <w:lvlText w:val="%6."/>
      <w:lvlJc w:val="right"/>
      <w:pPr>
        <w:tabs>
          <w:tab w:val="num" w:pos="3022"/>
        </w:tabs>
        <w:ind w:left="3022" w:hanging="480"/>
      </w:pPr>
      <w:rPr>
        <w:rFonts w:cs="Times New Roman"/>
      </w:rPr>
    </w:lvl>
    <w:lvl w:ilvl="6" w:tplc="0409000F" w:tentative="1">
      <w:start w:val="1"/>
      <w:numFmt w:val="decimal"/>
      <w:lvlText w:val="%7."/>
      <w:lvlJc w:val="left"/>
      <w:pPr>
        <w:tabs>
          <w:tab w:val="num" w:pos="3502"/>
        </w:tabs>
        <w:ind w:left="3502" w:hanging="480"/>
      </w:pPr>
      <w:rPr>
        <w:rFonts w:cs="Times New Roman"/>
      </w:rPr>
    </w:lvl>
    <w:lvl w:ilvl="7" w:tplc="04090019" w:tentative="1">
      <w:start w:val="1"/>
      <w:numFmt w:val="ideographTraditional"/>
      <w:lvlText w:val="%8、"/>
      <w:lvlJc w:val="left"/>
      <w:pPr>
        <w:tabs>
          <w:tab w:val="num" w:pos="3982"/>
        </w:tabs>
        <w:ind w:left="3982" w:hanging="480"/>
      </w:pPr>
      <w:rPr>
        <w:rFonts w:cs="Times New Roman"/>
      </w:rPr>
    </w:lvl>
    <w:lvl w:ilvl="8" w:tplc="0409001B" w:tentative="1">
      <w:start w:val="1"/>
      <w:numFmt w:val="lowerRoman"/>
      <w:lvlText w:val="%9."/>
      <w:lvlJc w:val="right"/>
      <w:pPr>
        <w:tabs>
          <w:tab w:val="num" w:pos="4462"/>
        </w:tabs>
        <w:ind w:left="4462" w:hanging="480"/>
      </w:pPr>
      <w:rPr>
        <w:rFonts w:cs="Times New Roman"/>
      </w:rPr>
    </w:lvl>
  </w:abstractNum>
  <w:abstractNum w:abstractNumId="44">
    <w:nsid w:val="458A1190"/>
    <w:multiLevelType w:val="hybridMultilevel"/>
    <w:tmpl w:val="216E027C"/>
    <w:lvl w:ilvl="0" w:tplc="53D8E732">
      <w:start w:val="1"/>
      <w:numFmt w:val="taiwaneseCountingThousand"/>
      <w:lvlText w:val="(%1)"/>
      <w:lvlJc w:val="left"/>
      <w:pPr>
        <w:ind w:left="1331" w:hanging="480"/>
      </w:pPr>
      <w:rPr>
        <w:rFonts w:hint="eastAsia"/>
      </w:rPr>
    </w:lvl>
    <w:lvl w:ilvl="1" w:tplc="472001C8">
      <w:start w:val="1"/>
      <w:numFmt w:val="decimal"/>
      <w:lvlText w:val="%2."/>
      <w:lvlJc w:val="left"/>
      <w:pPr>
        <w:ind w:left="1691" w:hanging="360"/>
      </w:pPr>
      <w:rPr>
        <w:rFonts w:hint="default"/>
      </w:r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45">
    <w:nsid w:val="46B711EF"/>
    <w:multiLevelType w:val="hybridMultilevel"/>
    <w:tmpl w:val="6BEC96AE"/>
    <w:lvl w:ilvl="0" w:tplc="CC4C04A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nsid w:val="4A154674"/>
    <w:multiLevelType w:val="hybridMultilevel"/>
    <w:tmpl w:val="2D3CBC60"/>
    <w:lvl w:ilvl="0" w:tplc="1F0EA512">
      <w:start w:val="1"/>
      <w:numFmt w:val="decimal"/>
      <w:lvlText w:val="%1."/>
      <w:lvlJc w:val="left"/>
      <w:pPr>
        <w:ind w:left="840" w:hanging="360"/>
      </w:pPr>
      <w:rPr>
        <w:rFonts w:cs="ZWAdobeF" w:hint="default"/>
      </w:rPr>
    </w:lvl>
    <w:lvl w:ilvl="1" w:tplc="04090019" w:tentative="1">
      <w:start w:val="1"/>
      <w:numFmt w:val="ideographTraditional"/>
      <w:lvlText w:val="%2、"/>
      <w:lvlJc w:val="left"/>
      <w:pPr>
        <w:tabs>
          <w:tab w:val="num" w:pos="1440"/>
        </w:tabs>
        <w:ind w:left="1440" w:hanging="480"/>
      </w:pPr>
      <w:rPr>
        <w:rFonts w:cs="Times New Roman"/>
      </w:rPr>
    </w:lvl>
    <w:lvl w:ilvl="2" w:tplc="0409001B" w:tentative="1">
      <w:start w:val="1"/>
      <w:numFmt w:val="lowerRoman"/>
      <w:lvlText w:val="%3."/>
      <w:lvlJc w:val="right"/>
      <w:pPr>
        <w:tabs>
          <w:tab w:val="num" w:pos="1920"/>
        </w:tabs>
        <w:ind w:left="1920" w:hanging="480"/>
      </w:pPr>
      <w:rPr>
        <w:rFonts w:cs="Times New Roman"/>
      </w:rPr>
    </w:lvl>
    <w:lvl w:ilvl="3" w:tplc="0409000F" w:tentative="1">
      <w:start w:val="1"/>
      <w:numFmt w:val="decimal"/>
      <w:lvlText w:val="%4."/>
      <w:lvlJc w:val="left"/>
      <w:pPr>
        <w:tabs>
          <w:tab w:val="num" w:pos="2400"/>
        </w:tabs>
        <w:ind w:left="2400" w:hanging="480"/>
      </w:pPr>
      <w:rPr>
        <w:rFonts w:cs="Times New Roman"/>
      </w:rPr>
    </w:lvl>
    <w:lvl w:ilvl="4" w:tplc="04090019" w:tentative="1">
      <w:start w:val="1"/>
      <w:numFmt w:val="ideographTraditional"/>
      <w:lvlText w:val="%5、"/>
      <w:lvlJc w:val="left"/>
      <w:pPr>
        <w:tabs>
          <w:tab w:val="num" w:pos="2880"/>
        </w:tabs>
        <w:ind w:left="2880" w:hanging="480"/>
      </w:pPr>
      <w:rPr>
        <w:rFonts w:cs="Times New Roman"/>
      </w:rPr>
    </w:lvl>
    <w:lvl w:ilvl="5" w:tplc="0409001B" w:tentative="1">
      <w:start w:val="1"/>
      <w:numFmt w:val="lowerRoman"/>
      <w:lvlText w:val="%6."/>
      <w:lvlJc w:val="right"/>
      <w:pPr>
        <w:tabs>
          <w:tab w:val="num" w:pos="3360"/>
        </w:tabs>
        <w:ind w:left="3360" w:hanging="480"/>
      </w:pPr>
      <w:rPr>
        <w:rFonts w:cs="Times New Roman"/>
      </w:rPr>
    </w:lvl>
    <w:lvl w:ilvl="6" w:tplc="0409000F" w:tentative="1">
      <w:start w:val="1"/>
      <w:numFmt w:val="decimal"/>
      <w:lvlText w:val="%7."/>
      <w:lvlJc w:val="left"/>
      <w:pPr>
        <w:tabs>
          <w:tab w:val="num" w:pos="3840"/>
        </w:tabs>
        <w:ind w:left="3840" w:hanging="480"/>
      </w:pPr>
      <w:rPr>
        <w:rFonts w:cs="Times New Roman"/>
      </w:rPr>
    </w:lvl>
    <w:lvl w:ilvl="7" w:tplc="04090019" w:tentative="1">
      <w:start w:val="1"/>
      <w:numFmt w:val="ideographTraditional"/>
      <w:lvlText w:val="%8、"/>
      <w:lvlJc w:val="left"/>
      <w:pPr>
        <w:tabs>
          <w:tab w:val="num" w:pos="4320"/>
        </w:tabs>
        <w:ind w:left="4320" w:hanging="480"/>
      </w:pPr>
      <w:rPr>
        <w:rFonts w:cs="Times New Roman"/>
      </w:rPr>
    </w:lvl>
    <w:lvl w:ilvl="8" w:tplc="0409001B" w:tentative="1">
      <w:start w:val="1"/>
      <w:numFmt w:val="lowerRoman"/>
      <w:lvlText w:val="%9."/>
      <w:lvlJc w:val="right"/>
      <w:pPr>
        <w:tabs>
          <w:tab w:val="num" w:pos="4800"/>
        </w:tabs>
        <w:ind w:left="4800" w:hanging="480"/>
      </w:pPr>
      <w:rPr>
        <w:rFonts w:cs="Times New Roman"/>
      </w:rPr>
    </w:lvl>
  </w:abstractNum>
  <w:abstractNum w:abstractNumId="47">
    <w:nsid w:val="4C2B50DE"/>
    <w:multiLevelType w:val="hybridMultilevel"/>
    <w:tmpl w:val="22CA03E6"/>
    <w:lvl w:ilvl="0" w:tplc="1F0EA512">
      <w:start w:val="1"/>
      <w:numFmt w:val="decimal"/>
      <w:lvlText w:val="%1."/>
      <w:lvlJc w:val="left"/>
      <w:pPr>
        <w:ind w:left="840" w:hanging="360"/>
      </w:pPr>
      <w:rPr>
        <w:rFonts w:cs="ZWAdobeF" w:hint="default"/>
      </w:rPr>
    </w:lvl>
    <w:lvl w:ilvl="1" w:tplc="04090019" w:tentative="1">
      <w:start w:val="1"/>
      <w:numFmt w:val="ideographTraditional"/>
      <w:lvlText w:val="%2、"/>
      <w:lvlJc w:val="left"/>
      <w:pPr>
        <w:tabs>
          <w:tab w:val="num" w:pos="1440"/>
        </w:tabs>
        <w:ind w:left="1440" w:hanging="480"/>
      </w:pPr>
      <w:rPr>
        <w:rFonts w:cs="Times New Roman"/>
      </w:rPr>
    </w:lvl>
    <w:lvl w:ilvl="2" w:tplc="0409001B" w:tentative="1">
      <w:start w:val="1"/>
      <w:numFmt w:val="lowerRoman"/>
      <w:lvlText w:val="%3."/>
      <w:lvlJc w:val="right"/>
      <w:pPr>
        <w:tabs>
          <w:tab w:val="num" w:pos="1920"/>
        </w:tabs>
        <w:ind w:left="1920" w:hanging="480"/>
      </w:pPr>
      <w:rPr>
        <w:rFonts w:cs="Times New Roman"/>
      </w:rPr>
    </w:lvl>
    <w:lvl w:ilvl="3" w:tplc="0409000F" w:tentative="1">
      <w:start w:val="1"/>
      <w:numFmt w:val="decimal"/>
      <w:lvlText w:val="%4."/>
      <w:lvlJc w:val="left"/>
      <w:pPr>
        <w:tabs>
          <w:tab w:val="num" w:pos="2400"/>
        </w:tabs>
        <w:ind w:left="2400" w:hanging="480"/>
      </w:pPr>
      <w:rPr>
        <w:rFonts w:cs="Times New Roman"/>
      </w:rPr>
    </w:lvl>
    <w:lvl w:ilvl="4" w:tplc="04090019" w:tentative="1">
      <w:start w:val="1"/>
      <w:numFmt w:val="ideographTraditional"/>
      <w:lvlText w:val="%5、"/>
      <w:lvlJc w:val="left"/>
      <w:pPr>
        <w:tabs>
          <w:tab w:val="num" w:pos="2880"/>
        </w:tabs>
        <w:ind w:left="2880" w:hanging="480"/>
      </w:pPr>
      <w:rPr>
        <w:rFonts w:cs="Times New Roman"/>
      </w:rPr>
    </w:lvl>
    <w:lvl w:ilvl="5" w:tplc="0409001B" w:tentative="1">
      <w:start w:val="1"/>
      <w:numFmt w:val="lowerRoman"/>
      <w:lvlText w:val="%6."/>
      <w:lvlJc w:val="right"/>
      <w:pPr>
        <w:tabs>
          <w:tab w:val="num" w:pos="3360"/>
        </w:tabs>
        <w:ind w:left="3360" w:hanging="480"/>
      </w:pPr>
      <w:rPr>
        <w:rFonts w:cs="Times New Roman"/>
      </w:rPr>
    </w:lvl>
    <w:lvl w:ilvl="6" w:tplc="0409000F" w:tentative="1">
      <w:start w:val="1"/>
      <w:numFmt w:val="decimal"/>
      <w:lvlText w:val="%7."/>
      <w:lvlJc w:val="left"/>
      <w:pPr>
        <w:tabs>
          <w:tab w:val="num" w:pos="3840"/>
        </w:tabs>
        <w:ind w:left="3840" w:hanging="480"/>
      </w:pPr>
      <w:rPr>
        <w:rFonts w:cs="Times New Roman"/>
      </w:rPr>
    </w:lvl>
    <w:lvl w:ilvl="7" w:tplc="04090019" w:tentative="1">
      <w:start w:val="1"/>
      <w:numFmt w:val="ideographTraditional"/>
      <w:lvlText w:val="%8、"/>
      <w:lvlJc w:val="left"/>
      <w:pPr>
        <w:tabs>
          <w:tab w:val="num" w:pos="4320"/>
        </w:tabs>
        <w:ind w:left="4320" w:hanging="480"/>
      </w:pPr>
      <w:rPr>
        <w:rFonts w:cs="Times New Roman"/>
      </w:rPr>
    </w:lvl>
    <w:lvl w:ilvl="8" w:tplc="0409001B" w:tentative="1">
      <w:start w:val="1"/>
      <w:numFmt w:val="lowerRoman"/>
      <w:lvlText w:val="%9."/>
      <w:lvlJc w:val="right"/>
      <w:pPr>
        <w:tabs>
          <w:tab w:val="num" w:pos="4800"/>
        </w:tabs>
        <w:ind w:left="4800" w:hanging="480"/>
      </w:pPr>
      <w:rPr>
        <w:rFonts w:cs="Times New Roman"/>
      </w:rPr>
    </w:lvl>
  </w:abstractNum>
  <w:abstractNum w:abstractNumId="48">
    <w:nsid w:val="4E6A08E4"/>
    <w:multiLevelType w:val="hybridMultilevel"/>
    <w:tmpl w:val="8DBE32DE"/>
    <w:lvl w:ilvl="0" w:tplc="0409000F">
      <w:start w:val="1"/>
      <w:numFmt w:val="decimal"/>
      <w:lvlText w:val="%1."/>
      <w:lvlJc w:val="left"/>
      <w:pPr>
        <w:ind w:left="1080" w:hanging="480"/>
      </w:p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49">
    <w:nsid w:val="4F041B1F"/>
    <w:multiLevelType w:val="hybridMultilevel"/>
    <w:tmpl w:val="CEE22BCA"/>
    <w:lvl w:ilvl="0" w:tplc="53D8E732">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0">
    <w:nsid w:val="53E71077"/>
    <w:multiLevelType w:val="multilevel"/>
    <w:tmpl w:val="C308B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55F61367"/>
    <w:multiLevelType w:val="multilevel"/>
    <w:tmpl w:val="2D903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57483B71"/>
    <w:multiLevelType w:val="hybridMultilevel"/>
    <w:tmpl w:val="29C83AF6"/>
    <w:lvl w:ilvl="0" w:tplc="55122958">
      <w:start w:val="1"/>
      <w:numFmt w:val="taiwaneseCountingThousand"/>
      <w:lvlText w:val="%1、"/>
      <w:lvlJc w:val="left"/>
      <w:pPr>
        <w:tabs>
          <w:tab w:val="num" w:pos="764"/>
        </w:tabs>
        <w:ind w:left="764" w:hanging="480"/>
      </w:pPr>
      <w:rPr>
        <w:rFonts w:hint="default"/>
        <w:b/>
      </w:rPr>
    </w:lvl>
    <w:lvl w:ilvl="1" w:tplc="04090019" w:tentative="1">
      <w:start w:val="1"/>
      <w:numFmt w:val="ideographTraditional"/>
      <w:lvlText w:val="%2、"/>
      <w:lvlJc w:val="left"/>
      <w:pPr>
        <w:tabs>
          <w:tab w:val="num" w:pos="1102"/>
        </w:tabs>
        <w:ind w:left="1102" w:hanging="480"/>
      </w:pPr>
      <w:rPr>
        <w:rFonts w:cs="Times New Roman"/>
      </w:rPr>
    </w:lvl>
    <w:lvl w:ilvl="2" w:tplc="0409001B" w:tentative="1">
      <w:start w:val="1"/>
      <w:numFmt w:val="lowerRoman"/>
      <w:lvlText w:val="%3."/>
      <w:lvlJc w:val="right"/>
      <w:pPr>
        <w:tabs>
          <w:tab w:val="num" w:pos="1582"/>
        </w:tabs>
        <w:ind w:left="1582" w:hanging="480"/>
      </w:pPr>
      <w:rPr>
        <w:rFonts w:cs="Times New Roman"/>
      </w:rPr>
    </w:lvl>
    <w:lvl w:ilvl="3" w:tplc="0409000F" w:tentative="1">
      <w:start w:val="1"/>
      <w:numFmt w:val="decimal"/>
      <w:lvlText w:val="%4."/>
      <w:lvlJc w:val="left"/>
      <w:pPr>
        <w:tabs>
          <w:tab w:val="num" w:pos="2062"/>
        </w:tabs>
        <w:ind w:left="2062" w:hanging="480"/>
      </w:pPr>
      <w:rPr>
        <w:rFonts w:cs="Times New Roman"/>
      </w:rPr>
    </w:lvl>
    <w:lvl w:ilvl="4" w:tplc="04090019" w:tentative="1">
      <w:start w:val="1"/>
      <w:numFmt w:val="ideographTraditional"/>
      <w:lvlText w:val="%5、"/>
      <w:lvlJc w:val="left"/>
      <w:pPr>
        <w:tabs>
          <w:tab w:val="num" w:pos="2542"/>
        </w:tabs>
        <w:ind w:left="2542" w:hanging="480"/>
      </w:pPr>
      <w:rPr>
        <w:rFonts w:cs="Times New Roman"/>
      </w:rPr>
    </w:lvl>
    <w:lvl w:ilvl="5" w:tplc="0409001B" w:tentative="1">
      <w:start w:val="1"/>
      <w:numFmt w:val="lowerRoman"/>
      <w:lvlText w:val="%6."/>
      <w:lvlJc w:val="right"/>
      <w:pPr>
        <w:tabs>
          <w:tab w:val="num" w:pos="3022"/>
        </w:tabs>
        <w:ind w:left="3022" w:hanging="480"/>
      </w:pPr>
      <w:rPr>
        <w:rFonts w:cs="Times New Roman"/>
      </w:rPr>
    </w:lvl>
    <w:lvl w:ilvl="6" w:tplc="0409000F" w:tentative="1">
      <w:start w:val="1"/>
      <w:numFmt w:val="decimal"/>
      <w:lvlText w:val="%7."/>
      <w:lvlJc w:val="left"/>
      <w:pPr>
        <w:tabs>
          <w:tab w:val="num" w:pos="3502"/>
        </w:tabs>
        <w:ind w:left="3502" w:hanging="480"/>
      </w:pPr>
      <w:rPr>
        <w:rFonts w:cs="Times New Roman"/>
      </w:rPr>
    </w:lvl>
    <w:lvl w:ilvl="7" w:tplc="04090019" w:tentative="1">
      <w:start w:val="1"/>
      <w:numFmt w:val="ideographTraditional"/>
      <w:lvlText w:val="%8、"/>
      <w:lvlJc w:val="left"/>
      <w:pPr>
        <w:tabs>
          <w:tab w:val="num" w:pos="3982"/>
        </w:tabs>
        <w:ind w:left="3982" w:hanging="480"/>
      </w:pPr>
      <w:rPr>
        <w:rFonts w:cs="Times New Roman"/>
      </w:rPr>
    </w:lvl>
    <w:lvl w:ilvl="8" w:tplc="0409001B" w:tentative="1">
      <w:start w:val="1"/>
      <w:numFmt w:val="lowerRoman"/>
      <w:lvlText w:val="%9."/>
      <w:lvlJc w:val="right"/>
      <w:pPr>
        <w:tabs>
          <w:tab w:val="num" w:pos="4462"/>
        </w:tabs>
        <w:ind w:left="4462" w:hanging="480"/>
      </w:pPr>
      <w:rPr>
        <w:rFonts w:cs="Times New Roman"/>
      </w:rPr>
    </w:lvl>
  </w:abstractNum>
  <w:abstractNum w:abstractNumId="53">
    <w:nsid w:val="57FF11E1"/>
    <w:multiLevelType w:val="hybridMultilevel"/>
    <w:tmpl w:val="43D6D872"/>
    <w:lvl w:ilvl="0" w:tplc="1F0EA512">
      <w:start w:val="1"/>
      <w:numFmt w:val="decimal"/>
      <w:lvlText w:val="%1."/>
      <w:lvlJc w:val="left"/>
      <w:pPr>
        <w:ind w:left="840" w:hanging="360"/>
      </w:pPr>
      <w:rPr>
        <w:rFonts w:cs="ZWAdobeF" w:hint="default"/>
      </w:rPr>
    </w:lvl>
    <w:lvl w:ilvl="1" w:tplc="04090019" w:tentative="1">
      <w:start w:val="1"/>
      <w:numFmt w:val="ideographTraditional"/>
      <w:lvlText w:val="%2、"/>
      <w:lvlJc w:val="left"/>
      <w:pPr>
        <w:tabs>
          <w:tab w:val="num" w:pos="1440"/>
        </w:tabs>
        <w:ind w:left="1440" w:hanging="480"/>
      </w:pPr>
      <w:rPr>
        <w:rFonts w:cs="Times New Roman"/>
      </w:rPr>
    </w:lvl>
    <w:lvl w:ilvl="2" w:tplc="0409001B" w:tentative="1">
      <w:start w:val="1"/>
      <w:numFmt w:val="lowerRoman"/>
      <w:lvlText w:val="%3."/>
      <w:lvlJc w:val="right"/>
      <w:pPr>
        <w:tabs>
          <w:tab w:val="num" w:pos="1920"/>
        </w:tabs>
        <w:ind w:left="1920" w:hanging="480"/>
      </w:pPr>
      <w:rPr>
        <w:rFonts w:cs="Times New Roman"/>
      </w:rPr>
    </w:lvl>
    <w:lvl w:ilvl="3" w:tplc="0409000F" w:tentative="1">
      <w:start w:val="1"/>
      <w:numFmt w:val="decimal"/>
      <w:lvlText w:val="%4."/>
      <w:lvlJc w:val="left"/>
      <w:pPr>
        <w:tabs>
          <w:tab w:val="num" w:pos="2400"/>
        </w:tabs>
        <w:ind w:left="2400" w:hanging="480"/>
      </w:pPr>
      <w:rPr>
        <w:rFonts w:cs="Times New Roman"/>
      </w:rPr>
    </w:lvl>
    <w:lvl w:ilvl="4" w:tplc="04090019" w:tentative="1">
      <w:start w:val="1"/>
      <w:numFmt w:val="ideographTraditional"/>
      <w:lvlText w:val="%5、"/>
      <w:lvlJc w:val="left"/>
      <w:pPr>
        <w:tabs>
          <w:tab w:val="num" w:pos="2880"/>
        </w:tabs>
        <w:ind w:left="2880" w:hanging="480"/>
      </w:pPr>
      <w:rPr>
        <w:rFonts w:cs="Times New Roman"/>
      </w:rPr>
    </w:lvl>
    <w:lvl w:ilvl="5" w:tplc="0409001B" w:tentative="1">
      <w:start w:val="1"/>
      <w:numFmt w:val="lowerRoman"/>
      <w:lvlText w:val="%6."/>
      <w:lvlJc w:val="right"/>
      <w:pPr>
        <w:tabs>
          <w:tab w:val="num" w:pos="3360"/>
        </w:tabs>
        <w:ind w:left="3360" w:hanging="480"/>
      </w:pPr>
      <w:rPr>
        <w:rFonts w:cs="Times New Roman"/>
      </w:rPr>
    </w:lvl>
    <w:lvl w:ilvl="6" w:tplc="0409000F" w:tentative="1">
      <w:start w:val="1"/>
      <w:numFmt w:val="decimal"/>
      <w:lvlText w:val="%7."/>
      <w:lvlJc w:val="left"/>
      <w:pPr>
        <w:tabs>
          <w:tab w:val="num" w:pos="3840"/>
        </w:tabs>
        <w:ind w:left="3840" w:hanging="480"/>
      </w:pPr>
      <w:rPr>
        <w:rFonts w:cs="Times New Roman"/>
      </w:rPr>
    </w:lvl>
    <w:lvl w:ilvl="7" w:tplc="04090019" w:tentative="1">
      <w:start w:val="1"/>
      <w:numFmt w:val="ideographTraditional"/>
      <w:lvlText w:val="%8、"/>
      <w:lvlJc w:val="left"/>
      <w:pPr>
        <w:tabs>
          <w:tab w:val="num" w:pos="4320"/>
        </w:tabs>
        <w:ind w:left="4320" w:hanging="480"/>
      </w:pPr>
      <w:rPr>
        <w:rFonts w:cs="Times New Roman"/>
      </w:rPr>
    </w:lvl>
    <w:lvl w:ilvl="8" w:tplc="0409001B" w:tentative="1">
      <w:start w:val="1"/>
      <w:numFmt w:val="lowerRoman"/>
      <w:lvlText w:val="%9."/>
      <w:lvlJc w:val="right"/>
      <w:pPr>
        <w:tabs>
          <w:tab w:val="num" w:pos="4800"/>
        </w:tabs>
        <w:ind w:left="4800" w:hanging="480"/>
      </w:pPr>
      <w:rPr>
        <w:rFonts w:cs="Times New Roman"/>
      </w:rPr>
    </w:lvl>
  </w:abstractNum>
  <w:abstractNum w:abstractNumId="54">
    <w:nsid w:val="614134EA"/>
    <w:multiLevelType w:val="hybridMultilevel"/>
    <w:tmpl w:val="231A26DE"/>
    <w:lvl w:ilvl="0" w:tplc="04090015">
      <w:start w:val="1"/>
      <w:numFmt w:val="taiwaneseCountingThousand"/>
      <w:lvlText w:val="%1、"/>
      <w:lvlJc w:val="left"/>
      <w:pPr>
        <w:tabs>
          <w:tab w:val="num" w:pos="1380"/>
        </w:tabs>
        <w:ind w:left="1380" w:hanging="480"/>
      </w:pPr>
      <w:rPr>
        <w:rFonts w:hint="default"/>
      </w:rPr>
    </w:lvl>
    <w:lvl w:ilvl="1" w:tplc="0409000F">
      <w:start w:val="1"/>
      <w:numFmt w:val="decimal"/>
      <w:lvlText w:val="%2."/>
      <w:lvlJc w:val="left"/>
      <w:pPr>
        <w:tabs>
          <w:tab w:val="num" w:pos="2100"/>
        </w:tabs>
        <w:ind w:left="2100" w:hanging="720"/>
      </w:pPr>
      <w:rPr>
        <w:rFonts w:hint="eastAsia"/>
      </w:rPr>
    </w:lvl>
    <w:lvl w:ilvl="2" w:tplc="0409000F">
      <w:start w:val="1"/>
      <w:numFmt w:val="decimal"/>
      <w:lvlText w:val="%3."/>
      <w:lvlJc w:val="left"/>
      <w:pPr>
        <w:tabs>
          <w:tab w:val="num" w:pos="2340"/>
        </w:tabs>
        <w:ind w:left="2340" w:hanging="480"/>
      </w:pPr>
    </w:lvl>
    <w:lvl w:ilvl="3" w:tplc="0409000F" w:tentative="1">
      <w:start w:val="1"/>
      <w:numFmt w:val="decimal"/>
      <w:lvlText w:val="%4."/>
      <w:lvlJc w:val="left"/>
      <w:pPr>
        <w:tabs>
          <w:tab w:val="num" w:pos="2820"/>
        </w:tabs>
        <w:ind w:left="2820" w:hanging="480"/>
      </w:pPr>
    </w:lvl>
    <w:lvl w:ilvl="4" w:tplc="04090019" w:tentative="1">
      <w:start w:val="1"/>
      <w:numFmt w:val="ideographTraditional"/>
      <w:lvlText w:val="%5、"/>
      <w:lvlJc w:val="left"/>
      <w:pPr>
        <w:tabs>
          <w:tab w:val="num" w:pos="3300"/>
        </w:tabs>
        <w:ind w:left="3300" w:hanging="480"/>
      </w:pPr>
    </w:lvl>
    <w:lvl w:ilvl="5" w:tplc="0409001B" w:tentative="1">
      <w:start w:val="1"/>
      <w:numFmt w:val="lowerRoman"/>
      <w:lvlText w:val="%6."/>
      <w:lvlJc w:val="right"/>
      <w:pPr>
        <w:tabs>
          <w:tab w:val="num" w:pos="3780"/>
        </w:tabs>
        <w:ind w:left="3780" w:hanging="480"/>
      </w:pPr>
    </w:lvl>
    <w:lvl w:ilvl="6" w:tplc="0409000F" w:tentative="1">
      <w:start w:val="1"/>
      <w:numFmt w:val="decimal"/>
      <w:lvlText w:val="%7."/>
      <w:lvlJc w:val="left"/>
      <w:pPr>
        <w:tabs>
          <w:tab w:val="num" w:pos="4260"/>
        </w:tabs>
        <w:ind w:left="4260" w:hanging="480"/>
      </w:pPr>
    </w:lvl>
    <w:lvl w:ilvl="7" w:tplc="04090019" w:tentative="1">
      <w:start w:val="1"/>
      <w:numFmt w:val="ideographTraditional"/>
      <w:lvlText w:val="%8、"/>
      <w:lvlJc w:val="left"/>
      <w:pPr>
        <w:tabs>
          <w:tab w:val="num" w:pos="4740"/>
        </w:tabs>
        <w:ind w:left="4740" w:hanging="480"/>
      </w:pPr>
    </w:lvl>
    <w:lvl w:ilvl="8" w:tplc="0409001B" w:tentative="1">
      <w:start w:val="1"/>
      <w:numFmt w:val="lowerRoman"/>
      <w:lvlText w:val="%9."/>
      <w:lvlJc w:val="right"/>
      <w:pPr>
        <w:tabs>
          <w:tab w:val="num" w:pos="5220"/>
        </w:tabs>
        <w:ind w:left="5220" w:hanging="480"/>
      </w:pPr>
    </w:lvl>
  </w:abstractNum>
  <w:abstractNum w:abstractNumId="55">
    <w:nsid w:val="651C2C27"/>
    <w:multiLevelType w:val="hybridMultilevel"/>
    <w:tmpl w:val="2E96BC7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6">
    <w:nsid w:val="66C01C6D"/>
    <w:multiLevelType w:val="hybridMultilevel"/>
    <w:tmpl w:val="F26264D8"/>
    <w:lvl w:ilvl="0" w:tplc="0409001B">
      <w:start w:val="1"/>
      <w:numFmt w:val="lowerRoman"/>
      <w:lvlText w:val="%1."/>
      <w:lvlJc w:val="righ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7">
    <w:nsid w:val="685541FD"/>
    <w:multiLevelType w:val="hybridMultilevel"/>
    <w:tmpl w:val="2E96BC7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8">
    <w:nsid w:val="68C06B1F"/>
    <w:multiLevelType w:val="hybridMultilevel"/>
    <w:tmpl w:val="D33C22CC"/>
    <w:lvl w:ilvl="0" w:tplc="CC4C04A6">
      <w:start w:val="1"/>
      <w:numFmt w:val="decimal"/>
      <w:lvlText w:val="(%1)"/>
      <w:lvlJc w:val="left"/>
      <w:pPr>
        <w:ind w:left="1331" w:hanging="480"/>
      </w:pPr>
      <w:rPr>
        <w:rFonts w:hint="eastAsia"/>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59">
    <w:nsid w:val="69C90D1E"/>
    <w:multiLevelType w:val="multilevel"/>
    <w:tmpl w:val="BCB89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6CFE2039"/>
    <w:multiLevelType w:val="hybridMultilevel"/>
    <w:tmpl w:val="A25E863C"/>
    <w:lvl w:ilvl="0" w:tplc="0409001B">
      <w:start w:val="1"/>
      <w:numFmt w:val="lowerRoman"/>
      <w:lvlText w:val="%1."/>
      <w:lvlJc w:val="right"/>
      <w:pPr>
        <w:ind w:left="1660" w:hanging="480"/>
      </w:pPr>
    </w:lvl>
    <w:lvl w:ilvl="1" w:tplc="04090019" w:tentative="1">
      <w:start w:val="1"/>
      <w:numFmt w:val="ideographTraditional"/>
      <w:lvlText w:val="%2、"/>
      <w:lvlJc w:val="left"/>
      <w:pPr>
        <w:ind w:left="2140" w:hanging="480"/>
      </w:pPr>
    </w:lvl>
    <w:lvl w:ilvl="2" w:tplc="0409001B" w:tentative="1">
      <w:start w:val="1"/>
      <w:numFmt w:val="lowerRoman"/>
      <w:lvlText w:val="%3."/>
      <w:lvlJc w:val="right"/>
      <w:pPr>
        <w:ind w:left="2620" w:hanging="480"/>
      </w:pPr>
    </w:lvl>
    <w:lvl w:ilvl="3" w:tplc="0409000F" w:tentative="1">
      <w:start w:val="1"/>
      <w:numFmt w:val="decimal"/>
      <w:lvlText w:val="%4."/>
      <w:lvlJc w:val="left"/>
      <w:pPr>
        <w:ind w:left="3100" w:hanging="480"/>
      </w:pPr>
    </w:lvl>
    <w:lvl w:ilvl="4" w:tplc="04090019" w:tentative="1">
      <w:start w:val="1"/>
      <w:numFmt w:val="ideographTraditional"/>
      <w:lvlText w:val="%5、"/>
      <w:lvlJc w:val="left"/>
      <w:pPr>
        <w:ind w:left="3580" w:hanging="480"/>
      </w:pPr>
    </w:lvl>
    <w:lvl w:ilvl="5" w:tplc="0409001B" w:tentative="1">
      <w:start w:val="1"/>
      <w:numFmt w:val="lowerRoman"/>
      <w:lvlText w:val="%6."/>
      <w:lvlJc w:val="right"/>
      <w:pPr>
        <w:ind w:left="4060" w:hanging="480"/>
      </w:pPr>
    </w:lvl>
    <w:lvl w:ilvl="6" w:tplc="0409000F" w:tentative="1">
      <w:start w:val="1"/>
      <w:numFmt w:val="decimal"/>
      <w:lvlText w:val="%7."/>
      <w:lvlJc w:val="left"/>
      <w:pPr>
        <w:ind w:left="4540" w:hanging="480"/>
      </w:pPr>
    </w:lvl>
    <w:lvl w:ilvl="7" w:tplc="04090019" w:tentative="1">
      <w:start w:val="1"/>
      <w:numFmt w:val="ideographTraditional"/>
      <w:lvlText w:val="%8、"/>
      <w:lvlJc w:val="left"/>
      <w:pPr>
        <w:ind w:left="5020" w:hanging="480"/>
      </w:pPr>
    </w:lvl>
    <w:lvl w:ilvl="8" w:tplc="0409001B" w:tentative="1">
      <w:start w:val="1"/>
      <w:numFmt w:val="lowerRoman"/>
      <w:lvlText w:val="%9."/>
      <w:lvlJc w:val="right"/>
      <w:pPr>
        <w:ind w:left="5500" w:hanging="480"/>
      </w:pPr>
    </w:lvl>
  </w:abstractNum>
  <w:abstractNum w:abstractNumId="61">
    <w:nsid w:val="70D73106"/>
    <w:multiLevelType w:val="hybridMultilevel"/>
    <w:tmpl w:val="D6925046"/>
    <w:lvl w:ilvl="0" w:tplc="53D8E732">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2">
    <w:nsid w:val="791605CD"/>
    <w:multiLevelType w:val="hybridMultilevel"/>
    <w:tmpl w:val="88BAC3E4"/>
    <w:lvl w:ilvl="0" w:tplc="53D8E732">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3">
    <w:nsid w:val="7D3121B7"/>
    <w:multiLevelType w:val="hybridMultilevel"/>
    <w:tmpl w:val="8EC83314"/>
    <w:lvl w:ilvl="0" w:tplc="53D8E732">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4">
    <w:nsid w:val="7E1C3B2A"/>
    <w:multiLevelType w:val="hybridMultilevel"/>
    <w:tmpl w:val="4D204ECE"/>
    <w:lvl w:ilvl="0" w:tplc="254E888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64"/>
  </w:num>
  <w:num w:numId="2">
    <w:abstractNumId w:val="10"/>
  </w:num>
  <w:num w:numId="3">
    <w:abstractNumId w:val="31"/>
  </w:num>
  <w:num w:numId="4">
    <w:abstractNumId w:val="51"/>
  </w:num>
  <w:num w:numId="5">
    <w:abstractNumId w:val="7"/>
  </w:num>
  <w:num w:numId="6">
    <w:abstractNumId w:val="17"/>
  </w:num>
  <w:num w:numId="7">
    <w:abstractNumId w:val="18"/>
  </w:num>
  <w:num w:numId="8">
    <w:abstractNumId w:val="50"/>
  </w:num>
  <w:num w:numId="9">
    <w:abstractNumId w:val="0"/>
  </w:num>
  <w:num w:numId="10">
    <w:abstractNumId w:val="59"/>
  </w:num>
  <w:num w:numId="11">
    <w:abstractNumId w:val="41"/>
  </w:num>
  <w:num w:numId="12">
    <w:abstractNumId w:val="53"/>
  </w:num>
  <w:num w:numId="13">
    <w:abstractNumId w:val="47"/>
  </w:num>
  <w:num w:numId="14">
    <w:abstractNumId w:val="23"/>
  </w:num>
  <w:num w:numId="15">
    <w:abstractNumId w:val="20"/>
  </w:num>
  <w:num w:numId="16">
    <w:abstractNumId w:val="29"/>
  </w:num>
  <w:num w:numId="17">
    <w:abstractNumId w:val="46"/>
  </w:num>
  <w:num w:numId="18">
    <w:abstractNumId w:val="3"/>
  </w:num>
  <w:num w:numId="19">
    <w:abstractNumId w:val="19"/>
  </w:num>
  <w:num w:numId="20">
    <w:abstractNumId w:val="2"/>
  </w:num>
  <w:num w:numId="21">
    <w:abstractNumId w:val="42"/>
  </w:num>
  <w:num w:numId="22">
    <w:abstractNumId w:val="1"/>
  </w:num>
  <w:num w:numId="23">
    <w:abstractNumId w:val="43"/>
  </w:num>
  <w:num w:numId="24">
    <w:abstractNumId w:val="9"/>
  </w:num>
  <w:num w:numId="25">
    <w:abstractNumId w:val="49"/>
  </w:num>
  <w:num w:numId="26">
    <w:abstractNumId w:val="52"/>
  </w:num>
  <w:num w:numId="27">
    <w:abstractNumId w:val="61"/>
  </w:num>
  <w:num w:numId="28">
    <w:abstractNumId w:val="24"/>
  </w:num>
  <w:num w:numId="29">
    <w:abstractNumId w:val="35"/>
  </w:num>
  <w:num w:numId="30">
    <w:abstractNumId w:val="36"/>
  </w:num>
  <w:num w:numId="31">
    <w:abstractNumId w:val="60"/>
  </w:num>
  <w:num w:numId="32">
    <w:abstractNumId w:val="13"/>
  </w:num>
  <w:num w:numId="33">
    <w:abstractNumId w:val="34"/>
  </w:num>
  <w:num w:numId="34">
    <w:abstractNumId w:val="12"/>
  </w:num>
  <w:num w:numId="35">
    <w:abstractNumId w:val="63"/>
  </w:num>
  <w:num w:numId="36">
    <w:abstractNumId w:val="25"/>
  </w:num>
  <w:num w:numId="37">
    <w:abstractNumId w:val="57"/>
  </w:num>
  <w:num w:numId="38">
    <w:abstractNumId w:val="5"/>
  </w:num>
  <w:num w:numId="39">
    <w:abstractNumId w:val="28"/>
  </w:num>
  <w:num w:numId="40">
    <w:abstractNumId w:val="11"/>
  </w:num>
  <w:num w:numId="41">
    <w:abstractNumId w:val="37"/>
  </w:num>
  <w:num w:numId="42">
    <w:abstractNumId w:val="56"/>
  </w:num>
  <w:num w:numId="43">
    <w:abstractNumId w:val="14"/>
  </w:num>
  <w:num w:numId="44">
    <w:abstractNumId w:val="54"/>
  </w:num>
  <w:num w:numId="45">
    <w:abstractNumId w:val="55"/>
  </w:num>
  <w:num w:numId="46">
    <w:abstractNumId w:val="4"/>
  </w:num>
  <w:num w:numId="47">
    <w:abstractNumId w:val="40"/>
  </w:num>
  <w:num w:numId="48">
    <w:abstractNumId w:val="62"/>
  </w:num>
  <w:num w:numId="49">
    <w:abstractNumId w:val="21"/>
  </w:num>
  <w:num w:numId="50">
    <w:abstractNumId w:val="39"/>
  </w:num>
  <w:num w:numId="51">
    <w:abstractNumId w:val="8"/>
  </w:num>
  <w:num w:numId="52">
    <w:abstractNumId w:val="26"/>
  </w:num>
  <w:num w:numId="53">
    <w:abstractNumId w:val="45"/>
  </w:num>
  <w:num w:numId="54">
    <w:abstractNumId w:val="16"/>
  </w:num>
  <w:num w:numId="55">
    <w:abstractNumId w:val="38"/>
  </w:num>
  <w:num w:numId="56">
    <w:abstractNumId w:val="30"/>
  </w:num>
  <w:num w:numId="57">
    <w:abstractNumId w:val="15"/>
  </w:num>
  <w:num w:numId="58">
    <w:abstractNumId w:val="48"/>
  </w:num>
  <w:num w:numId="59">
    <w:abstractNumId w:val="6"/>
  </w:num>
  <w:num w:numId="60">
    <w:abstractNumId w:val="27"/>
  </w:num>
  <w:num w:numId="61">
    <w:abstractNumId w:val="58"/>
  </w:num>
  <w:num w:numId="62">
    <w:abstractNumId w:val="33"/>
  </w:num>
  <w:num w:numId="63">
    <w:abstractNumId w:val="32"/>
  </w:num>
  <w:num w:numId="64">
    <w:abstractNumId w:val="44"/>
  </w:num>
  <w:num w:numId="65">
    <w:abstractNumId w:val="22"/>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548A"/>
    <w:rsid w:val="0000160E"/>
    <w:rsid w:val="000130AD"/>
    <w:rsid w:val="000310EE"/>
    <w:rsid w:val="00042520"/>
    <w:rsid w:val="000468C5"/>
    <w:rsid w:val="0005372B"/>
    <w:rsid w:val="000667AA"/>
    <w:rsid w:val="00066BB9"/>
    <w:rsid w:val="000755D9"/>
    <w:rsid w:val="000811E4"/>
    <w:rsid w:val="000843D4"/>
    <w:rsid w:val="0008694B"/>
    <w:rsid w:val="00093C20"/>
    <w:rsid w:val="000D2732"/>
    <w:rsid w:val="000D2ABD"/>
    <w:rsid w:val="00103979"/>
    <w:rsid w:val="00104AEE"/>
    <w:rsid w:val="00113F6F"/>
    <w:rsid w:val="00115143"/>
    <w:rsid w:val="00137057"/>
    <w:rsid w:val="00141FE6"/>
    <w:rsid w:val="00146F90"/>
    <w:rsid w:val="00166027"/>
    <w:rsid w:val="0017032D"/>
    <w:rsid w:val="001724BA"/>
    <w:rsid w:val="001744B8"/>
    <w:rsid w:val="001A1452"/>
    <w:rsid w:val="001A6636"/>
    <w:rsid w:val="001A7743"/>
    <w:rsid w:val="001C0B3E"/>
    <w:rsid w:val="001D0DCB"/>
    <w:rsid w:val="001E1018"/>
    <w:rsid w:val="001E66D3"/>
    <w:rsid w:val="001F382A"/>
    <w:rsid w:val="001F4E2B"/>
    <w:rsid w:val="001F5506"/>
    <w:rsid w:val="00201FBC"/>
    <w:rsid w:val="00204CCF"/>
    <w:rsid w:val="00206821"/>
    <w:rsid w:val="00226BEF"/>
    <w:rsid w:val="00227894"/>
    <w:rsid w:val="00241B42"/>
    <w:rsid w:val="002421A1"/>
    <w:rsid w:val="00243334"/>
    <w:rsid w:val="002520BB"/>
    <w:rsid w:val="0025575E"/>
    <w:rsid w:val="002577F3"/>
    <w:rsid w:val="002618A4"/>
    <w:rsid w:val="00267FBF"/>
    <w:rsid w:val="002707AE"/>
    <w:rsid w:val="00273E7B"/>
    <w:rsid w:val="00294E7B"/>
    <w:rsid w:val="002A717D"/>
    <w:rsid w:val="002C3EEF"/>
    <w:rsid w:val="002C7A95"/>
    <w:rsid w:val="002D403E"/>
    <w:rsid w:val="002E1A03"/>
    <w:rsid w:val="002E2BD2"/>
    <w:rsid w:val="002F34C4"/>
    <w:rsid w:val="003002E4"/>
    <w:rsid w:val="00312D89"/>
    <w:rsid w:val="00316105"/>
    <w:rsid w:val="003230DA"/>
    <w:rsid w:val="0033577E"/>
    <w:rsid w:val="00336AC7"/>
    <w:rsid w:val="00342C69"/>
    <w:rsid w:val="003744CE"/>
    <w:rsid w:val="00380AB7"/>
    <w:rsid w:val="00383905"/>
    <w:rsid w:val="00385CBB"/>
    <w:rsid w:val="00393170"/>
    <w:rsid w:val="00397647"/>
    <w:rsid w:val="003A4400"/>
    <w:rsid w:val="003A76B1"/>
    <w:rsid w:val="003B39CD"/>
    <w:rsid w:val="003D4A48"/>
    <w:rsid w:val="003D56EE"/>
    <w:rsid w:val="003E29FF"/>
    <w:rsid w:val="003F5DFD"/>
    <w:rsid w:val="00400FAA"/>
    <w:rsid w:val="00401986"/>
    <w:rsid w:val="00414686"/>
    <w:rsid w:val="004203E3"/>
    <w:rsid w:val="004363CB"/>
    <w:rsid w:val="00440BF3"/>
    <w:rsid w:val="004516EF"/>
    <w:rsid w:val="00453059"/>
    <w:rsid w:val="004555F5"/>
    <w:rsid w:val="00467FD2"/>
    <w:rsid w:val="00495E57"/>
    <w:rsid w:val="004A2C51"/>
    <w:rsid w:val="004A658C"/>
    <w:rsid w:val="004B35DC"/>
    <w:rsid w:val="004F3677"/>
    <w:rsid w:val="004F7F35"/>
    <w:rsid w:val="0051054B"/>
    <w:rsid w:val="0051356D"/>
    <w:rsid w:val="00514980"/>
    <w:rsid w:val="005229EC"/>
    <w:rsid w:val="00523777"/>
    <w:rsid w:val="00526CA7"/>
    <w:rsid w:val="00537F9C"/>
    <w:rsid w:val="00540FD6"/>
    <w:rsid w:val="00566BAB"/>
    <w:rsid w:val="005745A3"/>
    <w:rsid w:val="00587DB0"/>
    <w:rsid w:val="005A503C"/>
    <w:rsid w:val="005C2E43"/>
    <w:rsid w:val="005D146E"/>
    <w:rsid w:val="005D46EB"/>
    <w:rsid w:val="005E176C"/>
    <w:rsid w:val="005F1934"/>
    <w:rsid w:val="00621569"/>
    <w:rsid w:val="00623AEE"/>
    <w:rsid w:val="00626BC6"/>
    <w:rsid w:val="00632DA9"/>
    <w:rsid w:val="00650B63"/>
    <w:rsid w:val="006541D1"/>
    <w:rsid w:val="006606AD"/>
    <w:rsid w:val="0067620E"/>
    <w:rsid w:val="00677D33"/>
    <w:rsid w:val="0069078A"/>
    <w:rsid w:val="006920D1"/>
    <w:rsid w:val="006B5A1C"/>
    <w:rsid w:val="006C706C"/>
    <w:rsid w:val="006E02C1"/>
    <w:rsid w:val="007131BD"/>
    <w:rsid w:val="00716FA5"/>
    <w:rsid w:val="00717DD4"/>
    <w:rsid w:val="00736108"/>
    <w:rsid w:val="00737A4D"/>
    <w:rsid w:val="00742897"/>
    <w:rsid w:val="00745A8B"/>
    <w:rsid w:val="0074601E"/>
    <w:rsid w:val="0075114D"/>
    <w:rsid w:val="00755124"/>
    <w:rsid w:val="00762F8D"/>
    <w:rsid w:val="0076505C"/>
    <w:rsid w:val="00770533"/>
    <w:rsid w:val="0078456D"/>
    <w:rsid w:val="00795583"/>
    <w:rsid w:val="007A06E3"/>
    <w:rsid w:val="007A49F2"/>
    <w:rsid w:val="007B64FC"/>
    <w:rsid w:val="007E1A52"/>
    <w:rsid w:val="007E4B40"/>
    <w:rsid w:val="00804DB5"/>
    <w:rsid w:val="00840A7B"/>
    <w:rsid w:val="00842747"/>
    <w:rsid w:val="00861790"/>
    <w:rsid w:val="0087609B"/>
    <w:rsid w:val="0088178D"/>
    <w:rsid w:val="00883ED0"/>
    <w:rsid w:val="00890624"/>
    <w:rsid w:val="008A37E2"/>
    <w:rsid w:val="008A5BCB"/>
    <w:rsid w:val="008B5DE7"/>
    <w:rsid w:val="008B6F83"/>
    <w:rsid w:val="008C00BB"/>
    <w:rsid w:val="008C7C8C"/>
    <w:rsid w:val="008D38CC"/>
    <w:rsid w:val="008D7065"/>
    <w:rsid w:val="008E46E6"/>
    <w:rsid w:val="008F4338"/>
    <w:rsid w:val="00915CDF"/>
    <w:rsid w:val="00927578"/>
    <w:rsid w:val="00940669"/>
    <w:rsid w:val="009446DD"/>
    <w:rsid w:val="009516D3"/>
    <w:rsid w:val="00955810"/>
    <w:rsid w:val="00976104"/>
    <w:rsid w:val="00994304"/>
    <w:rsid w:val="009B21D0"/>
    <w:rsid w:val="009C213A"/>
    <w:rsid w:val="009C6045"/>
    <w:rsid w:val="009D3025"/>
    <w:rsid w:val="009E118F"/>
    <w:rsid w:val="009E70EC"/>
    <w:rsid w:val="00A000E6"/>
    <w:rsid w:val="00A04BC4"/>
    <w:rsid w:val="00A13DD3"/>
    <w:rsid w:val="00A144B8"/>
    <w:rsid w:val="00A17698"/>
    <w:rsid w:val="00A17E94"/>
    <w:rsid w:val="00A201A4"/>
    <w:rsid w:val="00A22407"/>
    <w:rsid w:val="00A32A9A"/>
    <w:rsid w:val="00A40B17"/>
    <w:rsid w:val="00A70787"/>
    <w:rsid w:val="00A86714"/>
    <w:rsid w:val="00A971AA"/>
    <w:rsid w:val="00A97357"/>
    <w:rsid w:val="00AA695E"/>
    <w:rsid w:val="00AB74E1"/>
    <w:rsid w:val="00AD2641"/>
    <w:rsid w:val="00AD7B85"/>
    <w:rsid w:val="00AE0727"/>
    <w:rsid w:val="00AF2358"/>
    <w:rsid w:val="00AF7E92"/>
    <w:rsid w:val="00B01330"/>
    <w:rsid w:val="00B038E2"/>
    <w:rsid w:val="00B04850"/>
    <w:rsid w:val="00B1019A"/>
    <w:rsid w:val="00B14328"/>
    <w:rsid w:val="00B579A0"/>
    <w:rsid w:val="00B6733D"/>
    <w:rsid w:val="00B7574E"/>
    <w:rsid w:val="00B768CE"/>
    <w:rsid w:val="00B84C8C"/>
    <w:rsid w:val="00B93ADC"/>
    <w:rsid w:val="00B95BB1"/>
    <w:rsid w:val="00BB51AF"/>
    <w:rsid w:val="00BC5838"/>
    <w:rsid w:val="00BD2211"/>
    <w:rsid w:val="00BF1385"/>
    <w:rsid w:val="00BF5DA0"/>
    <w:rsid w:val="00C005DC"/>
    <w:rsid w:val="00C12326"/>
    <w:rsid w:val="00C4669D"/>
    <w:rsid w:val="00C610E5"/>
    <w:rsid w:val="00C63A01"/>
    <w:rsid w:val="00C67C61"/>
    <w:rsid w:val="00C67F54"/>
    <w:rsid w:val="00C7119B"/>
    <w:rsid w:val="00C77635"/>
    <w:rsid w:val="00C92A68"/>
    <w:rsid w:val="00CA0593"/>
    <w:rsid w:val="00CA48CA"/>
    <w:rsid w:val="00CB38A9"/>
    <w:rsid w:val="00CB6C11"/>
    <w:rsid w:val="00CC126D"/>
    <w:rsid w:val="00CC359E"/>
    <w:rsid w:val="00CC4D20"/>
    <w:rsid w:val="00CD4306"/>
    <w:rsid w:val="00CE0B2F"/>
    <w:rsid w:val="00CF0912"/>
    <w:rsid w:val="00CF5740"/>
    <w:rsid w:val="00D00F3C"/>
    <w:rsid w:val="00D03EE4"/>
    <w:rsid w:val="00D106CE"/>
    <w:rsid w:val="00D1618E"/>
    <w:rsid w:val="00D20D5D"/>
    <w:rsid w:val="00D250BD"/>
    <w:rsid w:val="00D25D34"/>
    <w:rsid w:val="00D27ED0"/>
    <w:rsid w:val="00D376CE"/>
    <w:rsid w:val="00D4227D"/>
    <w:rsid w:val="00D44B2D"/>
    <w:rsid w:val="00D576FB"/>
    <w:rsid w:val="00D6229B"/>
    <w:rsid w:val="00D80A62"/>
    <w:rsid w:val="00D86796"/>
    <w:rsid w:val="00D87576"/>
    <w:rsid w:val="00DA23D3"/>
    <w:rsid w:val="00DC370D"/>
    <w:rsid w:val="00DE53A1"/>
    <w:rsid w:val="00DE5404"/>
    <w:rsid w:val="00E01530"/>
    <w:rsid w:val="00E028D5"/>
    <w:rsid w:val="00E11061"/>
    <w:rsid w:val="00E21DED"/>
    <w:rsid w:val="00E2531C"/>
    <w:rsid w:val="00E37467"/>
    <w:rsid w:val="00E44561"/>
    <w:rsid w:val="00E83BC2"/>
    <w:rsid w:val="00E92467"/>
    <w:rsid w:val="00E94B9A"/>
    <w:rsid w:val="00EA68E1"/>
    <w:rsid w:val="00EB32E7"/>
    <w:rsid w:val="00EB7110"/>
    <w:rsid w:val="00EC1B00"/>
    <w:rsid w:val="00EC548A"/>
    <w:rsid w:val="00ED21EE"/>
    <w:rsid w:val="00EE5A2E"/>
    <w:rsid w:val="00EF3A26"/>
    <w:rsid w:val="00F06737"/>
    <w:rsid w:val="00F15AFB"/>
    <w:rsid w:val="00F3058F"/>
    <w:rsid w:val="00F31632"/>
    <w:rsid w:val="00F44EAD"/>
    <w:rsid w:val="00F5401C"/>
    <w:rsid w:val="00F543A2"/>
    <w:rsid w:val="00F60043"/>
    <w:rsid w:val="00F61091"/>
    <w:rsid w:val="00F75C38"/>
    <w:rsid w:val="00F8322F"/>
    <w:rsid w:val="00F83F5D"/>
    <w:rsid w:val="00F86ECE"/>
    <w:rsid w:val="00F94312"/>
    <w:rsid w:val="00FC14B6"/>
    <w:rsid w:val="00FD418C"/>
    <w:rsid w:val="00FE24D3"/>
    <w:rsid w:val="00FE372C"/>
    <w:rsid w:val="00FE7154"/>
    <w:rsid w:val="00FF3F5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alutation" w:uiPriority="0"/>
    <w:lsdException w:name="Body Text 2" w:uiPriority="0"/>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548A"/>
    <w:pPr>
      <w:widowControl w:val="0"/>
    </w:pPr>
    <w:rPr>
      <w:rFonts w:ascii="Times New Roman" w:eastAsia="新細明體" w:hAnsi="Times New Roman" w:cs="Times New Roman"/>
      <w:szCs w:val="20"/>
    </w:rPr>
  </w:style>
  <w:style w:type="paragraph" w:styleId="10">
    <w:name w:val="heading 1"/>
    <w:basedOn w:val="a"/>
    <w:next w:val="a"/>
    <w:link w:val="11"/>
    <w:uiPriority w:val="9"/>
    <w:qFormat/>
    <w:rsid w:val="00CC126D"/>
    <w:pPr>
      <w:keepNext/>
      <w:spacing w:before="180" w:after="180" w:line="720" w:lineRule="auto"/>
      <w:outlineLvl w:val="0"/>
    </w:pPr>
    <w:rPr>
      <w:rFonts w:asciiTheme="majorHAnsi" w:eastAsiaTheme="majorEastAsia" w:hAnsiTheme="majorHAnsi" w:cstheme="majorBidi"/>
      <w:b/>
      <w:bCs/>
      <w:kern w:val="52"/>
      <w:sz w:val="32"/>
      <w:szCs w:val="52"/>
    </w:rPr>
  </w:style>
  <w:style w:type="paragraph" w:styleId="2">
    <w:name w:val="heading 2"/>
    <w:basedOn w:val="a"/>
    <w:next w:val="a"/>
    <w:link w:val="20"/>
    <w:uiPriority w:val="9"/>
    <w:semiHidden/>
    <w:unhideWhenUsed/>
    <w:qFormat/>
    <w:rsid w:val="004B35DC"/>
    <w:pPr>
      <w:keepNext/>
      <w:spacing w:line="720" w:lineRule="auto"/>
      <w:outlineLvl w:val="1"/>
    </w:pPr>
    <w:rPr>
      <w:rFonts w:asciiTheme="majorHAnsi" w:hAnsiTheme="majorHAnsi" w:cstheme="majorBidi"/>
      <w:b/>
      <w:bCs/>
      <w:sz w:val="28"/>
      <w:szCs w:val="48"/>
    </w:rPr>
  </w:style>
  <w:style w:type="paragraph" w:styleId="3">
    <w:name w:val="heading 3"/>
    <w:basedOn w:val="a"/>
    <w:next w:val="a"/>
    <w:link w:val="30"/>
    <w:qFormat/>
    <w:rsid w:val="00E2531C"/>
    <w:pPr>
      <w:keepNext/>
      <w:spacing w:line="720" w:lineRule="auto"/>
      <w:outlineLvl w:val="2"/>
    </w:pPr>
    <w:rPr>
      <w:rFonts w:ascii="Arial" w:hAnsi="Arial"/>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link w:val="a4"/>
    <w:rsid w:val="00EC548A"/>
    <w:rPr>
      <w:rFonts w:eastAsia="標楷體"/>
      <w:sz w:val="32"/>
    </w:rPr>
  </w:style>
  <w:style w:type="character" w:customStyle="1" w:styleId="a4">
    <w:name w:val="問候 字元"/>
    <w:basedOn w:val="a0"/>
    <w:link w:val="a3"/>
    <w:rsid w:val="00EC548A"/>
    <w:rPr>
      <w:rFonts w:ascii="Times New Roman" w:eastAsia="標楷體" w:hAnsi="Times New Roman" w:cs="Times New Roman"/>
      <w:sz w:val="32"/>
      <w:szCs w:val="20"/>
    </w:rPr>
  </w:style>
  <w:style w:type="paragraph" w:styleId="21">
    <w:name w:val="Body Text 2"/>
    <w:basedOn w:val="a"/>
    <w:link w:val="22"/>
    <w:rsid w:val="00EC548A"/>
    <w:pPr>
      <w:jc w:val="center"/>
    </w:pPr>
    <w:rPr>
      <w:rFonts w:eastAsia="標楷體"/>
      <w:sz w:val="48"/>
    </w:rPr>
  </w:style>
  <w:style w:type="character" w:customStyle="1" w:styleId="22">
    <w:name w:val="本文 2 字元"/>
    <w:basedOn w:val="a0"/>
    <w:link w:val="21"/>
    <w:rsid w:val="00EC548A"/>
    <w:rPr>
      <w:rFonts w:ascii="Times New Roman" w:eastAsia="標楷體" w:hAnsi="Times New Roman" w:cs="Times New Roman"/>
      <w:sz w:val="48"/>
      <w:szCs w:val="20"/>
    </w:rPr>
  </w:style>
  <w:style w:type="character" w:styleId="a5">
    <w:name w:val="Hyperlink"/>
    <w:uiPriority w:val="99"/>
    <w:rsid w:val="00EC548A"/>
    <w:rPr>
      <w:rFonts w:cs="Times New Roman"/>
      <w:color w:val="0000FF"/>
      <w:u w:val="single"/>
    </w:rPr>
  </w:style>
  <w:style w:type="paragraph" w:customStyle="1" w:styleId="a6">
    <w:name w:val="標題一"/>
    <w:basedOn w:val="10"/>
    <w:link w:val="a7"/>
    <w:rsid w:val="00EC548A"/>
    <w:rPr>
      <w:rFonts w:ascii="Arial" w:eastAsia="標楷體" w:hAnsi="Arial" w:cs="Times New Roman"/>
      <w:sz w:val="28"/>
    </w:rPr>
  </w:style>
  <w:style w:type="character" w:customStyle="1" w:styleId="a7">
    <w:name w:val="標題一 字元"/>
    <w:link w:val="a6"/>
    <w:locked/>
    <w:rsid w:val="00EC548A"/>
    <w:rPr>
      <w:rFonts w:ascii="Arial" w:eastAsia="標楷體" w:hAnsi="Arial" w:cs="Times New Roman"/>
      <w:b/>
      <w:bCs/>
      <w:kern w:val="52"/>
      <w:sz w:val="28"/>
      <w:szCs w:val="52"/>
    </w:rPr>
  </w:style>
  <w:style w:type="character" w:customStyle="1" w:styleId="11">
    <w:name w:val="標題 1 字元"/>
    <w:basedOn w:val="a0"/>
    <w:link w:val="10"/>
    <w:uiPriority w:val="9"/>
    <w:rsid w:val="00CC126D"/>
    <w:rPr>
      <w:rFonts w:asciiTheme="majorHAnsi" w:eastAsiaTheme="majorEastAsia" w:hAnsiTheme="majorHAnsi" w:cstheme="majorBidi"/>
      <w:b/>
      <w:bCs/>
      <w:kern w:val="52"/>
      <w:sz w:val="32"/>
      <w:szCs w:val="52"/>
    </w:rPr>
  </w:style>
  <w:style w:type="paragraph" w:styleId="a8">
    <w:name w:val="List Paragraph"/>
    <w:basedOn w:val="a"/>
    <w:uiPriority w:val="34"/>
    <w:qFormat/>
    <w:rsid w:val="00EC548A"/>
    <w:pPr>
      <w:ind w:leftChars="200" w:left="480"/>
    </w:pPr>
  </w:style>
  <w:style w:type="paragraph" w:styleId="a9">
    <w:name w:val="Body Text"/>
    <w:basedOn w:val="a"/>
    <w:link w:val="aa"/>
    <w:uiPriority w:val="99"/>
    <w:semiHidden/>
    <w:unhideWhenUsed/>
    <w:rsid w:val="00EC548A"/>
    <w:pPr>
      <w:spacing w:after="120"/>
    </w:pPr>
  </w:style>
  <w:style w:type="character" w:customStyle="1" w:styleId="aa">
    <w:name w:val="本文 字元"/>
    <w:basedOn w:val="a0"/>
    <w:link w:val="a9"/>
    <w:uiPriority w:val="99"/>
    <w:semiHidden/>
    <w:rsid w:val="00EC548A"/>
    <w:rPr>
      <w:rFonts w:ascii="Times New Roman" w:eastAsia="新細明體" w:hAnsi="Times New Roman" w:cs="Times New Roman"/>
      <w:szCs w:val="20"/>
    </w:rPr>
  </w:style>
  <w:style w:type="paragraph" w:styleId="Web">
    <w:name w:val="Normal (Web)"/>
    <w:basedOn w:val="a"/>
    <w:link w:val="Web0"/>
    <w:uiPriority w:val="99"/>
    <w:rsid w:val="00D376CE"/>
    <w:pPr>
      <w:widowControl/>
      <w:spacing w:before="100" w:beforeAutospacing="1" w:after="100" w:afterAutospacing="1"/>
    </w:pPr>
    <w:rPr>
      <w:rFonts w:ascii="新細明體" w:hAnsi="新細明體" w:cs="新細明體"/>
      <w:kern w:val="0"/>
      <w:szCs w:val="24"/>
    </w:rPr>
  </w:style>
  <w:style w:type="character" w:customStyle="1" w:styleId="Web0">
    <w:name w:val="內文 (Web) 字元"/>
    <w:link w:val="Web"/>
    <w:locked/>
    <w:rsid w:val="00D376CE"/>
    <w:rPr>
      <w:rFonts w:ascii="新細明體" w:eastAsia="新細明體" w:hAnsi="新細明體" w:cs="新細明體"/>
      <w:kern w:val="0"/>
      <w:szCs w:val="24"/>
    </w:rPr>
  </w:style>
  <w:style w:type="paragraph" w:customStyle="1" w:styleId="p1">
    <w:name w:val="p1"/>
    <w:basedOn w:val="a"/>
    <w:rsid w:val="00D376CE"/>
    <w:pPr>
      <w:widowControl/>
      <w:spacing w:before="100" w:beforeAutospacing="1" w:after="100" w:afterAutospacing="1"/>
    </w:pPr>
    <w:rPr>
      <w:kern w:val="0"/>
      <w:szCs w:val="24"/>
    </w:rPr>
  </w:style>
  <w:style w:type="paragraph" w:styleId="ab">
    <w:name w:val="Balloon Text"/>
    <w:basedOn w:val="a"/>
    <w:link w:val="ac"/>
    <w:uiPriority w:val="99"/>
    <w:semiHidden/>
    <w:unhideWhenUsed/>
    <w:rsid w:val="00D376CE"/>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D376CE"/>
    <w:rPr>
      <w:rFonts w:asciiTheme="majorHAnsi" w:eastAsiaTheme="majorEastAsia" w:hAnsiTheme="majorHAnsi" w:cstheme="majorBidi"/>
      <w:sz w:val="18"/>
      <w:szCs w:val="18"/>
    </w:rPr>
  </w:style>
  <w:style w:type="character" w:customStyle="1" w:styleId="apple-converted-space">
    <w:name w:val="apple-converted-space"/>
    <w:basedOn w:val="a0"/>
    <w:rsid w:val="008D7065"/>
  </w:style>
  <w:style w:type="paragraph" w:customStyle="1" w:styleId="1">
    <w:name w:val="標題1"/>
    <w:basedOn w:val="a8"/>
    <w:qFormat/>
    <w:rsid w:val="00717DD4"/>
    <w:pPr>
      <w:numPr>
        <w:numId w:val="2"/>
      </w:numPr>
      <w:snapToGrid w:val="0"/>
      <w:ind w:leftChars="0" w:left="0"/>
      <w:outlineLvl w:val="0"/>
    </w:pPr>
    <w:rPr>
      <w:b/>
      <w:sz w:val="32"/>
      <w:szCs w:val="32"/>
    </w:rPr>
  </w:style>
  <w:style w:type="character" w:styleId="ad">
    <w:name w:val="Emphasis"/>
    <w:uiPriority w:val="99"/>
    <w:qFormat/>
    <w:rsid w:val="00385CBB"/>
    <w:rPr>
      <w:rFonts w:cs="Times New Roman"/>
      <w:i/>
      <w:iCs/>
    </w:rPr>
  </w:style>
  <w:style w:type="character" w:customStyle="1" w:styleId="20">
    <w:name w:val="標題 2 字元"/>
    <w:basedOn w:val="a0"/>
    <w:link w:val="2"/>
    <w:uiPriority w:val="9"/>
    <w:semiHidden/>
    <w:rsid w:val="004B35DC"/>
    <w:rPr>
      <w:rFonts w:asciiTheme="majorHAnsi" w:eastAsia="新細明體" w:hAnsiTheme="majorHAnsi" w:cstheme="majorBidi"/>
      <w:b/>
      <w:bCs/>
      <w:sz w:val="28"/>
      <w:szCs w:val="48"/>
    </w:rPr>
  </w:style>
  <w:style w:type="paragraph" w:customStyle="1" w:styleId="23">
    <w:name w:val="標題2"/>
    <w:basedOn w:val="a"/>
    <w:qFormat/>
    <w:rsid w:val="004B35DC"/>
    <w:pPr>
      <w:snapToGrid w:val="0"/>
      <w:outlineLvl w:val="1"/>
    </w:pPr>
    <w:rPr>
      <w:rFonts w:eastAsia="細明體" w:hAnsi="細明體"/>
      <w:b/>
      <w:bCs/>
      <w:noProof/>
      <w:kern w:val="52"/>
      <w:sz w:val="28"/>
      <w:szCs w:val="28"/>
    </w:rPr>
  </w:style>
  <w:style w:type="paragraph" w:customStyle="1" w:styleId="31">
    <w:name w:val="標題3"/>
    <w:basedOn w:val="a"/>
    <w:qFormat/>
    <w:rsid w:val="004B35DC"/>
    <w:pPr>
      <w:snapToGrid w:val="0"/>
      <w:outlineLvl w:val="2"/>
    </w:pPr>
    <w:rPr>
      <w:rFonts w:eastAsia="細明體" w:hAnsi="細明體"/>
      <w:b/>
      <w:bCs/>
      <w:kern w:val="52"/>
      <w:szCs w:val="24"/>
    </w:rPr>
  </w:style>
  <w:style w:type="paragraph" w:styleId="ae">
    <w:name w:val="TOC Heading"/>
    <w:basedOn w:val="10"/>
    <w:next w:val="a"/>
    <w:uiPriority w:val="39"/>
    <w:semiHidden/>
    <w:unhideWhenUsed/>
    <w:qFormat/>
    <w:rsid w:val="001C0B3E"/>
    <w:pPr>
      <w:keepLines/>
      <w:widowControl/>
      <w:spacing w:before="480" w:after="0" w:line="276" w:lineRule="auto"/>
      <w:outlineLvl w:val="9"/>
    </w:pPr>
    <w:rPr>
      <w:color w:val="365F91" w:themeColor="accent1" w:themeShade="BF"/>
      <w:kern w:val="0"/>
      <w:sz w:val="28"/>
      <w:szCs w:val="28"/>
    </w:rPr>
  </w:style>
  <w:style w:type="paragraph" w:styleId="12">
    <w:name w:val="toc 1"/>
    <w:basedOn w:val="a"/>
    <w:next w:val="a"/>
    <w:autoRedefine/>
    <w:uiPriority w:val="39"/>
    <w:unhideWhenUsed/>
    <w:rsid w:val="00A04BC4"/>
    <w:pPr>
      <w:tabs>
        <w:tab w:val="left" w:pos="984"/>
        <w:tab w:val="right" w:leader="dot" w:pos="8680"/>
      </w:tabs>
    </w:pPr>
  </w:style>
  <w:style w:type="paragraph" w:styleId="24">
    <w:name w:val="toc 2"/>
    <w:basedOn w:val="a"/>
    <w:next w:val="a"/>
    <w:autoRedefine/>
    <w:uiPriority w:val="39"/>
    <w:unhideWhenUsed/>
    <w:rsid w:val="00FF3F51"/>
    <w:pPr>
      <w:tabs>
        <w:tab w:val="left" w:pos="1680"/>
        <w:tab w:val="left" w:pos="1843"/>
        <w:tab w:val="left" w:pos="2234"/>
        <w:tab w:val="right" w:leader="dot" w:pos="8680"/>
      </w:tabs>
      <w:ind w:leftChars="531" w:left="1689" w:hangingChars="173" w:hanging="415"/>
    </w:pPr>
  </w:style>
  <w:style w:type="paragraph" w:styleId="32">
    <w:name w:val="toc 3"/>
    <w:basedOn w:val="a"/>
    <w:next w:val="a"/>
    <w:autoRedefine/>
    <w:uiPriority w:val="39"/>
    <w:unhideWhenUsed/>
    <w:rsid w:val="004363CB"/>
    <w:pPr>
      <w:tabs>
        <w:tab w:val="left" w:pos="1843"/>
        <w:tab w:val="left" w:pos="2256"/>
        <w:tab w:val="right" w:leader="dot" w:pos="8680"/>
      </w:tabs>
      <w:ind w:leftChars="650" w:left="1560" w:firstLine="144"/>
    </w:pPr>
  </w:style>
  <w:style w:type="paragraph" w:styleId="af">
    <w:name w:val="header"/>
    <w:basedOn w:val="a"/>
    <w:link w:val="af0"/>
    <w:uiPriority w:val="99"/>
    <w:unhideWhenUsed/>
    <w:rsid w:val="00CE0B2F"/>
    <w:pPr>
      <w:tabs>
        <w:tab w:val="center" w:pos="4153"/>
        <w:tab w:val="right" w:pos="8306"/>
      </w:tabs>
      <w:snapToGrid w:val="0"/>
    </w:pPr>
    <w:rPr>
      <w:sz w:val="20"/>
    </w:rPr>
  </w:style>
  <w:style w:type="character" w:customStyle="1" w:styleId="af0">
    <w:name w:val="頁首 字元"/>
    <w:basedOn w:val="a0"/>
    <w:link w:val="af"/>
    <w:uiPriority w:val="99"/>
    <w:rsid w:val="00CE0B2F"/>
    <w:rPr>
      <w:rFonts w:ascii="Times New Roman" w:eastAsia="新細明體" w:hAnsi="Times New Roman" w:cs="Times New Roman"/>
      <w:sz w:val="20"/>
      <w:szCs w:val="20"/>
    </w:rPr>
  </w:style>
  <w:style w:type="paragraph" w:styleId="af1">
    <w:name w:val="footer"/>
    <w:basedOn w:val="a"/>
    <w:link w:val="af2"/>
    <w:uiPriority w:val="99"/>
    <w:unhideWhenUsed/>
    <w:rsid w:val="00CE0B2F"/>
    <w:pPr>
      <w:tabs>
        <w:tab w:val="center" w:pos="4153"/>
        <w:tab w:val="right" w:pos="8306"/>
      </w:tabs>
      <w:snapToGrid w:val="0"/>
    </w:pPr>
    <w:rPr>
      <w:sz w:val="20"/>
    </w:rPr>
  </w:style>
  <w:style w:type="character" w:customStyle="1" w:styleId="af2">
    <w:name w:val="頁尾 字元"/>
    <w:basedOn w:val="a0"/>
    <w:link w:val="af1"/>
    <w:uiPriority w:val="99"/>
    <w:rsid w:val="00CE0B2F"/>
    <w:rPr>
      <w:rFonts w:ascii="Times New Roman" w:eastAsia="新細明體" w:hAnsi="Times New Roman" w:cs="Times New Roman"/>
      <w:sz w:val="20"/>
      <w:szCs w:val="20"/>
    </w:rPr>
  </w:style>
  <w:style w:type="character" w:customStyle="1" w:styleId="30">
    <w:name w:val="標題 3 字元"/>
    <w:basedOn w:val="a0"/>
    <w:link w:val="3"/>
    <w:rsid w:val="00E2531C"/>
    <w:rPr>
      <w:rFonts w:ascii="Arial" w:eastAsia="新細明體" w:hAnsi="Arial" w:cs="Times New Roman"/>
      <w:b/>
      <w:bCs/>
      <w:sz w:val="36"/>
      <w:szCs w:val="36"/>
    </w:rPr>
  </w:style>
  <w:style w:type="paragraph" w:styleId="af3">
    <w:name w:val="Note Heading"/>
    <w:basedOn w:val="a"/>
    <w:next w:val="a"/>
    <w:link w:val="af4"/>
    <w:uiPriority w:val="99"/>
    <w:unhideWhenUsed/>
    <w:rsid w:val="00D1618E"/>
    <w:pPr>
      <w:jc w:val="center"/>
    </w:pPr>
    <w:rPr>
      <w:rFonts w:eastAsia="細明體" w:hAnsi="細明體"/>
      <w:b/>
      <w:bCs/>
      <w:kern w:val="52"/>
      <w:szCs w:val="24"/>
    </w:rPr>
  </w:style>
  <w:style w:type="character" w:customStyle="1" w:styleId="af4">
    <w:name w:val="註釋標題 字元"/>
    <w:basedOn w:val="a0"/>
    <w:link w:val="af3"/>
    <w:uiPriority w:val="99"/>
    <w:rsid w:val="00D1618E"/>
    <w:rPr>
      <w:rFonts w:ascii="Times New Roman" w:eastAsia="細明體" w:hAnsi="細明體" w:cs="Times New Roman"/>
      <w:b/>
      <w:bCs/>
      <w:kern w:val="52"/>
      <w:szCs w:val="24"/>
    </w:rPr>
  </w:style>
  <w:style w:type="paragraph" w:styleId="af5">
    <w:name w:val="Closing"/>
    <w:basedOn w:val="a"/>
    <w:link w:val="af6"/>
    <w:uiPriority w:val="99"/>
    <w:unhideWhenUsed/>
    <w:rsid w:val="00D1618E"/>
    <w:pPr>
      <w:ind w:leftChars="1800" w:left="100"/>
    </w:pPr>
    <w:rPr>
      <w:rFonts w:eastAsia="細明體" w:hAnsi="細明體"/>
      <w:b/>
      <w:bCs/>
      <w:kern w:val="52"/>
      <w:szCs w:val="24"/>
    </w:rPr>
  </w:style>
  <w:style w:type="character" w:customStyle="1" w:styleId="af6">
    <w:name w:val="結語 字元"/>
    <w:basedOn w:val="a0"/>
    <w:link w:val="af5"/>
    <w:uiPriority w:val="99"/>
    <w:rsid w:val="00D1618E"/>
    <w:rPr>
      <w:rFonts w:ascii="Times New Roman" w:eastAsia="細明體" w:hAnsi="細明體" w:cs="Times New Roman"/>
      <w:b/>
      <w:bCs/>
      <w:kern w:val="52"/>
      <w:szCs w:val="24"/>
    </w:rPr>
  </w:style>
  <w:style w:type="paragraph" w:styleId="af7">
    <w:name w:val="footnote text"/>
    <w:basedOn w:val="a"/>
    <w:link w:val="af8"/>
    <w:uiPriority w:val="99"/>
    <w:unhideWhenUsed/>
    <w:rsid w:val="003D4A48"/>
    <w:pPr>
      <w:snapToGrid w:val="0"/>
    </w:pPr>
    <w:rPr>
      <w:rFonts w:asciiTheme="minorHAnsi" w:eastAsiaTheme="minorEastAsia" w:hAnsiTheme="minorHAnsi" w:cstheme="minorBidi"/>
      <w:sz w:val="20"/>
    </w:rPr>
  </w:style>
  <w:style w:type="character" w:customStyle="1" w:styleId="af8">
    <w:name w:val="註腳文字 字元"/>
    <w:basedOn w:val="a0"/>
    <w:link w:val="af7"/>
    <w:uiPriority w:val="99"/>
    <w:rsid w:val="003D4A48"/>
    <w:rPr>
      <w:sz w:val="20"/>
      <w:szCs w:val="20"/>
    </w:rPr>
  </w:style>
  <w:style w:type="character" w:styleId="af9">
    <w:name w:val="footnote reference"/>
    <w:basedOn w:val="a0"/>
    <w:uiPriority w:val="99"/>
    <w:semiHidden/>
    <w:unhideWhenUsed/>
    <w:rsid w:val="003D4A4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alutation" w:uiPriority="0"/>
    <w:lsdException w:name="Body Text 2" w:uiPriority="0"/>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548A"/>
    <w:pPr>
      <w:widowControl w:val="0"/>
    </w:pPr>
    <w:rPr>
      <w:rFonts w:ascii="Times New Roman" w:eastAsia="新細明體" w:hAnsi="Times New Roman" w:cs="Times New Roman"/>
      <w:szCs w:val="20"/>
    </w:rPr>
  </w:style>
  <w:style w:type="paragraph" w:styleId="10">
    <w:name w:val="heading 1"/>
    <w:basedOn w:val="a"/>
    <w:next w:val="a"/>
    <w:link w:val="11"/>
    <w:uiPriority w:val="9"/>
    <w:qFormat/>
    <w:rsid w:val="00CC126D"/>
    <w:pPr>
      <w:keepNext/>
      <w:spacing w:before="180" w:after="180" w:line="720" w:lineRule="auto"/>
      <w:outlineLvl w:val="0"/>
    </w:pPr>
    <w:rPr>
      <w:rFonts w:asciiTheme="majorHAnsi" w:eastAsiaTheme="majorEastAsia" w:hAnsiTheme="majorHAnsi" w:cstheme="majorBidi"/>
      <w:b/>
      <w:bCs/>
      <w:kern w:val="52"/>
      <w:sz w:val="32"/>
      <w:szCs w:val="52"/>
    </w:rPr>
  </w:style>
  <w:style w:type="paragraph" w:styleId="2">
    <w:name w:val="heading 2"/>
    <w:basedOn w:val="a"/>
    <w:next w:val="a"/>
    <w:link w:val="20"/>
    <w:uiPriority w:val="9"/>
    <w:semiHidden/>
    <w:unhideWhenUsed/>
    <w:qFormat/>
    <w:rsid w:val="004B35DC"/>
    <w:pPr>
      <w:keepNext/>
      <w:spacing w:line="720" w:lineRule="auto"/>
      <w:outlineLvl w:val="1"/>
    </w:pPr>
    <w:rPr>
      <w:rFonts w:asciiTheme="majorHAnsi" w:hAnsiTheme="majorHAnsi" w:cstheme="majorBidi"/>
      <w:b/>
      <w:bCs/>
      <w:sz w:val="28"/>
      <w:szCs w:val="48"/>
    </w:rPr>
  </w:style>
  <w:style w:type="paragraph" w:styleId="3">
    <w:name w:val="heading 3"/>
    <w:basedOn w:val="a"/>
    <w:next w:val="a"/>
    <w:link w:val="30"/>
    <w:qFormat/>
    <w:rsid w:val="00E2531C"/>
    <w:pPr>
      <w:keepNext/>
      <w:spacing w:line="720" w:lineRule="auto"/>
      <w:outlineLvl w:val="2"/>
    </w:pPr>
    <w:rPr>
      <w:rFonts w:ascii="Arial" w:hAnsi="Arial"/>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link w:val="a4"/>
    <w:rsid w:val="00EC548A"/>
    <w:rPr>
      <w:rFonts w:eastAsia="標楷體"/>
      <w:sz w:val="32"/>
    </w:rPr>
  </w:style>
  <w:style w:type="character" w:customStyle="1" w:styleId="a4">
    <w:name w:val="問候 字元"/>
    <w:basedOn w:val="a0"/>
    <w:link w:val="a3"/>
    <w:rsid w:val="00EC548A"/>
    <w:rPr>
      <w:rFonts w:ascii="Times New Roman" w:eastAsia="標楷體" w:hAnsi="Times New Roman" w:cs="Times New Roman"/>
      <w:sz w:val="32"/>
      <w:szCs w:val="20"/>
    </w:rPr>
  </w:style>
  <w:style w:type="paragraph" w:styleId="21">
    <w:name w:val="Body Text 2"/>
    <w:basedOn w:val="a"/>
    <w:link w:val="22"/>
    <w:rsid w:val="00EC548A"/>
    <w:pPr>
      <w:jc w:val="center"/>
    </w:pPr>
    <w:rPr>
      <w:rFonts w:eastAsia="標楷體"/>
      <w:sz w:val="48"/>
    </w:rPr>
  </w:style>
  <w:style w:type="character" w:customStyle="1" w:styleId="22">
    <w:name w:val="本文 2 字元"/>
    <w:basedOn w:val="a0"/>
    <w:link w:val="21"/>
    <w:rsid w:val="00EC548A"/>
    <w:rPr>
      <w:rFonts w:ascii="Times New Roman" w:eastAsia="標楷體" w:hAnsi="Times New Roman" w:cs="Times New Roman"/>
      <w:sz w:val="48"/>
      <w:szCs w:val="20"/>
    </w:rPr>
  </w:style>
  <w:style w:type="character" w:styleId="a5">
    <w:name w:val="Hyperlink"/>
    <w:uiPriority w:val="99"/>
    <w:rsid w:val="00EC548A"/>
    <w:rPr>
      <w:rFonts w:cs="Times New Roman"/>
      <w:color w:val="0000FF"/>
      <w:u w:val="single"/>
    </w:rPr>
  </w:style>
  <w:style w:type="paragraph" w:customStyle="1" w:styleId="a6">
    <w:name w:val="標題一"/>
    <w:basedOn w:val="10"/>
    <w:link w:val="a7"/>
    <w:rsid w:val="00EC548A"/>
    <w:rPr>
      <w:rFonts w:ascii="Arial" w:eastAsia="標楷體" w:hAnsi="Arial" w:cs="Times New Roman"/>
      <w:sz w:val="28"/>
    </w:rPr>
  </w:style>
  <w:style w:type="character" w:customStyle="1" w:styleId="a7">
    <w:name w:val="標題一 字元"/>
    <w:link w:val="a6"/>
    <w:locked/>
    <w:rsid w:val="00EC548A"/>
    <w:rPr>
      <w:rFonts w:ascii="Arial" w:eastAsia="標楷體" w:hAnsi="Arial" w:cs="Times New Roman"/>
      <w:b/>
      <w:bCs/>
      <w:kern w:val="52"/>
      <w:sz w:val="28"/>
      <w:szCs w:val="52"/>
    </w:rPr>
  </w:style>
  <w:style w:type="character" w:customStyle="1" w:styleId="11">
    <w:name w:val="標題 1 字元"/>
    <w:basedOn w:val="a0"/>
    <w:link w:val="10"/>
    <w:uiPriority w:val="9"/>
    <w:rsid w:val="00CC126D"/>
    <w:rPr>
      <w:rFonts w:asciiTheme="majorHAnsi" w:eastAsiaTheme="majorEastAsia" w:hAnsiTheme="majorHAnsi" w:cstheme="majorBidi"/>
      <w:b/>
      <w:bCs/>
      <w:kern w:val="52"/>
      <w:sz w:val="32"/>
      <w:szCs w:val="52"/>
    </w:rPr>
  </w:style>
  <w:style w:type="paragraph" w:styleId="a8">
    <w:name w:val="List Paragraph"/>
    <w:basedOn w:val="a"/>
    <w:uiPriority w:val="34"/>
    <w:qFormat/>
    <w:rsid w:val="00EC548A"/>
    <w:pPr>
      <w:ind w:leftChars="200" w:left="480"/>
    </w:pPr>
  </w:style>
  <w:style w:type="paragraph" w:styleId="a9">
    <w:name w:val="Body Text"/>
    <w:basedOn w:val="a"/>
    <w:link w:val="aa"/>
    <w:uiPriority w:val="99"/>
    <w:semiHidden/>
    <w:unhideWhenUsed/>
    <w:rsid w:val="00EC548A"/>
    <w:pPr>
      <w:spacing w:after="120"/>
    </w:pPr>
  </w:style>
  <w:style w:type="character" w:customStyle="1" w:styleId="aa">
    <w:name w:val="本文 字元"/>
    <w:basedOn w:val="a0"/>
    <w:link w:val="a9"/>
    <w:uiPriority w:val="99"/>
    <w:semiHidden/>
    <w:rsid w:val="00EC548A"/>
    <w:rPr>
      <w:rFonts w:ascii="Times New Roman" w:eastAsia="新細明體" w:hAnsi="Times New Roman" w:cs="Times New Roman"/>
      <w:szCs w:val="20"/>
    </w:rPr>
  </w:style>
  <w:style w:type="paragraph" w:styleId="Web">
    <w:name w:val="Normal (Web)"/>
    <w:basedOn w:val="a"/>
    <w:link w:val="Web0"/>
    <w:uiPriority w:val="99"/>
    <w:rsid w:val="00D376CE"/>
    <w:pPr>
      <w:widowControl/>
      <w:spacing w:before="100" w:beforeAutospacing="1" w:after="100" w:afterAutospacing="1"/>
    </w:pPr>
    <w:rPr>
      <w:rFonts w:ascii="新細明體" w:hAnsi="新細明體" w:cs="新細明體"/>
      <w:kern w:val="0"/>
      <w:szCs w:val="24"/>
    </w:rPr>
  </w:style>
  <w:style w:type="character" w:customStyle="1" w:styleId="Web0">
    <w:name w:val="內文 (Web) 字元"/>
    <w:link w:val="Web"/>
    <w:locked/>
    <w:rsid w:val="00D376CE"/>
    <w:rPr>
      <w:rFonts w:ascii="新細明體" w:eastAsia="新細明體" w:hAnsi="新細明體" w:cs="新細明體"/>
      <w:kern w:val="0"/>
      <w:szCs w:val="24"/>
    </w:rPr>
  </w:style>
  <w:style w:type="paragraph" w:customStyle="1" w:styleId="p1">
    <w:name w:val="p1"/>
    <w:basedOn w:val="a"/>
    <w:rsid w:val="00D376CE"/>
    <w:pPr>
      <w:widowControl/>
      <w:spacing w:before="100" w:beforeAutospacing="1" w:after="100" w:afterAutospacing="1"/>
    </w:pPr>
    <w:rPr>
      <w:kern w:val="0"/>
      <w:szCs w:val="24"/>
    </w:rPr>
  </w:style>
  <w:style w:type="paragraph" w:styleId="ab">
    <w:name w:val="Balloon Text"/>
    <w:basedOn w:val="a"/>
    <w:link w:val="ac"/>
    <w:uiPriority w:val="99"/>
    <w:semiHidden/>
    <w:unhideWhenUsed/>
    <w:rsid w:val="00D376CE"/>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D376CE"/>
    <w:rPr>
      <w:rFonts w:asciiTheme="majorHAnsi" w:eastAsiaTheme="majorEastAsia" w:hAnsiTheme="majorHAnsi" w:cstheme="majorBidi"/>
      <w:sz w:val="18"/>
      <w:szCs w:val="18"/>
    </w:rPr>
  </w:style>
  <w:style w:type="character" w:customStyle="1" w:styleId="apple-converted-space">
    <w:name w:val="apple-converted-space"/>
    <w:basedOn w:val="a0"/>
    <w:rsid w:val="008D7065"/>
  </w:style>
  <w:style w:type="paragraph" w:customStyle="1" w:styleId="1">
    <w:name w:val="標題1"/>
    <w:basedOn w:val="a8"/>
    <w:qFormat/>
    <w:rsid w:val="00717DD4"/>
    <w:pPr>
      <w:numPr>
        <w:numId w:val="2"/>
      </w:numPr>
      <w:snapToGrid w:val="0"/>
      <w:ind w:leftChars="0" w:left="0"/>
      <w:outlineLvl w:val="0"/>
    </w:pPr>
    <w:rPr>
      <w:b/>
      <w:sz w:val="32"/>
      <w:szCs w:val="32"/>
    </w:rPr>
  </w:style>
  <w:style w:type="character" w:styleId="ad">
    <w:name w:val="Emphasis"/>
    <w:uiPriority w:val="99"/>
    <w:qFormat/>
    <w:rsid w:val="00385CBB"/>
    <w:rPr>
      <w:rFonts w:cs="Times New Roman"/>
      <w:i/>
      <w:iCs/>
    </w:rPr>
  </w:style>
  <w:style w:type="character" w:customStyle="1" w:styleId="20">
    <w:name w:val="標題 2 字元"/>
    <w:basedOn w:val="a0"/>
    <w:link w:val="2"/>
    <w:uiPriority w:val="9"/>
    <w:semiHidden/>
    <w:rsid w:val="004B35DC"/>
    <w:rPr>
      <w:rFonts w:asciiTheme="majorHAnsi" w:eastAsia="新細明體" w:hAnsiTheme="majorHAnsi" w:cstheme="majorBidi"/>
      <w:b/>
      <w:bCs/>
      <w:sz w:val="28"/>
      <w:szCs w:val="48"/>
    </w:rPr>
  </w:style>
  <w:style w:type="paragraph" w:customStyle="1" w:styleId="23">
    <w:name w:val="標題2"/>
    <w:basedOn w:val="a"/>
    <w:qFormat/>
    <w:rsid w:val="004B35DC"/>
    <w:pPr>
      <w:snapToGrid w:val="0"/>
      <w:outlineLvl w:val="1"/>
    </w:pPr>
    <w:rPr>
      <w:rFonts w:eastAsia="細明體" w:hAnsi="細明體"/>
      <w:b/>
      <w:bCs/>
      <w:noProof/>
      <w:kern w:val="52"/>
      <w:sz w:val="28"/>
      <w:szCs w:val="28"/>
    </w:rPr>
  </w:style>
  <w:style w:type="paragraph" w:customStyle="1" w:styleId="31">
    <w:name w:val="標題3"/>
    <w:basedOn w:val="a"/>
    <w:qFormat/>
    <w:rsid w:val="004B35DC"/>
    <w:pPr>
      <w:snapToGrid w:val="0"/>
      <w:outlineLvl w:val="2"/>
    </w:pPr>
    <w:rPr>
      <w:rFonts w:eastAsia="細明體" w:hAnsi="細明體"/>
      <w:b/>
      <w:bCs/>
      <w:kern w:val="52"/>
      <w:szCs w:val="24"/>
    </w:rPr>
  </w:style>
  <w:style w:type="paragraph" w:styleId="ae">
    <w:name w:val="TOC Heading"/>
    <w:basedOn w:val="10"/>
    <w:next w:val="a"/>
    <w:uiPriority w:val="39"/>
    <w:semiHidden/>
    <w:unhideWhenUsed/>
    <w:qFormat/>
    <w:rsid w:val="001C0B3E"/>
    <w:pPr>
      <w:keepLines/>
      <w:widowControl/>
      <w:spacing w:before="480" w:after="0" w:line="276" w:lineRule="auto"/>
      <w:outlineLvl w:val="9"/>
    </w:pPr>
    <w:rPr>
      <w:color w:val="365F91" w:themeColor="accent1" w:themeShade="BF"/>
      <w:kern w:val="0"/>
      <w:sz w:val="28"/>
      <w:szCs w:val="28"/>
    </w:rPr>
  </w:style>
  <w:style w:type="paragraph" w:styleId="12">
    <w:name w:val="toc 1"/>
    <w:basedOn w:val="a"/>
    <w:next w:val="a"/>
    <w:autoRedefine/>
    <w:uiPriority w:val="39"/>
    <w:unhideWhenUsed/>
    <w:rsid w:val="00A04BC4"/>
    <w:pPr>
      <w:tabs>
        <w:tab w:val="left" w:pos="984"/>
        <w:tab w:val="right" w:leader="dot" w:pos="8680"/>
      </w:tabs>
    </w:pPr>
  </w:style>
  <w:style w:type="paragraph" w:styleId="24">
    <w:name w:val="toc 2"/>
    <w:basedOn w:val="a"/>
    <w:next w:val="a"/>
    <w:autoRedefine/>
    <w:uiPriority w:val="39"/>
    <w:unhideWhenUsed/>
    <w:rsid w:val="00FF3F51"/>
    <w:pPr>
      <w:tabs>
        <w:tab w:val="left" w:pos="1680"/>
        <w:tab w:val="left" w:pos="1843"/>
        <w:tab w:val="left" w:pos="2234"/>
        <w:tab w:val="right" w:leader="dot" w:pos="8680"/>
      </w:tabs>
      <w:ind w:leftChars="531" w:left="1689" w:hangingChars="173" w:hanging="415"/>
    </w:pPr>
  </w:style>
  <w:style w:type="paragraph" w:styleId="32">
    <w:name w:val="toc 3"/>
    <w:basedOn w:val="a"/>
    <w:next w:val="a"/>
    <w:autoRedefine/>
    <w:uiPriority w:val="39"/>
    <w:unhideWhenUsed/>
    <w:rsid w:val="004363CB"/>
    <w:pPr>
      <w:tabs>
        <w:tab w:val="left" w:pos="1843"/>
        <w:tab w:val="left" w:pos="2256"/>
        <w:tab w:val="right" w:leader="dot" w:pos="8680"/>
      </w:tabs>
      <w:ind w:leftChars="650" w:left="1560" w:firstLine="144"/>
    </w:pPr>
  </w:style>
  <w:style w:type="paragraph" w:styleId="af">
    <w:name w:val="header"/>
    <w:basedOn w:val="a"/>
    <w:link w:val="af0"/>
    <w:uiPriority w:val="99"/>
    <w:unhideWhenUsed/>
    <w:rsid w:val="00CE0B2F"/>
    <w:pPr>
      <w:tabs>
        <w:tab w:val="center" w:pos="4153"/>
        <w:tab w:val="right" w:pos="8306"/>
      </w:tabs>
      <w:snapToGrid w:val="0"/>
    </w:pPr>
    <w:rPr>
      <w:sz w:val="20"/>
    </w:rPr>
  </w:style>
  <w:style w:type="character" w:customStyle="1" w:styleId="af0">
    <w:name w:val="頁首 字元"/>
    <w:basedOn w:val="a0"/>
    <w:link w:val="af"/>
    <w:uiPriority w:val="99"/>
    <w:rsid w:val="00CE0B2F"/>
    <w:rPr>
      <w:rFonts w:ascii="Times New Roman" w:eastAsia="新細明體" w:hAnsi="Times New Roman" w:cs="Times New Roman"/>
      <w:sz w:val="20"/>
      <w:szCs w:val="20"/>
    </w:rPr>
  </w:style>
  <w:style w:type="paragraph" w:styleId="af1">
    <w:name w:val="footer"/>
    <w:basedOn w:val="a"/>
    <w:link w:val="af2"/>
    <w:uiPriority w:val="99"/>
    <w:unhideWhenUsed/>
    <w:rsid w:val="00CE0B2F"/>
    <w:pPr>
      <w:tabs>
        <w:tab w:val="center" w:pos="4153"/>
        <w:tab w:val="right" w:pos="8306"/>
      </w:tabs>
      <w:snapToGrid w:val="0"/>
    </w:pPr>
    <w:rPr>
      <w:sz w:val="20"/>
    </w:rPr>
  </w:style>
  <w:style w:type="character" w:customStyle="1" w:styleId="af2">
    <w:name w:val="頁尾 字元"/>
    <w:basedOn w:val="a0"/>
    <w:link w:val="af1"/>
    <w:uiPriority w:val="99"/>
    <w:rsid w:val="00CE0B2F"/>
    <w:rPr>
      <w:rFonts w:ascii="Times New Roman" w:eastAsia="新細明體" w:hAnsi="Times New Roman" w:cs="Times New Roman"/>
      <w:sz w:val="20"/>
      <w:szCs w:val="20"/>
    </w:rPr>
  </w:style>
  <w:style w:type="character" w:customStyle="1" w:styleId="30">
    <w:name w:val="標題 3 字元"/>
    <w:basedOn w:val="a0"/>
    <w:link w:val="3"/>
    <w:rsid w:val="00E2531C"/>
    <w:rPr>
      <w:rFonts w:ascii="Arial" w:eastAsia="新細明體" w:hAnsi="Arial" w:cs="Times New Roman"/>
      <w:b/>
      <w:bCs/>
      <w:sz w:val="36"/>
      <w:szCs w:val="36"/>
    </w:rPr>
  </w:style>
  <w:style w:type="paragraph" w:styleId="af3">
    <w:name w:val="Note Heading"/>
    <w:basedOn w:val="a"/>
    <w:next w:val="a"/>
    <w:link w:val="af4"/>
    <w:uiPriority w:val="99"/>
    <w:unhideWhenUsed/>
    <w:rsid w:val="00D1618E"/>
    <w:pPr>
      <w:jc w:val="center"/>
    </w:pPr>
    <w:rPr>
      <w:rFonts w:eastAsia="細明體" w:hAnsi="細明體"/>
      <w:b/>
      <w:bCs/>
      <w:kern w:val="52"/>
      <w:szCs w:val="24"/>
    </w:rPr>
  </w:style>
  <w:style w:type="character" w:customStyle="1" w:styleId="af4">
    <w:name w:val="註釋標題 字元"/>
    <w:basedOn w:val="a0"/>
    <w:link w:val="af3"/>
    <w:uiPriority w:val="99"/>
    <w:rsid w:val="00D1618E"/>
    <w:rPr>
      <w:rFonts w:ascii="Times New Roman" w:eastAsia="細明體" w:hAnsi="細明體" w:cs="Times New Roman"/>
      <w:b/>
      <w:bCs/>
      <w:kern w:val="52"/>
      <w:szCs w:val="24"/>
    </w:rPr>
  </w:style>
  <w:style w:type="paragraph" w:styleId="af5">
    <w:name w:val="Closing"/>
    <w:basedOn w:val="a"/>
    <w:link w:val="af6"/>
    <w:uiPriority w:val="99"/>
    <w:unhideWhenUsed/>
    <w:rsid w:val="00D1618E"/>
    <w:pPr>
      <w:ind w:leftChars="1800" w:left="100"/>
    </w:pPr>
    <w:rPr>
      <w:rFonts w:eastAsia="細明體" w:hAnsi="細明體"/>
      <w:b/>
      <w:bCs/>
      <w:kern w:val="52"/>
      <w:szCs w:val="24"/>
    </w:rPr>
  </w:style>
  <w:style w:type="character" w:customStyle="1" w:styleId="af6">
    <w:name w:val="結語 字元"/>
    <w:basedOn w:val="a0"/>
    <w:link w:val="af5"/>
    <w:uiPriority w:val="99"/>
    <w:rsid w:val="00D1618E"/>
    <w:rPr>
      <w:rFonts w:ascii="Times New Roman" w:eastAsia="細明體" w:hAnsi="細明體" w:cs="Times New Roman"/>
      <w:b/>
      <w:bCs/>
      <w:kern w:val="52"/>
      <w:szCs w:val="24"/>
    </w:rPr>
  </w:style>
  <w:style w:type="paragraph" w:styleId="af7">
    <w:name w:val="footnote text"/>
    <w:basedOn w:val="a"/>
    <w:link w:val="af8"/>
    <w:uiPriority w:val="99"/>
    <w:unhideWhenUsed/>
    <w:rsid w:val="003D4A48"/>
    <w:pPr>
      <w:snapToGrid w:val="0"/>
    </w:pPr>
    <w:rPr>
      <w:rFonts w:asciiTheme="minorHAnsi" w:eastAsiaTheme="minorEastAsia" w:hAnsiTheme="minorHAnsi" w:cstheme="minorBidi"/>
      <w:sz w:val="20"/>
    </w:rPr>
  </w:style>
  <w:style w:type="character" w:customStyle="1" w:styleId="af8">
    <w:name w:val="註腳文字 字元"/>
    <w:basedOn w:val="a0"/>
    <w:link w:val="af7"/>
    <w:uiPriority w:val="99"/>
    <w:rsid w:val="003D4A48"/>
    <w:rPr>
      <w:sz w:val="20"/>
      <w:szCs w:val="20"/>
    </w:rPr>
  </w:style>
  <w:style w:type="character" w:styleId="af9">
    <w:name w:val="footnote reference"/>
    <w:basedOn w:val="a0"/>
    <w:uiPriority w:val="99"/>
    <w:semiHidden/>
    <w:unhideWhenUsed/>
    <w:rsid w:val="003D4A4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9749136">
      <w:bodyDiv w:val="1"/>
      <w:marLeft w:val="0"/>
      <w:marRight w:val="0"/>
      <w:marTop w:val="0"/>
      <w:marBottom w:val="0"/>
      <w:divBdr>
        <w:top w:val="none" w:sz="0" w:space="0" w:color="auto"/>
        <w:left w:val="none" w:sz="0" w:space="0" w:color="auto"/>
        <w:bottom w:val="none" w:sz="0" w:space="0" w:color="auto"/>
        <w:right w:val="none" w:sz="0" w:space="0" w:color="auto"/>
      </w:divBdr>
      <w:divsChild>
        <w:div w:id="793409757">
          <w:marLeft w:val="0"/>
          <w:marRight w:val="0"/>
          <w:marTop w:val="120"/>
          <w:marBottom w:val="0"/>
          <w:divBdr>
            <w:top w:val="none" w:sz="0" w:space="0" w:color="auto"/>
            <w:left w:val="none" w:sz="0" w:space="0" w:color="auto"/>
            <w:bottom w:val="none" w:sz="0" w:space="0" w:color="auto"/>
            <w:right w:val="none" w:sz="0" w:space="0" w:color="auto"/>
          </w:divBdr>
        </w:div>
        <w:div w:id="1755322611">
          <w:marLeft w:val="0"/>
          <w:marRight w:val="0"/>
          <w:marTop w:val="120"/>
          <w:marBottom w:val="0"/>
          <w:divBdr>
            <w:top w:val="none" w:sz="0" w:space="0" w:color="auto"/>
            <w:left w:val="none" w:sz="0" w:space="0" w:color="auto"/>
            <w:bottom w:val="none" w:sz="0" w:space="0" w:color="auto"/>
            <w:right w:val="none" w:sz="0" w:space="0" w:color="auto"/>
          </w:divBdr>
        </w:div>
        <w:div w:id="1054474385">
          <w:marLeft w:val="0"/>
          <w:marRight w:val="0"/>
          <w:marTop w:val="120"/>
          <w:marBottom w:val="0"/>
          <w:divBdr>
            <w:top w:val="none" w:sz="0" w:space="0" w:color="auto"/>
            <w:left w:val="none" w:sz="0" w:space="0" w:color="auto"/>
            <w:bottom w:val="none" w:sz="0" w:space="0" w:color="auto"/>
            <w:right w:val="none" w:sz="0" w:space="0" w:color="auto"/>
          </w:divBdr>
        </w:div>
        <w:div w:id="1274628602">
          <w:marLeft w:val="0"/>
          <w:marRight w:val="0"/>
          <w:marTop w:val="120"/>
          <w:marBottom w:val="0"/>
          <w:divBdr>
            <w:top w:val="none" w:sz="0" w:space="0" w:color="auto"/>
            <w:left w:val="none" w:sz="0" w:space="0" w:color="auto"/>
            <w:bottom w:val="none" w:sz="0" w:space="0" w:color="auto"/>
            <w:right w:val="none" w:sz="0" w:space="0" w:color="auto"/>
          </w:divBdr>
        </w:div>
      </w:divsChild>
    </w:div>
    <w:div w:id="1320114655">
      <w:bodyDiv w:val="1"/>
      <w:marLeft w:val="0"/>
      <w:marRight w:val="0"/>
      <w:marTop w:val="0"/>
      <w:marBottom w:val="0"/>
      <w:divBdr>
        <w:top w:val="none" w:sz="0" w:space="0" w:color="auto"/>
        <w:left w:val="none" w:sz="0" w:space="0" w:color="auto"/>
        <w:bottom w:val="none" w:sz="0" w:space="0" w:color="auto"/>
        <w:right w:val="none" w:sz="0" w:space="0" w:color="auto"/>
      </w:divBdr>
      <w:divsChild>
        <w:div w:id="763385174">
          <w:marLeft w:val="0"/>
          <w:marRight w:val="0"/>
          <w:marTop w:val="120"/>
          <w:marBottom w:val="0"/>
          <w:divBdr>
            <w:top w:val="none" w:sz="0" w:space="0" w:color="auto"/>
            <w:left w:val="none" w:sz="0" w:space="0" w:color="auto"/>
            <w:bottom w:val="none" w:sz="0" w:space="0" w:color="auto"/>
            <w:right w:val="none" w:sz="0" w:space="0" w:color="auto"/>
          </w:divBdr>
        </w:div>
        <w:div w:id="1950887859">
          <w:marLeft w:val="0"/>
          <w:marRight w:val="0"/>
          <w:marTop w:val="120"/>
          <w:marBottom w:val="0"/>
          <w:divBdr>
            <w:top w:val="none" w:sz="0" w:space="0" w:color="auto"/>
            <w:left w:val="none" w:sz="0" w:space="0" w:color="auto"/>
            <w:bottom w:val="none" w:sz="0" w:space="0" w:color="auto"/>
            <w:right w:val="none" w:sz="0" w:space="0" w:color="auto"/>
          </w:divBdr>
        </w:div>
        <w:div w:id="1993832634">
          <w:marLeft w:val="0"/>
          <w:marRight w:val="0"/>
          <w:marTop w:val="120"/>
          <w:marBottom w:val="0"/>
          <w:divBdr>
            <w:top w:val="none" w:sz="0" w:space="0" w:color="auto"/>
            <w:left w:val="none" w:sz="0" w:space="0" w:color="auto"/>
            <w:bottom w:val="none" w:sz="0" w:space="0" w:color="auto"/>
            <w:right w:val="none" w:sz="0" w:space="0" w:color="auto"/>
          </w:divBdr>
        </w:div>
        <w:div w:id="619072556">
          <w:marLeft w:val="0"/>
          <w:marRight w:val="0"/>
          <w:marTop w:val="12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image" Target="media/image10.jpeg"/><Relationship Id="rId3" Type="http://schemas.openxmlformats.org/officeDocument/2006/relationships/styles" Target="styles.xml"/><Relationship Id="rId21" Type="http://schemas.openxmlformats.org/officeDocument/2006/relationships/image" Target="media/image13.jpeg"/><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2.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7.jpeg"/><Relationship Id="rId23" Type="http://schemas.openxmlformats.org/officeDocument/2006/relationships/footer" Target="footer1.xml"/><Relationship Id="rId10" Type="http://schemas.openxmlformats.org/officeDocument/2006/relationships/image" Target="media/image2.jpeg"/><Relationship Id="rId19" Type="http://schemas.openxmlformats.org/officeDocument/2006/relationships/image" Target="media/image11.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image" Target="media/image14.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ACB5D3-4E0F-46F0-9A4C-4C08770ABE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1099</Words>
  <Characters>6267</Characters>
  <Application>Microsoft Office Word</Application>
  <DocSecurity>0</DocSecurity>
  <Lines>52</Lines>
  <Paragraphs>14</Paragraphs>
  <ScaleCrop>false</ScaleCrop>
  <Company/>
  <LinksUpToDate>false</LinksUpToDate>
  <CharactersWithSpaces>7352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洪麗婷liting</dc:creator>
  <cp:lastModifiedBy>李明機mglee</cp:lastModifiedBy>
  <cp:revision>2</cp:revision>
  <cp:lastPrinted>2015-01-06T02:59:00Z</cp:lastPrinted>
  <dcterms:created xsi:type="dcterms:W3CDTF">2015-01-19T04:12:00Z</dcterms:created>
  <dcterms:modified xsi:type="dcterms:W3CDTF">2015-01-19T04:12:00Z</dcterms:modified>
</cp:coreProperties>
</file>