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410" w:rsidRPr="00273E7B" w:rsidRDefault="00B86410" w:rsidP="00B86410">
      <w:pPr>
        <w:pStyle w:val="1"/>
        <w:spacing w:line="400" w:lineRule="exact"/>
      </w:pPr>
      <w:bookmarkStart w:id="0" w:name="_Toc407444937"/>
      <w:bookmarkStart w:id="1" w:name="_Toc408301468"/>
      <w:bookmarkStart w:id="2" w:name="_GoBack"/>
      <w:bookmarkEnd w:id="2"/>
      <w:r>
        <w:rPr>
          <w:rFonts w:hint="eastAsia"/>
        </w:rPr>
        <w:t>附錄二</w:t>
      </w:r>
      <w:r>
        <w:rPr>
          <w:rFonts w:hint="eastAsia"/>
        </w:rPr>
        <w:t xml:space="preserve">  </w:t>
      </w:r>
      <w:r w:rsidRPr="00D1618E">
        <w:rPr>
          <w:rFonts w:hint="eastAsia"/>
        </w:rPr>
        <w:t>香港證監期貨架構市場與概況</w:t>
      </w:r>
      <w:bookmarkEnd w:id="0"/>
      <w:bookmarkEnd w:id="1"/>
    </w:p>
    <w:p w:rsidR="00B86410" w:rsidRPr="00A22407" w:rsidRDefault="00B86410" w:rsidP="00B86410">
      <w:pPr>
        <w:spacing w:line="400" w:lineRule="exact"/>
        <w:rPr>
          <w:b/>
          <w:sz w:val="28"/>
          <w:szCs w:val="28"/>
        </w:rPr>
      </w:pPr>
      <w:r w:rsidRPr="00A22407">
        <w:rPr>
          <w:rFonts w:hint="eastAsia"/>
          <w:b/>
          <w:sz w:val="28"/>
          <w:szCs w:val="28"/>
        </w:rPr>
        <w:t>香港證券期貨市場架構</w:t>
      </w:r>
    </w:p>
    <w:p w:rsidR="00B86410" w:rsidRPr="00B86410" w:rsidRDefault="00B86410" w:rsidP="00B86410">
      <w:pPr>
        <w:widowControl/>
        <w:spacing w:before="100" w:beforeAutospacing="1" w:after="100" w:afterAutospacing="1" w:line="440" w:lineRule="exact"/>
        <w:ind w:firstLine="539"/>
        <w:jc w:val="both"/>
        <w:textAlignment w:val="baseline"/>
        <w:rPr>
          <w:rFonts w:ascii="新細明體" w:hAnsi="新細明體" w:cs="細明體"/>
          <w:kern w:val="0"/>
          <w:szCs w:val="24"/>
        </w:rPr>
      </w:pPr>
      <w:r w:rsidRPr="00890624">
        <w:rPr>
          <w:rFonts w:ascii="新細明體" w:hAnsi="新細明體" w:cs="細明體" w:hint="eastAsia"/>
          <w:kern w:val="0"/>
          <w:szCs w:val="24"/>
        </w:rPr>
        <w:t>香港交易及結算所有限公司（香港交易所）是香港聯合交易所有限公司、香港期貨交易所有限公司和香港中央結算有限公司的控股公司。香港交易所於</w:t>
      </w:r>
      <w:r w:rsidRPr="00890624">
        <w:rPr>
          <w:rFonts w:ascii="新細明體" w:hAnsi="新細明體" w:cs="細明體"/>
          <w:kern w:val="0"/>
          <w:szCs w:val="24"/>
        </w:rPr>
        <w:t>2000</w:t>
      </w:r>
      <w:r w:rsidRPr="00890624">
        <w:rPr>
          <w:rFonts w:ascii="新細明體" w:hAnsi="新細明體" w:cs="細明體" w:hint="eastAsia"/>
          <w:kern w:val="0"/>
          <w:szCs w:val="24"/>
        </w:rPr>
        <w:t>年</w:t>
      </w:r>
      <w:r w:rsidRPr="00890624">
        <w:rPr>
          <w:rFonts w:ascii="新細明體" w:hAnsi="新細明體" w:cs="細明體"/>
          <w:kern w:val="0"/>
          <w:szCs w:val="24"/>
        </w:rPr>
        <w:t>6</w:t>
      </w:r>
      <w:r w:rsidRPr="00890624">
        <w:rPr>
          <w:rFonts w:ascii="新細明體" w:hAnsi="新細明體" w:cs="細明體" w:hint="eastAsia"/>
          <w:kern w:val="0"/>
          <w:szCs w:val="24"/>
        </w:rPr>
        <w:t>月、香港的證券及期貨市場完成合併之後上市。香港交易所的業務運作分由多個專責部門執行，由管理層和董事會直接領導及監察。董事會是最高決策機關，負責制定香港交易所的目標、使命、策略、政策和業務規劃，並監察管理層的執行工作。</w:t>
      </w:r>
    </w:p>
    <w:p w:rsidR="00B86410" w:rsidRDefault="00B86410" w:rsidP="00B86410">
      <w:pPr>
        <w:widowControl/>
        <w:spacing w:before="100" w:beforeAutospacing="1" w:after="100" w:afterAutospacing="1" w:line="440" w:lineRule="exact"/>
        <w:ind w:firstLine="539"/>
        <w:jc w:val="both"/>
        <w:textAlignment w:val="baseline"/>
        <w:rPr>
          <w:rFonts w:eastAsia="細明體" w:hAnsi="細明體" w:cs="細明體"/>
          <w:kern w:val="0"/>
          <w:szCs w:val="24"/>
        </w:rPr>
      </w:pPr>
      <w:r w:rsidRPr="00320151">
        <w:rPr>
          <w:rFonts w:eastAsia="細明體" w:hAnsi="細明體" w:cs="細明體" w:hint="eastAsia"/>
          <w:kern w:val="0"/>
          <w:szCs w:val="24"/>
        </w:rPr>
        <w:t>香港交易所是香港中央證券及衍生產品市場的營運機構兼前線監管機構，職責範圍包括：監管上市發行人；執行上市、交易及結算規則；以及主要在機構層面向交易所及結算所的客戶提供服務。交易所及結算所的客戶包括發行人及直接服務投資者的中介人，例如</w:t>
      </w:r>
      <w:r w:rsidRPr="00320151">
        <w:rPr>
          <w:rFonts w:eastAsia="細明體" w:hAnsi="細明體" w:cs="細明體"/>
          <w:kern w:val="0"/>
          <w:szCs w:val="24"/>
        </w:rPr>
        <w:t xml:space="preserve"> - </w:t>
      </w:r>
      <w:r w:rsidRPr="00320151">
        <w:rPr>
          <w:rFonts w:eastAsia="細明體" w:hAnsi="細明體" w:cs="細明體" w:hint="eastAsia"/>
          <w:kern w:val="0"/>
          <w:szCs w:val="24"/>
        </w:rPr>
        <w:t>投資銀行或保薦人、證券及衍生產品經紀、託管銀行和資訊供應商等。而交易所及結算所提供的服務則包括交易、結算及交收、存管及代理人以及資訊服務。</w:t>
      </w:r>
    </w:p>
    <w:p w:rsidR="00B86410" w:rsidRPr="00890624" w:rsidRDefault="00B86410" w:rsidP="00B86410">
      <w:pPr>
        <w:widowControl/>
        <w:spacing w:before="100" w:beforeAutospacing="1" w:after="100" w:afterAutospacing="1" w:line="400" w:lineRule="exact"/>
        <w:ind w:firstLine="539"/>
        <w:jc w:val="both"/>
        <w:textAlignment w:val="baseline"/>
        <w:rPr>
          <w:rFonts w:eastAsia="細明體" w:hAnsi="細明體" w:cs="細明體"/>
          <w:kern w:val="0"/>
          <w:szCs w:val="24"/>
        </w:rPr>
      </w:pPr>
    </w:p>
    <w:p w:rsidR="00B86410" w:rsidRPr="00890624" w:rsidRDefault="00B86410" w:rsidP="00B86410">
      <w:pPr>
        <w:spacing w:before="100" w:beforeAutospacing="1" w:after="100" w:afterAutospacing="1" w:line="400" w:lineRule="atLeast"/>
        <w:ind w:firstLineChars="200" w:firstLine="480"/>
        <w:jc w:val="center"/>
        <w:rPr>
          <w:rFonts w:eastAsia="細明體"/>
          <w:b/>
          <w:szCs w:val="24"/>
        </w:rPr>
      </w:pPr>
      <w:r w:rsidRPr="00320151">
        <w:rPr>
          <w:rFonts w:eastAsia="細明體" w:hAnsi="細明體" w:hint="eastAsia"/>
          <w:b/>
          <w:szCs w:val="24"/>
          <w:u w:val="single"/>
        </w:rPr>
        <w:t>香港證券期貨市場架構</w:t>
      </w:r>
      <w:r w:rsidRPr="00320151">
        <w:rPr>
          <w:rFonts w:eastAsia="細明體" w:hAnsi="細明體" w:hint="eastAsia"/>
          <w:b/>
          <w:szCs w:val="24"/>
        </w:rPr>
        <w:t>：</w:t>
      </w:r>
    </w:p>
    <w:p w:rsidR="00B86410" w:rsidRDefault="00B86410" w:rsidP="00B86410">
      <w:pPr>
        <w:rPr>
          <w:b/>
          <w:sz w:val="26"/>
          <w:szCs w:val="26"/>
        </w:rPr>
      </w:pPr>
      <w:r>
        <w:rPr>
          <w:rFonts w:eastAsia="細明體" w:hint="eastAsia"/>
          <w:b/>
          <w:noProof/>
          <w:szCs w:val="24"/>
        </w:rPr>
        <w:drawing>
          <wp:inline distT="0" distB="0" distL="0" distR="0" wp14:anchorId="66C02404" wp14:editId="7432A9C2">
            <wp:extent cx="5402580" cy="3284220"/>
            <wp:effectExtent l="0" t="0" r="7620" b="0"/>
            <wp:docPr id="34" name="圖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2580" cy="3284220"/>
                    </a:xfrm>
                    <a:prstGeom prst="rect">
                      <a:avLst/>
                    </a:prstGeom>
                    <a:noFill/>
                    <a:ln>
                      <a:noFill/>
                    </a:ln>
                  </pic:spPr>
                </pic:pic>
              </a:graphicData>
            </a:graphic>
          </wp:inline>
        </w:drawing>
      </w:r>
    </w:p>
    <w:p w:rsidR="00B86410" w:rsidRDefault="00B86410" w:rsidP="00B86410">
      <w:pPr>
        <w:rPr>
          <w:b/>
          <w:sz w:val="26"/>
          <w:szCs w:val="26"/>
        </w:rPr>
      </w:pPr>
    </w:p>
    <w:p w:rsidR="00B86410" w:rsidRDefault="00B86410" w:rsidP="00B86410">
      <w:pPr>
        <w:spacing w:line="400" w:lineRule="exact"/>
        <w:rPr>
          <w:b/>
          <w:sz w:val="28"/>
          <w:szCs w:val="28"/>
        </w:rPr>
      </w:pPr>
      <w:r w:rsidRPr="00A22407">
        <w:rPr>
          <w:rFonts w:hint="eastAsia"/>
          <w:b/>
          <w:sz w:val="28"/>
          <w:szCs w:val="28"/>
        </w:rPr>
        <w:lastRenderedPageBreak/>
        <w:t>香港證券期貨業市場概況</w:t>
      </w:r>
    </w:p>
    <w:p w:rsidR="00B86410" w:rsidRPr="00940669" w:rsidRDefault="00B86410" w:rsidP="00B86410">
      <w:pPr>
        <w:spacing w:line="400" w:lineRule="exact"/>
        <w:rPr>
          <w:rFonts w:eastAsia="細明體" w:hAnsi="細明體"/>
          <w:b/>
          <w:szCs w:val="36"/>
        </w:rPr>
      </w:pPr>
      <w:r w:rsidRPr="00940669">
        <w:rPr>
          <w:rFonts w:eastAsia="細明體" w:hAnsi="細明體" w:hint="eastAsia"/>
          <w:b/>
          <w:szCs w:val="36"/>
        </w:rPr>
        <w:t>證券市場</w:t>
      </w:r>
      <w:r w:rsidRPr="00940669">
        <w:rPr>
          <w:rFonts w:eastAsia="細明體" w:hAnsi="細明體" w:hint="eastAsia"/>
          <w:b/>
          <w:szCs w:val="36"/>
        </w:rPr>
        <w:t>:</w:t>
      </w:r>
    </w:p>
    <w:p w:rsidR="00B86410" w:rsidRPr="00B86410" w:rsidRDefault="00B86410" w:rsidP="00B86410">
      <w:pPr>
        <w:pStyle w:val="a3"/>
        <w:numPr>
          <w:ilvl w:val="0"/>
          <w:numId w:val="1"/>
        </w:numPr>
        <w:spacing w:line="400" w:lineRule="exact"/>
        <w:ind w:leftChars="0" w:left="1333" w:hanging="482"/>
        <w:rPr>
          <w:rFonts w:ascii="新細明體" w:hAnsi="新細明體"/>
          <w:szCs w:val="24"/>
        </w:rPr>
      </w:pPr>
      <w:r w:rsidRPr="00B86410">
        <w:rPr>
          <w:rFonts w:ascii="新細明體" w:hAnsi="新細明體" w:hint="eastAsia"/>
          <w:szCs w:val="24"/>
        </w:rPr>
        <w:t>2014年首十一個月的平均每日成交金額為668.95億元，較去年同期的630.97億元上升6%。</w:t>
      </w:r>
    </w:p>
    <w:p w:rsidR="00B86410" w:rsidRPr="00B86410" w:rsidRDefault="00B86410" w:rsidP="00B86410">
      <w:pPr>
        <w:pStyle w:val="a3"/>
        <w:numPr>
          <w:ilvl w:val="0"/>
          <w:numId w:val="1"/>
        </w:numPr>
        <w:spacing w:line="400" w:lineRule="exact"/>
        <w:ind w:leftChars="0" w:left="1333" w:hanging="482"/>
        <w:rPr>
          <w:rFonts w:ascii="新細明體" w:hAnsi="新細明體"/>
          <w:szCs w:val="24"/>
        </w:rPr>
      </w:pPr>
      <w:r w:rsidRPr="00B86410">
        <w:rPr>
          <w:rFonts w:ascii="新細明體" w:hAnsi="新細明體" w:hint="eastAsia"/>
          <w:szCs w:val="24"/>
        </w:rPr>
        <w:t>2014年首十一個月有105*家新上市公司，較去年同期的78*家上升35%。</w:t>
      </w:r>
    </w:p>
    <w:p w:rsidR="00B86410" w:rsidRPr="00B86410" w:rsidRDefault="00B86410" w:rsidP="00B86410">
      <w:pPr>
        <w:pStyle w:val="a3"/>
        <w:numPr>
          <w:ilvl w:val="0"/>
          <w:numId w:val="1"/>
        </w:numPr>
        <w:spacing w:line="400" w:lineRule="exact"/>
        <w:ind w:leftChars="0" w:left="1333" w:hanging="482"/>
        <w:rPr>
          <w:rFonts w:ascii="新細明體" w:hAnsi="新細明體"/>
          <w:szCs w:val="24"/>
        </w:rPr>
      </w:pPr>
      <w:r w:rsidRPr="00B86410">
        <w:rPr>
          <w:rFonts w:ascii="新細明體" w:hAnsi="新細明體" w:hint="eastAsia"/>
          <w:szCs w:val="24"/>
        </w:rPr>
        <w:t>2014年首十一個月的首次公開招股集資金額為1,410.15億元，較去年同期的965.58億元上升46%。</w:t>
      </w:r>
    </w:p>
    <w:p w:rsidR="00B86410" w:rsidRPr="00B86410" w:rsidRDefault="00B86410" w:rsidP="00B86410">
      <w:pPr>
        <w:pStyle w:val="a3"/>
        <w:numPr>
          <w:ilvl w:val="0"/>
          <w:numId w:val="1"/>
        </w:numPr>
        <w:spacing w:line="400" w:lineRule="exact"/>
        <w:ind w:leftChars="0" w:left="1333" w:hanging="482"/>
        <w:rPr>
          <w:rFonts w:ascii="新細明體" w:hAnsi="新細明體"/>
          <w:szCs w:val="24"/>
        </w:rPr>
      </w:pPr>
      <w:r w:rsidRPr="00B86410">
        <w:rPr>
          <w:rFonts w:ascii="新細明體" w:hAnsi="新細明體" w:hint="eastAsia"/>
          <w:szCs w:val="24"/>
        </w:rPr>
        <w:t>2014年首十一個月的首次公開招股集資金額為1,410.15億元，較去年同期的965.58億元上升46%。</w:t>
      </w:r>
    </w:p>
    <w:p w:rsidR="00B86410" w:rsidRPr="00B86410" w:rsidRDefault="00B86410" w:rsidP="00B86410">
      <w:pPr>
        <w:pStyle w:val="a3"/>
        <w:numPr>
          <w:ilvl w:val="0"/>
          <w:numId w:val="1"/>
        </w:numPr>
        <w:spacing w:line="400" w:lineRule="exact"/>
        <w:ind w:leftChars="0" w:left="1333" w:hanging="482"/>
        <w:rPr>
          <w:rFonts w:ascii="新細明體" w:hAnsi="新細明體"/>
          <w:szCs w:val="24"/>
        </w:rPr>
      </w:pPr>
      <w:r w:rsidRPr="00B86410">
        <w:rPr>
          <w:rFonts w:ascii="新細明體" w:hAnsi="新細明體" w:hint="eastAsia"/>
          <w:szCs w:val="24"/>
        </w:rPr>
        <w:t>2014年首十一個月的總集資金額(包括首次公開招股集資金額)為7,288.36億元，較去年同期的2,726.97億元上升167%。</w:t>
      </w:r>
    </w:p>
    <w:p w:rsidR="00B86410" w:rsidRPr="00B86410" w:rsidRDefault="00B86410" w:rsidP="00B86410">
      <w:pPr>
        <w:spacing w:line="400" w:lineRule="exact"/>
        <w:rPr>
          <w:rFonts w:ascii="新細明體" w:hAnsi="新細明體"/>
          <w:b/>
          <w:szCs w:val="24"/>
        </w:rPr>
      </w:pPr>
      <w:r w:rsidRPr="00B86410">
        <w:rPr>
          <w:rFonts w:ascii="新細明體" w:hAnsi="新細明體" w:hint="eastAsia"/>
          <w:b/>
          <w:szCs w:val="24"/>
        </w:rPr>
        <w:t>衍生產品市場:</w:t>
      </w:r>
    </w:p>
    <w:p w:rsidR="00B86410" w:rsidRPr="00B86410" w:rsidRDefault="00B86410" w:rsidP="00B86410">
      <w:pPr>
        <w:pStyle w:val="a3"/>
        <w:numPr>
          <w:ilvl w:val="0"/>
          <w:numId w:val="2"/>
        </w:numPr>
        <w:spacing w:line="400" w:lineRule="exact"/>
        <w:ind w:leftChars="0"/>
        <w:rPr>
          <w:rFonts w:ascii="新細明體" w:hAnsi="新細明體"/>
          <w:szCs w:val="24"/>
        </w:rPr>
      </w:pPr>
      <w:r w:rsidRPr="00B86410">
        <w:rPr>
          <w:rFonts w:ascii="新細明體" w:hAnsi="新細明體" w:hint="eastAsia"/>
          <w:szCs w:val="24"/>
        </w:rPr>
        <w:t>2014年首十一個月的期貨及期權平均每日成交量為549,365張合約，較去年同期的534,944張上升3%。</w:t>
      </w:r>
    </w:p>
    <w:p w:rsidR="00B86410" w:rsidRPr="00B86410" w:rsidRDefault="00B86410" w:rsidP="00B86410">
      <w:pPr>
        <w:pStyle w:val="a3"/>
        <w:numPr>
          <w:ilvl w:val="0"/>
          <w:numId w:val="2"/>
        </w:numPr>
        <w:spacing w:line="400" w:lineRule="exact"/>
        <w:ind w:leftChars="0"/>
        <w:rPr>
          <w:rFonts w:ascii="新細明體" w:hAnsi="新細明體"/>
          <w:szCs w:val="24"/>
        </w:rPr>
      </w:pPr>
      <w:r w:rsidRPr="00B86410">
        <w:rPr>
          <w:rFonts w:ascii="新細明體" w:hAnsi="新細明體" w:hint="eastAsia"/>
          <w:szCs w:val="24"/>
        </w:rPr>
        <w:t>2014年首十一個月的人民幣貨幣期貨平均每日成交量為788張合約，較去年同期的567張上升39%。</w:t>
      </w:r>
    </w:p>
    <w:p w:rsidR="00B86410" w:rsidRPr="00B86410" w:rsidRDefault="00B86410" w:rsidP="00B86410">
      <w:pPr>
        <w:pStyle w:val="a3"/>
        <w:numPr>
          <w:ilvl w:val="0"/>
          <w:numId w:val="2"/>
        </w:numPr>
        <w:spacing w:line="400" w:lineRule="exact"/>
        <w:ind w:leftChars="0"/>
        <w:rPr>
          <w:rFonts w:ascii="新細明體" w:hAnsi="新細明體"/>
          <w:szCs w:val="24"/>
        </w:rPr>
      </w:pPr>
      <w:r w:rsidRPr="00B86410">
        <w:rPr>
          <w:rFonts w:ascii="新細明體" w:hAnsi="新細明體" w:hint="eastAsia"/>
          <w:szCs w:val="24"/>
        </w:rPr>
        <w:t>2014年首十一個月的小型H股指數期貨平均每日成交量為12,415張合約，較去年同期的9,198張上升35%。</w:t>
      </w:r>
    </w:p>
    <w:p w:rsidR="00B86410" w:rsidRPr="00B86410" w:rsidRDefault="00B86410" w:rsidP="00B86410">
      <w:pPr>
        <w:pStyle w:val="a3"/>
        <w:numPr>
          <w:ilvl w:val="0"/>
          <w:numId w:val="2"/>
        </w:numPr>
        <w:spacing w:line="400" w:lineRule="exact"/>
        <w:ind w:leftChars="0"/>
        <w:rPr>
          <w:rFonts w:ascii="新細明體" w:hAnsi="新細明體"/>
          <w:szCs w:val="24"/>
        </w:rPr>
      </w:pPr>
      <w:r w:rsidRPr="00B86410">
        <w:rPr>
          <w:rFonts w:ascii="新細明體" w:hAnsi="新細明體" w:hint="eastAsia"/>
          <w:szCs w:val="24"/>
        </w:rPr>
        <w:t>2014年11月24日，小型H股指數期貨成交及未平倉合約分別創下25,652張 及7,833張合約的歷史新高。</w:t>
      </w:r>
    </w:p>
    <w:p w:rsidR="00B86410" w:rsidRPr="00B86410" w:rsidRDefault="00B86410" w:rsidP="00B86410">
      <w:pPr>
        <w:spacing w:line="400" w:lineRule="exact"/>
        <w:ind w:left="851"/>
        <w:rPr>
          <w:rFonts w:ascii="新細明體" w:hAnsi="新細明體"/>
          <w:szCs w:val="24"/>
        </w:rPr>
      </w:pPr>
      <w:r w:rsidRPr="00B86410">
        <w:rPr>
          <w:rFonts w:ascii="新細明體" w:hAnsi="新細明體" w:hint="eastAsia"/>
          <w:szCs w:val="24"/>
        </w:rPr>
        <w:t>註 :  包括由創業板轉到主板的上市公司。</w:t>
      </w:r>
    </w:p>
    <w:p w:rsidR="00B86410" w:rsidRPr="002F34C4" w:rsidRDefault="00B86410" w:rsidP="00B86410">
      <w:pPr>
        <w:spacing w:line="460" w:lineRule="exact"/>
        <w:jc w:val="both"/>
        <w:rPr>
          <w:rFonts w:ascii="新細明體" w:hAnsi="新細明體"/>
          <w:szCs w:val="24"/>
        </w:rPr>
      </w:pPr>
      <w:r w:rsidRPr="00940669">
        <w:rPr>
          <w:rFonts w:eastAsia="細明體" w:hAnsi="細明體" w:hint="eastAsia"/>
          <w:b/>
          <w:szCs w:val="36"/>
        </w:rPr>
        <w:t>上市證券</w:t>
      </w:r>
      <w:r w:rsidRPr="00940669">
        <w:rPr>
          <w:rFonts w:eastAsia="細明體" w:hAnsi="細明體" w:hint="eastAsia"/>
          <w:b/>
          <w:szCs w:val="36"/>
        </w:rPr>
        <w:t xml:space="preserve"> (</w:t>
      </w:r>
      <w:r w:rsidRPr="00940669">
        <w:rPr>
          <w:rFonts w:eastAsia="細明體" w:hAnsi="細明體" w:hint="eastAsia"/>
          <w:b/>
          <w:szCs w:val="36"/>
        </w:rPr>
        <w:t>主板及創業板</w:t>
      </w:r>
      <w:r w:rsidRPr="00940669">
        <w:rPr>
          <w:rFonts w:eastAsia="細明體" w:hAnsi="細明體" w:hint="eastAsia"/>
          <w:b/>
          <w:szCs w:val="36"/>
        </w:rPr>
        <w:t>):</w:t>
      </w:r>
    </w:p>
    <w:tbl>
      <w:tblPr>
        <w:tblpPr w:leftFromText="180" w:rightFromText="180" w:vertAnchor="page" w:horzAnchor="margin" w:tblpY="10715"/>
        <w:tblW w:w="7395" w:type="dxa"/>
        <w:tblBorders>
          <w:top w:val="single" w:sz="6" w:space="0" w:color="CCCCCC"/>
          <w:left w:val="single" w:sz="6" w:space="0" w:color="CCCCCC"/>
          <w:bottom w:val="single" w:sz="6" w:space="0" w:color="CCCCCC"/>
          <w:right w:val="single" w:sz="6" w:space="0" w:color="CCCCCC"/>
        </w:tblBorders>
        <w:shd w:val="clear" w:color="auto" w:fill="FFFFFF"/>
        <w:tblCellMar>
          <w:left w:w="0" w:type="dxa"/>
          <w:right w:w="0" w:type="dxa"/>
        </w:tblCellMar>
        <w:tblLook w:val="04A0" w:firstRow="1" w:lastRow="0" w:firstColumn="1" w:lastColumn="0" w:noHBand="0" w:noVBand="1"/>
        <w:tblDescription w:val=""/>
      </w:tblPr>
      <w:tblGrid>
        <w:gridCol w:w="2641"/>
        <w:gridCol w:w="1733"/>
        <w:gridCol w:w="1733"/>
        <w:gridCol w:w="1288"/>
      </w:tblGrid>
      <w:tr w:rsidR="00B86410" w:rsidRPr="00CC359E" w:rsidTr="00B86410">
        <w:tc>
          <w:tcPr>
            <w:tcW w:w="0" w:type="auto"/>
            <w:tcBorders>
              <w:top w:val="single" w:sz="6" w:space="0" w:color="CCCCCC"/>
              <w:left w:val="single" w:sz="6" w:space="0" w:color="CCCCCC"/>
              <w:bottom w:val="single" w:sz="6" w:space="0" w:color="CCCCCC"/>
              <w:right w:val="single" w:sz="6" w:space="0" w:color="CCCCCC"/>
            </w:tcBorders>
            <w:shd w:val="clear" w:color="auto" w:fill="CFE0F2"/>
            <w:tcMar>
              <w:top w:w="30" w:type="dxa"/>
              <w:left w:w="0" w:type="dxa"/>
              <w:bottom w:w="30" w:type="dxa"/>
              <w:right w:w="0" w:type="dxa"/>
            </w:tcMar>
            <w:hideMark/>
          </w:tcPr>
          <w:p w:rsidR="00B86410" w:rsidRPr="00CC359E" w:rsidRDefault="00B86410" w:rsidP="00B86410">
            <w:pPr>
              <w:widowControl/>
              <w:spacing w:line="240" w:lineRule="atLeast"/>
              <w:rPr>
                <w:rFonts w:ascii="新細明體" w:hAnsi="新細明體" w:cs="新細明體"/>
                <w:b/>
                <w:bCs/>
                <w:color w:val="333333"/>
                <w:spacing w:val="29"/>
                <w:kern w:val="0"/>
                <w:szCs w:val="24"/>
              </w:rPr>
            </w:pPr>
            <w:r w:rsidRPr="00CC359E">
              <w:rPr>
                <w:rFonts w:ascii="新細明體" w:hAnsi="新細明體" w:cs="新細明體" w:hint="eastAsia"/>
                <w:b/>
                <w:bCs/>
                <w:color w:val="333333"/>
                <w:spacing w:val="29"/>
                <w:kern w:val="0"/>
                <w:szCs w:val="24"/>
              </w:rPr>
              <w:t> </w:t>
            </w:r>
          </w:p>
        </w:tc>
        <w:tc>
          <w:tcPr>
            <w:tcW w:w="0" w:type="auto"/>
            <w:tcBorders>
              <w:top w:val="single" w:sz="6" w:space="0" w:color="CCCCCC"/>
              <w:left w:val="single" w:sz="6" w:space="0" w:color="CCCCCC"/>
              <w:bottom w:val="single" w:sz="6" w:space="0" w:color="CCCCCC"/>
              <w:right w:val="single" w:sz="6" w:space="0" w:color="CCCCCC"/>
            </w:tcBorders>
            <w:shd w:val="clear" w:color="auto" w:fill="CFE0F2"/>
            <w:tcMar>
              <w:top w:w="30" w:type="dxa"/>
              <w:left w:w="0" w:type="dxa"/>
              <w:bottom w:w="30" w:type="dxa"/>
              <w:right w:w="0" w:type="dxa"/>
            </w:tcMar>
            <w:hideMark/>
          </w:tcPr>
          <w:p w:rsidR="00B86410" w:rsidRPr="00CC359E" w:rsidRDefault="00B86410" w:rsidP="00B86410">
            <w:pPr>
              <w:widowControl/>
              <w:spacing w:line="240" w:lineRule="atLeast"/>
              <w:jc w:val="right"/>
              <w:rPr>
                <w:rFonts w:ascii="新細明體" w:hAnsi="新細明體" w:cs="新細明體"/>
                <w:b/>
                <w:bCs/>
                <w:color w:val="333333"/>
                <w:spacing w:val="29"/>
                <w:kern w:val="0"/>
                <w:szCs w:val="24"/>
              </w:rPr>
            </w:pPr>
            <w:r w:rsidRPr="00CC359E">
              <w:rPr>
                <w:rFonts w:ascii="新細明體" w:hAnsi="新細明體" w:cs="新細明體" w:hint="eastAsia"/>
                <w:b/>
                <w:bCs/>
                <w:color w:val="333333"/>
                <w:spacing w:val="29"/>
                <w:kern w:val="0"/>
                <w:szCs w:val="24"/>
              </w:rPr>
              <w:t>2014年</w:t>
            </w:r>
            <w:r w:rsidRPr="00CC359E">
              <w:rPr>
                <w:rFonts w:ascii="新細明體" w:hAnsi="新細明體" w:cs="新細明體" w:hint="eastAsia"/>
                <w:b/>
                <w:bCs/>
                <w:color w:val="333333"/>
                <w:spacing w:val="29"/>
                <w:kern w:val="0"/>
                <w:szCs w:val="24"/>
                <w:lang w:val="en-GB"/>
              </w:rPr>
              <w:t>11</w:t>
            </w:r>
            <w:r w:rsidRPr="00CC359E">
              <w:rPr>
                <w:rFonts w:ascii="新細明體" w:hAnsi="新細明體" w:cs="新細明體" w:hint="eastAsia"/>
                <w:b/>
                <w:bCs/>
                <w:color w:val="333333"/>
                <w:spacing w:val="29"/>
                <w:kern w:val="0"/>
                <w:szCs w:val="24"/>
              </w:rPr>
              <w:t>月</w:t>
            </w:r>
          </w:p>
        </w:tc>
        <w:tc>
          <w:tcPr>
            <w:tcW w:w="0" w:type="auto"/>
            <w:tcBorders>
              <w:top w:val="single" w:sz="6" w:space="0" w:color="CCCCCC"/>
              <w:left w:val="single" w:sz="6" w:space="0" w:color="CCCCCC"/>
              <w:bottom w:val="single" w:sz="6" w:space="0" w:color="CCCCCC"/>
              <w:right w:val="single" w:sz="6" w:space="0" w:color="CCCCCC"/>
            </w:tcBorders>
            <w:shd w:val="clear" w:color="auto" w:fill="CFE0F2"/>
            <w:tcMar>
              <w:top w:w="30" w:type="dxa"/>
              <w:left w:w="0" w:type="dxa"/>
              <w:bottom w:w="30" w:type="dxa"/>
              <w:right w:w="0" w:type="dxa"/>
            </w:tcMar>
            <w:hideMark/>
          </w:tcPr>
          <w:p w:rsidR="00B86410" w:rsidRPr="00CC359E" w:rsidRDefault="00B86410" w:rsidP="00B86410">
            <w:pPr>
              <w:widowControl/>
              <w:spacing w:line="240" w:lineRule="atLeast"/>
              <w:jc w:val="right"/>
              <w:rPr>
                <w:rFonts w:ascii="新細明體" w:hAnsi="新細明體" w:cs="新細明體"/>
                <w:b/>
                <w:bCs/>
                <w:color w:val="333333"/>
                <w:spacing w:val="29"/>
                <w:kern w:val="0"/>
                <w:szCs w:val="24"/>
              </w:rPr>
            </w:pPr>
            <w:r w:rsidRPr="00CC359E">
              <w:rPr>
                <w:rFonts w:ascii="新細明體" w:hAnsi="新細明體" w:cs="新細明體" w:hint="eastAsia"/>
                <w:b/>
                <w:bCs/>
                <w:color w:val="333333"/>
                <w:spacing w:val="29"/>
                <w:kern w:val="0"/>
                <w:szCs w:val="24"/>
              </w:rPr>
              <w:t>2013年</w:t>
            </w:r>
            <w:r w:rsidRPr="00CC359E">
              <w:rPr>
                <w:rFonts w:ascii="新細明體" w:hAnsi="新細明體" w:cs="新細明體" w:hint="eastAsia"/>
                <w:b/>
                <w:bCs/>
                <w:color w:val="333333"/>
                <w:spacing w:val="29"/>
                <w:kern w:val="0"/>
                <w:szCs w:val="24"/>
                <w:lang w:val="en-GB"/>
              </w:rPr>
              <w:t>11</w:t>
            </w:r>
            <w:r w:rsidRPr="00CC359E">
              <w:rPr>
                <w:rFonts w:ascii="新細明體" w:hAnsi="新細明體" w:cs="新細明體" w:hint="eastAsia"/>
                <w:b/>
                <w:bCs/>
                <w:color w:val="333333"/>
                <w:spacing w:val="29"/>
                <w:kern w:val="0"/>
                <w:szCs w:val="24"/>
              </w:rPr>
              <w:t>月</w:t>
            </w:r>
          </w:p>
        </w:tc>
        <w:tc>
          <w:tcPr>
            <w:tcW w:w="0" w:type="auto"/>
            <w:tcBorders>
              <w:top w:val="single" w:sz="6" w:space="0" w:color="CCCCCC"/>
              <w:left w:val="single" w:sz="6" w:space="0" w:color="CCCCCC"/>
              <w:bottom w:val="single" w:sz="6" w:space="0" w:color="CCCCCC"/>
              <w:right w:val="single" w:sz="6" w:space="0" w:color="CCCCCC"/>
            </w:tcBorders>
            <w:shd w:val="clear" w:color="auto" w:fill="CFE0F2"/>
            <w:tcMar>
              <w:top w:w="30" w:type="dxa"/>
              <w:left w:w="0" w:type="dxa"/>
              <w:bottom w:w="30" w:type="dxa"/>
              <w:right w:w="0" w:type="dxa"/>
            </w:tcMar>
            <w:hideMark/>
          </w:tcPr>
          <w:p w:rsidR="00B86410" w:rsidRPr="00CC359E" w:rsidRDefault="00B86410" w:rsidP="00B86410">
            <w:pPr>
              <w:widowControl/>
              <w:spacing w:line="240" w:lineRule="atLeast"/>
              <w:jc w:val="right"/>
              <w:rPr>
                <w:rFonts w:ascii="新細明體" w:hAnsi="新細明體" w:cs="新細明體"/>
                <w:b/>
                <w:bCs/>
                <w:color w:val="333333"/>
                <w:spacing w:val="29"/>
                <w:kern w:val="0"/>
                <w:szCs w:val="24"/>
              </w:rPr>
            </w:pPr>
            <w:r w:rsidRPr="00CC359E">
              <w:rPr>
                <w:rFonts w:ascii="新細明體" w:hAnsi="新細明體" w:cs="新細明體" w:hint="eastAsia"/>
                <w:b/>
                <w:bCs/>
                <w:color w:val="333333"/>
                <w:spacing w:val="29"/>
                <w:kern w:val="0"/>
                <w:szCs w:val="24"/>
              </w:rPr>
              <w:t>2013年底</w:t>
            </w:r>
          </w:p>
        </w:tc>
      </w:tr>
      <w:tr w:rsidR="00B86410" w:rsidRPr="00CC359E" w:rsidTr="00B86410">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上市公司數目</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jc w:val="righ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 1,735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jc w:val="righ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1,615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jc w:val="righ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 1,643</w:t>
            </w:r>
          </w:p>
        </w:tc>
      </w:tr>
      <w:tr w:rsidR="00B86410" w:rsidRPr="00CC359E" w:rsidTr="00B86410">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市價總值 (億元)</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jc w:val="righ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254,973</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jc w:val="righ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241,346</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jc w:val="righ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240,428</w:t>
            </w:r>
          </w:p>
        </w:tc>
      </w:tr>
      <w:tr w:rsidR="00B86410" w:rsidRPr="00CC359E" w:rsidTr="00B86410">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新增上市公司</w:t>
            </w:r>
            <w:r w:rsidRPr="00CC359E">
              <w:rPr>
                <w:rFonts w:ascii="新細明體" w:hAnsi="新細明體" w:cs="新細明體" w:hint="eastAsia"/>
                <w:color w:val="333333"/>
                <w:spacing w:val="29"/>
                <w:kern w:val="0"/>
                <w:szCs w:val="24"/>
                <w:lang w:val="en-GB"/>
              </w:rPr>
              <w:t> (</w:t>
            </w:r>
            <w:r w:rsidRPr="00CC359E">
              <w:rPr>
                <w:rFonts w:ascii="新細明體" w:hAnsi="新細明體" w:cs="新細明體" w:hint="eastAsia"/>
                <w:color w:val="333333"/>
                <w:spacing w:val="29"/>
                <w:kern w:val="0"/>
                <w:szCs w:val="24"/>
              </w:rPr>
              <w:t>家</w:t>
            </w:r>
            <w:r w:rsidRPr="00CC359E">
              <w:rPr>
                <w:rFonts w:ascii="新細明體" w:hAnsi="新細明體" w:cs="新細明體" w:hint="eastAsia"/>
                <w:color w:val="333333"/>
                <w:spacing w:val="29"/>
                <w:kern w:val="0"/>
                <w:szCs w:val="24"/>
                <w:lang w:val="en-GB"/>
              </w:rPr>
              <w:t>)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jc w:val="righ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6</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jc w:val="righ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15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jc w:val="righ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110</w:t>
            </w:r>
          </w:p>
        </w:tc>
      </w:tr>
      <w:tr w:rsidR="00B86410" w:rsidRPr="00CC359E" w:rsidTr="00B86410">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上市證券</w:t>
            </w:r>
            <w:r w:rsidRPr="00CC359E">
              <w:rPr>
                <w:rFonts w:ascii="新細明體" w:hAnsi="新細明體" w:cs="新細明體" w:hint="eastAsia"/>
                <w:color w:val="333333"/>
                <w:spacing w:val="29"/>
                <w:kern w:val="0"/>
                <w:szCs w:val="24"/>
                <w:lang w:val="en-GB"/>
              </w:rPr>
              <w:t> (</w:t>
            </w:r>
            <w:r w:rsidRPr="00CC359E">
              <w:rPr>
                <w:rFonts w:ascii="新細明體" w:hAnsi="新細明體" w:cs="新細明體" w:hint="eastAsia"/>
                <w:color w:val="333333"/>
                <w:spacing w:val="29"/>
                <w:kern w:val="0"/>
                <w:szCs w:val="24"/>
              </w:rPr>
              <w:t>隻</w:t>
            </w:r>
            <w:r w:rsidRPr="00CC359E">
              <w:rPr>
                <w:rFonts w:ascii="新細明體" w:hAnsi="新細明體" w:cs="新細明體" w:hint="eastAsia"/>
                <w:color w:val="333333"/>
                <w:spacing w:val="29"/>
                <w:kern w:val="0"/>
                <w:szCs w:val="24"/>
                <w:lang w:val="en-GB"/>
              </w:rPr>
              <w:t>)</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jc w:val="righ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9,113</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jc w:val="righ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8,539</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jc w:val="righ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8,522</w:t>
            </w:r>
          </w:p>
        </w:tc>
      </w:tr>
      <w:tr w:rsidR="00B86410" w:rsidRPr="00CC359E" w:rsidTr="00B86410">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股本認股權證</w:t>
            </w:r>
            <w:r w:rsidRPr="00CC359E">
              <w:rPr>
                <w:rFonts w:ascii="新細明體" w:hAnsi="新細明體" w:cs="新細明體" w:hint="eastAsia"/>
                <w:color w:val="333333"/>
                <w:spacing w:val="29"/>
                <w:kern w:val="0"/>
                <w:szCs w:val="24"/>
                <w:lang w:val="en-GB"/>
              </w:rPr>
              <w:t>(</w:t>
            </w:r>
            <w:r w:rsidRPr="00CC359E">
              <w:rPr>
                <w:rFonts w:ascii="新細明體" w:hAnsi="新細明體" w:cs="新細明體" w:hint="eastAsia"/>
                <w:color w:val="333333"/>
                <w:spacing w:val="29"/>
                <w:kern w:val="0"/>
                <w:szCs w:val="24"/>
              </w:rPr>
              <w:t>隻</w:t>
            </w:r>
            <w:r w:rsidRPr="00CC359E">
              <w:rPr>
                <w:rFonts w:ascii="新細明體" w:hAnsi="新細明體" w:cs="新細明體" w:hint="eastAsia"/>
                <w:color w:val="333333"/>
                <w:spacing w:val="29"/>
                <w:kern w:val="0"/>
                <w:szCs w:val="24"/>
                <w:lang w:val="en-GB"/>
              </w:rPr>
              <w:t>)</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jc w:val="righ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10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jc w:val="righ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8</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jc w:val="righ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8</w:t>
            </w:r>
          </w:p>
        </w:tc>
      </w:tr>
      <w:tr w:rsidR="00B86410" w:rsidRPr="00CC359E" w:rsidTr="00B86410">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衍生權證 </w:t>
            </w:r>
            <w:r w:rsidRPr="00CC359E">
              <w:rPr>
                <w:rFonts w:ascii="新細明體" w:hAnsi="新細明體" w:cs="新細明體" w:hint="eastAsia"/>
                <w:color w:val="333333"/>
                <w:spacing w:val="29"/>
                <w:kern w:val="0"/>
                <w:szCs w:val="24"/>
                <w:lang w:val="en-GB"/>
              </w:rPr>
              <w:t>(</w:t>
            </w:r>
            <w:r w:rsidRPr="00CC359E">
              <w:rPr>
                <w:rFonts w:ascii="新細明體" w:hAnsi="新細明體" w:cs="新細明體" w:hint="eastAsia"/>
                <w:color w:val="333333"/>
                <w:spacing w:val="29"/>
                <w:kern w:val="0"/>
                <w:szCs w:val="24"/>
              </w:rPr>
              <w:t>隻</w:t>
            </w:r>
            <w:r w:rsidRPr="00CC359E">
              <w:rPr>
                <w:rFonts w:ascii="新細明體" w:hAnsi="新細明體" w:cs="新細明體" w:hint="eastAsia"/>
                <w:color w:val="333333"/>
                <w:spacing w:val="29"/>
                <w:kern w:val="0"/>
                <w:szCs w:val="24"/>
                <w:lang w:val="en-GB"/>
              </w:rPr>
              <w:t>)</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jc w:val="righ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4,805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jc w:val="righ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4,768</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jc w:val="righ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4,715</w:t>
            </w:r>
          </w:p>
        </w:tc>
      </w:tr>
      <w:tr w:rsidR="00B86410" w:rsidRPr="00CC359E" w:rsidTr="00B86410">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牛熊證 </w:t>
            </w:r>
            <w:r w:rsidRPr="00CC359E">
              <w:rPr>
                <w:rFonts w:ascii="新細明體" w:hAnsi="新細明體" w:cs="新細明體" w:hint="eastAsia"/>
                <w:color w:val="333333"/>
                <w:spacing w:val="29"/>
                <w:kern w:val="0"/>
                <w:szCs w:val="24"/>
                <w:lang w:val="en-GB"/>
              </w:rPr>
              <w:t>(</w:t>
            </w:r>
            <w:r w:rsidRPr="00CC359E">
              <w:rPr>
                <w:rFonts w:ascii="新細明體" w:hAnsi="新細明體" w:cs="新細明體" w:hint="eastAsia"/>
                <w:color w:val="333333"/>
                <w:spacing w:val="29"/>
                <w:kern w:val="0"/>
                <w:szCs w:val="24"/>
              </w:rPr>
              <w:t>隻</w:t>
            </w:r>
            <w:r w:rsidRPr="00CC359E">
              <w:rPr>
                <w:rFonts w:ascii="新細明體" w:hAnsi="新細明體" w:cs="新細明體" w:hint="eastAsia"/>
                <w:color w:val="333333"/>
                <w:spacing w:val="29"/>
                <w:kern w:val="0"/>
                <w:szCs w:val="24"/>
                <w:lang w:val="en-GB"/>
              </w:rPr>
              <w:t>)</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jc w:val="righ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1,805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jc w:val="righ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1,623</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jc w:val="righ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1,620</w:t>
            </w:r>
          </w:p>
        </w:tc>
      </w:tr>
      <w:tr w:rsidR="00B86410" w:rsidRPr="00CC359E" w:rsidTr="00B86410">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信託基金 </w:t>
            </w:r>
            <w:r w:rsidRPr="00CC359E">
              <w:rPr>
                <w:rFonts w:ascii="新細明體" w:hAnsi="新細明體" w:cs="新細明體" w:hint="eastAsia"/>
                <w:color w:val="333333"/>
                <w:spacing w:val="29"/>
                <w:kern w:val="0"/>
                <w:szCs w:val="24"/>
                <w:lang w:val="en-GB"/>
              </w:rPr>
              <w:t>(</w:t>
            </w:r>
            <w:r w:rsidRPr="00CC359E">
              <w:rPr>
                <w:rFonts w:ascii="新細明體" w:hAnsi="新細明體" w:cs="新細明體" w:hint="eastAsia"/>
                <w:color w:val="333333"/>
                <w:spacing w:val="29"/>
                <w:kern w:val="0"/>
                <w:szCs w:val="24"/>
              </w:rPr>
              <w:t>隻</w:t>
            </w:r>
            <w:r w:rsidRPr="00CC359E">
              <w:rPr>
                <w:rFonts w:ascii="新細明體" w:hAnsi="新細明體" w:cs="新細明體" w:hint="eastAsia"/>
                <w:color w:val="333333"/>
                <w:spacing w:val="29"/>
                <w:kern w:val="0"/>
                <w:szCs w:val="24"/>
                <w:lang w:val="en-GB"/>
              </w:rPr>
              <w:t>)</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jc w:val="righ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134</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jc w:val="righ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127</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jc w:val="righ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129</w:t>
            </w:r>
          </w:p>
        </w:tc>
      </w:tr>
      <w:tr w:rsidR="00B86410" w:rsidRPr="00CC359E" w:rsidTr="00B86410">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債券</w:t>
            </w:r>
            <w:r w:rsidRPr="00CC359E">
              <w:rPr>
                <w:rFonts w:ascii="新細明體" w:hAnsi="新細明體" w:cs="新細明體" w:hint="eastAsia"/>
                <w:color w:val="333333"/>
                <w:spacing w:val="29"/>
                <w:kern w:val="0"/>
                <w:szCs w:val="24"/>
                <w:lang w:val="en-GB"/>
              </w:rPr>
              <w:t>(</w:t>
            </w:r>
            <w:r w:rsidRPr="00CC359E">
              <w:rPr>
                <w:rFonts w:ascii="新細明體" w:hAnsi="新細明體" w:cs="新細明體" w:hint="eastAsia"/>
                <w:color w:val="333333"/>
                <w:spacing w:val="29"/>
                <w:kern w:val="0"/>
                <w:szCs w:val="24"/>
              </w:rPr>
              <w:t>隻</w:t>
            </w:r>
            <w:r w:rsidRPr="00CC359E">
              <w:rPr>
                <w:rFonts w:ascii="新細明體" w:hAnsi="新細明體" w:cs="新細明體" w:hint="eastAsia"/>
                <w:color w:val="333333"/>
                <w:spacing w:val="29"/>
                <w:kern w:val="0"/>
                <w:szCs w:val="24"/>
                <w:lang w:val="en-GB"/>
              </w:rPr>
              <w:t>)</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jc w:val="righ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620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jc w:val="righ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394</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jc w:val="righ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403</w:t>
            </w:r>
          </w:p>
        </w:tc>
      </w:tr>
    </w:tbl>
    <w:p w:rsidR="00B86410" w:rsidRPr="00B86410" w:rsidRDefault="00B86410" w:rsidP="00B86410">
      <w:pPr>
        <w:spacing w:line="400" w:lineRule="exact"/>
        <w:rPr>
          <w:rFonts w:eastAsia="細明體" w:hAnsi="細明體"/>
          <w:szCs w:val="24"/>
        </w:rPr>
      </w:pPr>
    </w:p>
    <w:p w:rsidR="00B86410" w:rsidRDefault="00B86410" w:rsidP="00B86410">
      <w:pPr>
        <w:spacing w:line="400" w:lineRule="exact"/>
        <w:ind w:left="851"/>
        <w:rPr>
          <w:rFonts w:eastAsia="細明體" w:hAnsi="細明體"/>
          <w:szCs w:val="24"/>
        </w:rPr>
      </w:pPr>
    </w:p>
    <w:p w:rsidR="00B86410" w:rsidRDefault="00B86410" w:rsidP="00B86410">
      <w:pPr>
        <w:spacing w:line="400" w:lineRule="exact"/>
        <w:ind w:left="851"/>
        <w:rPr>
          <w:rFonts w:eastAsia="細明體" w:hAnsi="細明體"/>
          <w:szCs w:val="24"/>
        </w:rPr>
      </w:pPr>
    </w:p>
    <w:p w:rsidR="00B86410" w:rsidRDefault="00B86410" w:rsidP="00B86410">
      <w:pPr>
        <w:spacing w:line="400" w:lineRule="exact"/>
        <w:ind w:left="851"/>
        <w:rPr>
          <w:rFonts w:eastAsia="細明體" w:hAnsi="細明體"/>
          <w:szCs w:val="24"/>
        </w:rPr>
      </w:pPr>
    </w:p>
    <w:p w:rsidR="00B86410" w:rsidRDefault="00B86410" w:rsidP="00B86410">
      <w:pPr>
        <w:spacing w:line="400" w:lineRule="exact"/>
        <w:rPr>
          <w:rFonts w:eastAsia="細明體" w:hAnsi="細明體"/>
          <w:szCs w:val="24"/>
        </w:rPr>
      </w:pPr>
    </w:p>
    <w:p w:rsidR="00B86410" w:rsidRDefault="00B86410" w:rsidP="00B86410">
      <w:pPr>
        <w:spacing w:line="400" w:lineRule="exact"/>
        <w:rPr>
          <w:rFonts w:eastAsia="細明體" w:hAnsi="細明體"/>
          <w:szCs w:val="24"/>
        </w:rPr>
      </w:pPr>
    </w:p>
    <w:p w:rsidR="00B86410" w:rsidRDefault="00B86410" w:rsidP="00B86410">
      <w:pPr>
        <w:spacing w:line="400" w:lineRule="exact"/>
        <w:rPr>
          <w:rFonts w:eastAsia="細明體" w:hAnsi="細明體"/>
          <w:szCs w:val="24"/>
        </w:rPr>
      </w:pPr>
    </w:p>
    <w:p w:rsidR="00B86410" w:rsidRDefault="00B86410" w:rsidP="00B86410">
      <w:pPr>
        <w:spacing w:line="400" w:lineRule="exact"/>
        <w:rPr>
          <w:rFonts w:eastAsia="細明體" w:hAnsi="細明體"/>
          <w:szCs w:val="24"/>
        </w:rPr>
      </w:pPr>
    </w:p>
    <w:p w:rsidR="00B86410" w:rsidRDefault="00B86410" w:rsidP="00B86410">
      <w:pPr>
        <w:spacing w:line="400" w:lineRule="exact"/>
        <w:rPr>
          <w:rFonts w:eastAsia="細明體" w:hAnsi="細明體"/>
          <w:szCs w:val="24"/>
        </w:rPr>
      </w:pPr>
    </w:p>
    <w:p w:rsidR="00B86410" w:rsidRDefault="00B86410" w:rsidP="00B86410">
      <w:pPr>
        <w:spacing w:line="400" w:lineRule="exact"/>
        <w:rPr>
          <w:rFonts w:eastAsia="細明體" w:hAnsi="細明體"/>
          <w:szCs w:val="24"/>
        </w:rPr>
      </w:pPr>
    </w:p>
    <w:p w:rsidR="00B86410" w:rsidRPr="00B86410" w:rsidRDefault="00B86410" w:rsidP="00B86410">
      <w:pPr>
        <w:pStyle w:val="Web"/>
        <w:shd w:val="clear" w:color="auto" w:fill="FFFFFF"/>
        <w:spacing w:before="0" w:beforeAutospacing="0" w:after="0" w:afterAutospacing="0" w:line="288" w:lineRule="atLeast"/>
        <w:rPr>
          <w:color w:val="333333"/>
          <w:spacing w:val="29"/>
          <w:shd w:val="clear" w:color="auto" w:fill="FFFFFF"/>
        </w:rPr>
      </w:pPr>
    </w:p>
    <w:p w:rsidR="00B86410" w:rsidRDefault="00B86410" w:rsidP="00B86410">
      <w:pPr>
        <w:pStyle w:val="Web"/>
        <w:shd w:val="clear" w:color="auto" w:fill="FFFFFF"/>
        <w:spacing w:before="0" w:beforeAutospacing="0" w:after="0" w:afterAutospacing="0" w:line="288" w:lineRule="atLeast"/>
        <w:rPr>
          <w:color w:val="333333"/>
          <w:spacing w:val="29"/>
          <w:sz w:val="22"/>
          <w:szCs w:val="22"/>
          <w:shd w:val="clear" w:color="auto" w:fill="FFFFFF"/>
        </w:rPr>
      </w:pPr>
    </w:p>
    <w:p w:rsidR="00B86410" w:rsidRPr="00B86410" w:rsidRDefault="00B86410" w:rsidP="00EA691A">
      <w:pPr>
        <w:pStyle w:val="Web"/>
        <w:shd w:val="clear" w:color="auto" w:fill="FFFFFF"/>
        <w:spacing w:before="0" w:beforeAutospacing="0" w:after="0" w:afterAutospacing="0" w:line="280" w:lineRule="exact"/>
        <w:rPr>
          <w:color w:val="333333"/>
          <w:spacing w:val="29"/>
          <w:sz w:val="22"/>
          <w:szCs w:val="22"/>
          <w:shd w:val="clear" w:color="auto" w:fill="FFFFFF"/>
        </w:rPr>
      </w:pPr>
      <w:r w:rsidRPr="00B86410">
        <w:rPr>
          <w:rFonts w:hint="eastAsia"/>
          <w:color w:val="333333"/>
          <w:spacing w:val="29"/>
          <w:sz w:val="22"/>
          <w:szCs w:val="22"/>
          <w:shd w:val="clear" w:color="auto" w:fill="FFFFFF"/>
        </w:rPr>
        <w:t>註1: 資料截止2014年</w:t>
      </w:r>
      <w:r w:rsidRPr="00B86410">
        <w:rPr>
          <w:rFonts w:hint="eastAsia"/>
          <w:color w:val="333333"/>
          <w:spacing w:val="29"/>
          <w:sz w:val="22"/>
          <w:szCs w:val="22"/>
          <w:shd w:val="clear" w:color="auto" w:fill="FFFFFF"/>
          <w:lang w:val="en-GB"/>
        </w:rPr>
        <w:t>11</w:t>
      </w:r>
      <w:r w:rsidRPr="00B86410">
        <w:rPr>
          <w:rFonts w:hint="eastAsia"/>
          <w:color w:val="333333"/>
          <w:spacing w:val="29"/>
          <w:sz w:val="22"/>
          <w:szCs w:val="22"/>
          <w:shd w:val="clear" w:color="auto" w:fill="FFFFFF"/>
        </w:rPr>
        <w:t>月底。</w:t>
      </w:r>
    </w:p>
    <w:p w:rsidR="00A650D4" w:rsidRPr="00B86410" w:rsidRDefault="00B86410" w:rsidP="00EA691A">
      <w:pPr>
        <w:pStyle w:val="Web"/>
        <w:shd w:val="clear" w:color="auto" w:fill="FFFFFF"/>
        <w:spacing w:before="0" w:beforeAutospacing="0" w:after="0" w:afterAutospacing="0" w:line="280" w:lineRule="exact"/>
        <w:rPr>
          <w:color w:val="333333"/>
          <w:spacing w:val="29"/>
          <w:sz w:val="22"/>
          <w:szCs w:val="22"/>
          <w:shd w:val="clear" w:color="auto" w:fill="FFFFFF"/>
        </w:rPr>
      </w:pPr>
      <w:r w:rsidRPr="00B86410">
        <w:rPr>
          <w:rFonts w:hint="eastAsia"/>
          <w:color w:val="333333"/>
          <w:spacing w:val="29"/>
          <w:sz w:val="22"/>
          <w:szCs w:val="22"/>
          <w:shd w:val="clear" w:color="auto" w:fill="FFFFFF"/>
        </w:rPr>
        <w:t>註2: 包括由創業板轉到主板的上市公司數目。</w:t>
      </w:r>
    </w:p>
    <w:p w:rsidR="00B86410" w:rsidRPr="002F34C4" w:rsidRDefault="00B86410" w:rsidP="00B86410">
      <w:pPr>
        <w:spacing w:line="460" w:lineRule="exact"/>
        <w:jc w:val="both"/>
        <w:rPr>
          <w:rFonts w:ascii="新細明體" w:hAnsi="新細明體"/>
          <w:szCs w:val="24"/>
        </w:rPr>
      </w:pPr>
      <w:r w:rsidRPr="002F34C4">
        <w:rPr>
          <w:rFonts w:eastAsia="細明體" w:hAnsi="細明體" w:hint="eastAsia"/>
          <w:b/>
          <w:szCs w:val="24"/>
        </w:rPr>
        <w:lastRenderedPageBreak/>
        <w:t>證券市場成交金額</w:t>
      </w:r>
      <w:r w:rsidRPr="002F34C4">
        <w:rPr>
          <w:rFonts w:eastAsia="細明體" w:hAnsi="細明體" w:hint="eastAsia"/>
          <w:szCs w:val="24"/>
        </w:rPr>
        <w:t> </w:t>
      </w:r>
      <w:r w:rsidRPr="002F34C4">
        <w:rPr>
          <w:rFonts w:eastAsia="細明體" w:hAnsi="細明體" w:hint="eastAsia"/>
          <w:b/>
          <w:szCs w:val="24"/>
        </w:rPr>
        <w:t>(</w:t>
      </w:r>
      <w:r w:rsidRPr="002F34C4">
        <w:rPr>
          <w:rFonts w:eastAsia="細明體" w:hAnsi="細明體" w:hint="eastAsia"/>
          <w:b/>
          <w:szCs w:val="24"/>
        </w:rPr>
        <w:t>主板及創業板</w:t>
      </w:r>
      <w:r w:rsidRPr="002F34C4">
        <w:rPr>
          <w:rFonts w:eastAsia="細明體" w:hAnsi="細明體" w:hint="eastAsia"/>
          <w:b/>
          <w:szCs w:val="24"/>
        </w:rPr>
        <w:t>):</w:t>
      </w:r>
    </w:p>
    <w:tbl>
      <w:tblPr>
        <w:tblpPr w:leftFromText="180" w:rightFromText="180" w:vertAnchor="page" w:horzAnchor="margin" w:tblpY="2075"/>
        <w:tblW w:w="7485" w:type="dxa"/>
        <w:tblBorders>
          <w:top w:val="single" w:sz="6" w:space="0" w:color="CCCCCC"/>
          <w:left w:val="single" w:sz="6" w:space="0" w:color="CCCCCC"/>
          <w:bottom w:val="single" w:sz="6" w:space="0" w:color="CCCCCC"/>
          <w:right w:val="single" w:sz="6" w:space="0" w:color="CCCCCC"/>
        </w:tblBorders>
        <w:shd w:val="clear" w:color="auto" w:fill="FFFFFF"/>
        <w:tblCellMar>
          <w:left w:w="0" w:type="dxa"/>
          <w:right w:w="0" w:type="dxa"/>
        </w:tblCellMar>
        <w:tblLook w:val="04A0" w:firstRow="1" w:lastRow="0" w:firstColumn="1" w:lastColumn="0" w:noHBand="0" w:noVBand="1"/>
        <w:tblDescription w:val=""/>
      </w:tblPr>
      <w:tblGrid>
        <w:gridCol w:w="3269"/>
        <w:gridCol w:w="1604"/>
        <w:gridCol w:w="1604"/>
        <w:gridCol w:w="1008"/>
      </w:tblGrid>
      <w:tr w:rsidR="00B86410" w:rsidRPr="00CC359E" w:rsidTr="00B86410">
        <w:tc>
          <w:tcPr>
            <w:tcW w:w="0" w:type="auto"/>
            <w:tcBorders>
              <w:top w:val="single" w:sz="6" w:space="0" w:color="CCCCCC"/>
              <w:left w:val="single" w:sz="6" w:space="0" w:color="CCCCCC"/>
              <w:bottom w:val="single" w:sz="6" w:space="0" w:color="CCCCCC"/>
              <w:right w:val="single" w:sz="6" w:space="0" w:color="CCCCCC"/>
            </w:tcBorders>
            <w:shd w:val="clear" w:color="auto" w:fill="CFE0F2"/>
            <w:tcMar>
              <w:top w:w="30" w:type="dxa"/>
              <w:left w:w="0" w:type="dxa"/>
              <w:bottom w:w="30" w:type="dxa"/>
              <w:right w:w="0" w:type="dxa"/>
            </w:tcMar>
            <w:hideMark/>
          </w:tcPr>
          <w:p w:rsidR="00B86410" w:rsidRPr="00CC359E" w:rsidRDefault="00B86410" w:rsidP="00B86410">
            <w:pPr>
              <w:widowControl/>
              <w:spacing w:line="240" w:lineRule="atLeast"/>
              <w:rPr>
                <w:rFonts w:ascii="新細明體" w:hAnsi="新細明體" w:cs="新細明體"/>
                <w:b/>
                <w:bCs/>
                <w:color w:val="333333"/>
                <w:spacing w:val="29"/>
                <w:kern w:val="0"/>
                <w:szCs w:val="24"/>
              </w:rPr>
            </w:pPr>
            <w:r w:rsidRPr="00CC359E">
              <w:rPr>
                <w:rFonts w:ascii="新細明體" w:hAnsi="新細明體" w:cs="新細明體" w:hint="eastAsia"/>
                <w:b/>
                <w:bCs/>
                <w:color w:val="333333"/>
                <w:spacing w:val="29"/>
                <w:kern w:val="0"/>
                <w:szCs w:val="24"/>
              </w:rPr>
              <w:t> </w:t>
            </w:r>
          </w:p>
        </w:tc>
        <w:tc>
          <w:tcPr>
            <w:tcW w:w="0" w:type="auto"/>
            <w:tcBorders>
              <w:top w:val="single" w:sz="6" w:space="0" w:color="CCCCCC"/>
              <w:left w:val="single" w:sz="6" w:space="0" w:color="CCCCCC"/>
              <w:bottom w:val="single" w:sz="6" w:space="0" w:color="CCCCCC"/>
              <w:right w:val="single" w:sz="6" w:space="0" w:color="CCCCCC"/>
            </w:tcBorders>
            <w:shd w:val="clear" w:color="auto" w:fill="CFE0F2"/>
            <w:tcMar>
              <w:top w:w="30" w:type="dxa"/>
              <w:left w:w="0" w:type="dxa"/>
              <w:bottom w:w="30" w:type="dxa"/>
              <w:right w:w="0" w:type="dxa"/>
            </w:tcMar>
            <w:hideMark/>
          </w:tcPr>
          <w:p w:rsidR="00B86410" w:rsidRPr="00CC359E" w:rsidRDefault="00B86410" w:rsidP="00B86410">
            <w:pPr>
              <w:widowControl/>
              <w:spacing w:line="240" w:lineRule="atLeast"/>
              <w:jc w:val="right"/>
              <w:rPr>
                <w:rFonts w:ascii="新細明體" w:hAnsi="新細明體" w:cs="新細明體"/>
                <w:b/>
                <w:bCs/>
                <w:color w:val="333333"/>
                <w:spacing w:val="29"/>
                <w:kern w:val="0"/>
                <w:szCs w:val="24"/>
              </w:rPr>
            </w:pPr>
            <w:r w:rsidRPr="00CC359E">
              <w:rPr>
                <w:rFonts w:ascii="新細明體" w:hAnsi="新細明體" w:cs="新細明體" w:hint="eastAsia"/>
                <w:b/>
                <w:bCs/>
                <w:color w:val="333333"/>
                <w:spacing w:val="29"/>
                <w:kern w:val="0"/>
                <w:szCs w:val="24"/>
              </w:rPr>
              <w:t>2014年</w:t>
            </w:r>
            <w:r w:rsidRPr="00CC359E">
              <w:rPr>
                <w:rFonts w:ascii="新細明體" w:hAnsi="新細明體" w:cs="新細明體" w:hint="eastAsia"/>
                <w:b/>
                <w:bCs/>
                <w:color w:val="333333"/>
                <w:spacing w:val="29"/>
                <w:kern w:val="0"/>
                <w:szCs w:val="24"/>
                <w:lang w:val="en-GB"/>
              </w:rPr>
              <w:t>11</w:t>
            </w:r>
            <w:r w:rsidRPr="00CC359E">
              <w:rPr>
                <w:rFonts w:ascii="新細明體" w:hAnsi="新細明體" w:cs="新細明體" w:hint="eastAsia"/>
                <w:b/>
                <w:bCs/>
                <w:color w:val="333333"/>
                <w:spacing w:val="29"/>
                <w:kern w:val="0"/>
                <w:szCs w:val="24"/>
              </w:rPr>
              <w:t>月</w:t>
            </w:r>
          </w:p>
        </w:tc>
        <w:tc>
          <w:tcPr>
            <w:tcW w:w="0" w:type="auto"/>
            <w:tcBorders>
              <w:top w:val="single" w:sz="6" w:space="0" w:color="CCCCCC"/>
              <w:left w:val="single" w:sz="6" w:space="0" w:color="CCCCCC"/>
              <w:bottom w:val="single" w:sz="6" w:space="0" w:color="CCCCCC"/>
              <w:right w:val="single" w:sz="6" w:space="0" w:color="CCCCCC"/>
            </w:tcBorders>
            <w:shd w:val="clear" w:color="auto" w:fill="CFE0F2"/>
            <w:tcMar>
              <w:top w:w="30" w:type="dxa"/>
              <w:left w:w="0" w:type="dxa"/>
              <w:bottom w:w="30" w:type="dxa"/>
              <w:right w:w="0" w:type="dxa"/>
            </w:tcMar>
            <w:hideMark/>
          </w:tcPr>
          <w:p w:rsidR="00B86410" w:rsidRPr="00CC359E" w:rsidRDefault="00B86410" w:rsidP="00B86410">
            <w:pPr>
              <w:widowControl/>
              <w:spacing w:line="240" w:lineRule="atLeast"/>
              <w:jc w:val="right"/>
              <w:rPr>
                <w:rFonts w:ascii="新細明體" w:hAnsi="新細明體" w:cs="新細明體"/>
                <w:b/>
                <w:bCs/>
                <w:color w:val="333333"/>
                <w:spacing w:val="29"/>
                <w:kern w:val="0"/>
                <w:szCs w:val="24"/>
              </w:rPr>
            </w:pPr>
            <w:r w:rsidRPr="00CC359E">
              <w:rPr>
                <w:rFonts w:ascii="新細明體" w:hAnsi="新細明體" w:cs="新細明體" w:hint="eastAsia"/>
                <w:b/>
                <w:bCs/>
                <w:color w:val="333333"/>
                <w:spacing w:val="29"/>
                <w:kern w:val="0"/>
                <w:szCs w:val="24"/>
              </w:rPr>
              <w:t>2014年</w:t>
            </w:r>
            <w:r w:rsidRPr="00CC359E">
              <w:rPr>
                <w:rFonts w:ascii="新細明體" w:hAnsi="新細明體" w:cs="新細明體" w:hint="eastAsia"/>
                <w:b/>
                <w:bCs/>
                <w:color w:val="333333"/>
                <w:spacing w:val="29"/>
                <w:kern w:val="0"/>
                <w:szCs w:val="24"/>
                <w:lang w:val="en-GB"/>
              </w:rPr>
              <w:t>10</w:t>
            </w:r>
            <w:r w:rsidRPr="00CC359E">
              <w:rPr>
                <w:rFonts w:ascii="新細明體" w:hAnsi="新細明體" w:cs="新細明體" w:hint="eastAsia"/>
                <w:b/>
                <w:bCs/>
                <w:color w:val="333333"/>
                <w:spacing w:val="29"/>
                <w:kern w:val="0"/>
                <w:szCs w:val="24"/>
              </w:rPr>
              <w:t>月</w:t>
            </w:r>
          </w:p>
        </w:tc>
        <w:tc>
          <w:tcPr>
            <w:tcW w:w="0" w:type="auto"/>
            <w:tcBorders>
              <w:top w:val="single" w:sz="6" w:space="0" w:color="CCCCCC"/>
              <w:left w:val="single" w:sz="6" w:space="0" w:color="CCCCCC"/>
              <w:bottom w:val="single" w:sz="6" w:space="0" w:color="CCCCCC"/>
              <w:right w:val="single" w:sz="6" w:space="0" w:color="CCCCCC"/>
            </w:tcBorders>
            <w:shd w:val="clear" w:color="auto" w:fill="CFE0F2"/>
            <w:tcMar>
              <w:top w:w="30" w:type="dxa"/>
              <w:left w:w="0" w:type="dxa"/>
              <w:bottom w:w="30" w:type="dxa"/>
              <w:right w:w="0" w:type="dxa"/>
            </w:tcMar>
            <w:hideMark/>
          </w:tcPr>
          <w:p w:rsidR="00B86410" w:rsidRPr="00CC359E" w:rsidRDefault="00B86410" w:rsidP="00B86410">
            <w:pPr>
              <w:widowControl/>
              <w:spacing w:line="240" w:lineRule="atLeast"/>
              <w:jc w:val="right"/>
              <w:rPr>
                <w:rFonts w:ascii="新細明體" w:hAnsi="新細明體" w:cs="新細明體"/>
                <w:b/>
                <w:bCs/>
                <w:color w:val="333333"/>
                <w:spacing w:val="29"/>
                <w:kern w:val="0"/>
                <w:szCs w:val="24"/>
              </w:rPr>
            </w:pPr>
            <w:r w:rsidRPr="00CC359E">
              <w:rPr>
                <w:rFonts w:ascii="新細明體" w:hAnsi="新細明體" w:cs="新細明體" w:hint="eastAsia"/>
                <w:b/>
                <w:bCs/>
                <w:color w:val="333333"/>
                <w:spacing w:val="29"/>
                <w:kern w:val="0"/>
                <w:szCs w:val="24"/>
              </w:rPr>
              <w:t>% 增 / 減</w:t>
            </w:r>
          </w:p>
        </w:tc>
      </w:tr>
      <w:tr w:rsidR="00B86410" w:rsidRPr="00CC359E" w:rsidTr="00B86410">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每月成交金額 (百萬元)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jc w:val="righ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1,564,001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jc w:val="righ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1,403,548</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jc w:val="righ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11%</w:t>
            </w:r>
          </w:p>
        </w:tc>
      </w:tr>
      <w:tr w:rsidR="00B86410" w:rsidRPr="00CC359E" w:rsidTr="00B86410">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每日平均成交金額 (百萬元)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jc w:val="righ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78,200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jc w:val="righ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66,836</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jc w:val="righ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17%</w:t>
            </w:r>
          </w:p>
        </w:tc>
      </w:tr>
      <w:tr w:rsidR="00B86410" w:rsidRPr="00CC359E" w:rsidTr="00B86410">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交易日數</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jc w:val="righ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20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jc w:val="righ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21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jc w:val="righ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w:t>
            </w:r>
          </w:p>
        </w:tc>
      </w:tr>
    </w:tbl>
    <w:p w:rsidR="00B86410" w:rsidRDefault="00B86410"/>
    <w:p w:rsidR="00B86410" w:rsidRDefault="00B86410"/>
    <w:p w:rsidR="00B86410" w:rsidRDefault="00B86410"/>
    <w:p w:rsidR="00B86410" w:rsidRDefault="00B86410"/>
    <w:p w:rsidR="00B86410" w:rsidRDefault="00B86410"/>
    <w:p w:rsidR="00B86410" w:rsidRDefault="00B86410"/>
    <w:p w:rsidR="00B86410" w:rsidRDefault="00B86410"/>
    <w:p w:rsidR="00B86410" w:rsidRPr="00B86410" w:rsidRDefault="00B86410" w:rsidP="00B86410">
      <w:pPr>
        <w:spacing w:line="460" w:lineRule="exact"/>
        <w:jc w:val="both"/>
        <w:rPr>
          <w:rFonts w:ascii="新細明體" w:hAnsi="新細明體"/>
          <w:color w:val="333333"/>
          <w:spacing w:val="29"/>
          <w:sz w:val="22"/>
          <w:szCs w:val="22"/>
          <w:shd w:val="clear" w:color="auto" w:fill="FFFFFF"/>
        </w:rPr>
      </w:pPr>
      <w:r w:rsidRPr="00B86410">
        <w:rPr>
          <w:rFonts w:ascii="新細明體" w:hAnsi="新細明體" w:hint="eastAsia"/>
          <w:sz w:val="22"/>
          <w:szCs w:val="22"/>
        </w:rPr>
        <w:t xml:space="preserve">註 : </w:t>
      </w:r>
      <w:r w:rsidRPr="00B86410">
        <w:rPr>
          <w:rFonts w:ascii="新細明體" w:hAnsi="新細明體" w:hint="eastAsia"/>
          <w:color w:val="333333"/>
          <w:spacing w:val="29"/>
          <w:sz w:val="22"/>
          <w:szCs w:val="22"/>
          <w:shd w:val="clear" w:color="auto" w:fill="FFFFFF"/>
        </w:rPr>
        <w:t>成交金額包括非港元交易買賣的證券</w:t>
      </w:r>
    </w:p>
    <w:p w:rsidR="00B86410" w:rsidRPr="00B86410" w:rsidRDefault="00B86410"/>
    <w:p w:rsidR="00B86410" w:rsidRPr="004203E3" w:rsidRDefault="00B86410" w:rsidP="00B86410">
      <w:pPr>
        <w:rPr>
          <w:rFonts w:eastAsia="細明體" w:hAnsi="細明體"/>
          <w:b/>
          <w:szCs w:val="24"/>
        </w:rPr>
      </w:pPr>
      <w:r w:rsidRPr="004203E3">
        <w:rPr>
          <w:rFonts w:eastAsia="細明體" w:hAnsi="細明體" w:hint="eastAsia"/>
          <w:b/>
          <w:szCs w:val="24"/>
        </w:rPr>
        <w:t>各類證券成交金額</w:t>
      </w:r>
      <w:r w:rsidRPr="004203E3">
        <w:rPr>
          <w:rFonts w:eastAsia="細明體" w:hAnsi="細明體" w:hint="eastAsia"/>
          <w:szCs w:val="24"/>
        </w:rPr>
        <w:t> </w:t>
      </w:r>
      <w:r w:rsidRPr="004203E3">
        <w:rPr>
          <w:rFonts w:eastAsia="細明體" w:hAnsi="細明體" w:hint="eastAsia"/>
          <w:b/>
          <w:szCs w:val="24"/>
        </w:rPr>
        <w:t>(</w:t>
      </w:r>
      <w:r w:rsidRPr="004203E3">
        <w:rPr>
          <w:rFonts w:eastAsia="細明體" w:hAnsi="細明體" w:hint="eastAsia"/>
          <w:b/>
          <w:szCs w:val="24"/>
        </w:rPr>
        <w:t>主板及創業板</w:t>
      </w:r>
      <w:r w:rsidRPr="004203E3">
        <w:rPr>
          <w:rFonts w:eastAsia="細明體" w:hAnsi="細明體" w:hint="eastAsia"/>
          <w:b/>
          <w:szCs w:val="24"/>
        </w:rPr>
        <w:t>):</w:t>
      </w:r>
    </w:p>
    <w:tbl>
      <w:tblPr>
        <w:tblpPr w:leftFromText="180" w:rightFromText="180" w:vertAnchor="page" w:horzAnchor="margin" w:tblpY="5813"/>
        <w:tblW w:w="7521" w:type="dxa"/>
        <w:tblBorders>
          <w:top w:val="single" w:sz="6" w:space="0" w:color="CCCCCC"/>
          <w:left w:val="single" w:sz="6" w:space="0" w:color="CCCCCC"/>
          <w:bottom w:val="single" w:sz="6" w:space="0" w:color="CCCCCC"/>
          <w:right w:val="single" w:sz="6" w:space="0" w:color="CCCCCC"/>
        </w:tblBorders>
        <w:shd w:val="clear" w:color="auto" w:fill="FFFFFF"/>
        <w:tblCellMar>
          <w:left w:w="0" w:type="dxa"/>
          <w:right w:w="0" w:type="dxa"/>
        </w:tblCellMar>
        <w:tblLook w:val="04A0" w:firstRow="1" w:lastRow="0" w:firstColumn="1" w:lastColumn="0" w:noHBand="0" w:noVBand="1"/>
        <w:tblDescription w:val=""/>
      </w:tblPr>
      <w:tblGrid>
        <w:gridCol w:w="2985"/>
        <w:gridCol w:w="1701"/>
        <w:gridCol w:w="1827"/>
        <w:gridCol w:w="1008"/>
      </w:tblGrid>
      <w:tr w:rsidR="00B86410" w:rsidRPr="00CC359E" w:rsidTr="00B86410">
        <w:tc>
          <w:tcPr>
            <w:tcW w:w="2985" w:type="dxa"/>
            <w:tcBorders>
              <w:top w:val="single" w:sz="6" w:space="0" w:color="CCCCCC"/>
              <w:left w:val="single" w:sz="6" w:space="0" w:color="CCCCCC"/>
              <w:bottom w:val="single" w:sz="6" w:space="0" w:color="CCCCCC"/>
              <w:right w:val="single" w:sz="6" w:space="0" w:color="CCCCCC"/>
            </w:tcBorders>
            <w:shd w:val="clear" w:color="auto" w:fill="CFE0F2"/>
            <w:tcMar>
              <w:top w:w="30" w:type="dxa"/>
              <w:left w:w="0" w:type="dxa"/>
              <w:bottom w:w="30" w:type="dxa"/>
              <w:right w:w="0" w:type="dxa"/>
            </w:tcMar>
            <w:hideMark/>
          </w:tcPr>
          <w:p w:rsidR="00B86410" w:rsidRPr="00CC359E" w:rsidRDefault="00B86410" w:rsidP="00B86410">
            <w:pPr>
              <w:widowControl/>
              <w:spacing w:line="240" w:lineRule="atLeast"/>
              <w:rPr>
                <w:rFonts w:ascii="新細明體" w:hAnsi="新細明體" w:cs="新細明體"/>
                <w:b/>
                <w:bCs/>
                <w:color w:val="333333"/>
                <w:spacing w:val="29"/>
                <w:kern w:val="0"/>
                <w:szCs w:val="24"/>
              </w:rPr>
            </w:pPr>
            <w:r w:rsidRPr="00CC359E">
              <w:rPr>
                <w:rFonts w:ascii="新細明體" w:hAnsi="新細明體" w:cs="新細明體" w:hint="eastAsia"/>
                <w:b/>
                <w:bCs/>
                <w:color w:val="333333"/>
                <w:spacing w:val="29"/>
                <w:kern w:val="0"/>
                <w:szCs w:val="24"/>
              </w:rPr>
              <w:t> </w:t>
            </w:r>
          </w:p>
        </w:tc>
        <w:tc>
          <w:tcPr>
            <w:tcW w:w="1701" w:type="dxa"/>
            <w:tcBorders>
              <w:top w:val="single" w:sz="6" w:space="0" w:color="CCCCCC"/>
              <w:left w:val="single" w:sz="6" w:space="0" w:color="CCCCCC"/>
              <w:bottom w:val="single" w:sz="6" w:space="0" w:color="CCCCCC"/>
              <w:right w:val="single" w:sz="6" w:space="0" w:color="CCCCCC"/>
            </w:tcBorders>
            <w:shd w:val="clear" w:color="auto" w:fill="CFE0F2"/>
            <w:tcMar>
              <w:top w:w="30" w:type="dxa"/>
              <w:left w:w="0" w:type="dxa"/>
              <w:bottom w:w="30" w:type="dxa"/>
              <w:right w:w="0" w:type="dxa"/>
            </w:tcMar>
            <w:hideMark/>
          </w:tcPr>
          <w:p w:rsidR="00B86410" w:rsidRPr="00CC359E" w:rsidRDefault="00B86410" w:rsidP="00B86410">
            <w:pPr>
              <w:widowControl/>
              <w:spacing w:line="240" w:lineRule="atLeast"/>
              <w:jc w:val="right"/>
              <w:rPr>
                <w:rFonts w:ascii="新細明體" w:hAnsi="新細明體" w:cs="新細明體"/>
                <w:b/>
                <w:bCs/>
                <w:color w:val="333333"/>
                <w:spacing w:val="29"/>
                <w:kern w:val="0"/>
                <w:szCs w:val="24"/>
              </w:rPr>
            </w:pPr>
            <w:r w:rsidRPr="00CC359E">
              <w:rPr>
                <w:rFonts w:ascii="新細明體" w:hAnsi="新細明體" w:cs="新細明體" w:hint="eastAsia"/>
                <w:b/>
                <w:bCs/>
                <w:color w:val="333333"/>
                <w:spacing w:val="29"/>
                <w:kern w:val="0"/>
                <w:szCs w:val="24"/>
              </w:rPr>
              <w:t>2014年</w:t>
            </w:r>
            <w:r w:rsidRPr="00CC359E">
              <w:rPr>
                <w:rFonts w:ascii="新細明體" w:hAnsi="新細明體" w:cs="新細明體" w:hint="eastAsia"/>
                <w:b/>
                <w:bCs/>
                <w:color w:val="333333"/>
                <w:spacing w:val="29"/>
                <w:kern w:val="0"/>
                <w:szCs w:val="24"/>
                <w:lang w:val="en-GB"/>
              </w:rPr>
              <w:t>11</w:t>
            </w:r>
            <w:r w:rsidRPr="00CC359E">
              <w:rPr>
                <w:rFonts w:ascii="新細明體" w:hAnsi="新細明體" w:cs="新細明體" w:hint="eastAsia"/>
                <w:b/>
                <w:bCs/>
                <w:color w:val="333333"/>
                <w:spacing w:val="29"/>
                <w:kern w:val="0"/>
                <w:szCs w:val="24"/>
              </w:rPr>
              <w:t>月</w:t>
            </w:r>
            <w:r w:rsidRPr="00CC359E">
              <w:rPr>
                <w:rFonts w:ascii="新細明體" w:hAnsi="新細明體" w:cs="新細明體" w:hint="eastAsia"/>
                <w:b/>
                <w:bCs/>
                <w:color w:val="333333"/>
                <w:spacing w:val="29"/>
                <w:kern w:val="0"/>
                <w:szCs w:val="24"/>
              </w:rPr>
              <w:br/>
              <w:t>(百萬元)</w:t>
            </w:r>
          </w:p>
        </w:tc>
        <w:tc>
          <w:tcPr>
            <w:tcW w:w="1827" w:type="dxa"/>
            <w:tcBorders>
              <w:top w:val="single" w:sz="6" w:space="0" w:color="CCCCCC"/>
              <w:left w:val="single" w:sz="6" w:space="0" w:color="CCCCCC"/>
              <w:bottom w:val="single" w:sz="6" w:space="0" w:color="CCCCCC"/>
              <w:right w:val="single" w:sz="6" w:space="0" w:color="CCCCCC"/>
            </w:tcBorders>
            <w:shd w:val="clear" w:color="auto" w:fill="CFE0F2"/>
            <w:tcMar>
              <w:top w:w="30" w:type="dxa"/>
              <w:left w:w="0" w:type="dxa"/>
              <w:bottom w:w="30" w:type="dxa"/>
              <w:right w:w="0" w:type="dxa"/>
            </w:tcMar>
            <w:hideMark/>
          </w:tcPr>
          <w:p w:rsidR="00B86410" w:rsidRPr="00CC359E" w:rsidRDefault="00B86410" w:rsidP="00B86410">
            <w:pPr>
              <w:widowControl/>
              <w:spacing w:line="240" w:lineRule="atLeast"/>
              <w:jc w:val="right"/>
              <w:rPr>
                <w:rFonts w:ascii="新細明體" w:hAnsi="新細明體" w:cs="新細明體"/>
                <w:b/>
                <w:bCs/>
                <w:color w:val="333333"/>
                <w:spacing w:val="29"/>
                <w:kern w:val="0"/>
                <w:szCs w:val="24"/>
              </w:rPr>
            </w:pPr>
            <w:r w:rsidRPr="00CC359E">
              <w:rPr>
                <w:rFonts w:ascii="新細明體" w:hAnsi="新細明體" w:cs="新細明體" w:hint="eastAsia"/>
                <w:b/>
                <w:bCs/>
                <w:color w:val="333333"/>
                <w:spacing w:val="29"/>
                <w:kern w:val="0"/>
                <w:szCs w:val="24"/>
              </w:rPr>
              <w:t>2014年</w:t>
            </w:r>
            <w:r w:rsidRPr="00CC359E">
              <w:rPr>
                <w:rFonts w:ascii="新細明體" w:hAnsi="新細明體" w:cs="新細明體" w:hint="eastAsia"/>
                <w:b/>
                <w:bCs/>
                <w:color w:val="333333"/>
                <w:spacing w:val="29"/>
                <w:kern w:val="0"/>
                <w:szCs w:val="24"/>
                <w:lang w:val="en-GB"/>
              </w:rPr>
              <w:t>10</w:t>
            </w:r>
            <w:r w:rsidRPr="00CC359E">
              <w:rPr>
                <w:rFonts w:ascii="新細明體" w:hAnsi="新細明體" w:cs="新細明體" w:hint="eastAsia"/>
                <w:b/>
                <w:bCs/>
                <w:color w:val="333333"/>
                <w:spacing w:val="29"/>
                <w:kern w:val="0"/>
                <w:szCs w:val="24"/>
              </w:rPr>
              <w:t>月</w:t>
            </w:r>
            <w:r w:rsidRPr="00CC359E">
              <w:rPr>
                <w:rFonts w:ascii="新細明體" w:hAnsi="新細明體" w:cs="新細明體" w:hint="eastAsia"/>
                <w:b/>
                <w:bCs/>
                <w:color w:val="333333"/>
                <w:spacing w:val="29"/>
                <w:kern w:val="0"/>
                <w:szCs w:val="24"/>
              </w:rPr>
              <w:br/>
              <w:t>(百萬元)</w:t>
            </w:r>
          </w:p>
        </w:tc>
        <w:tc>
          <w:tcPr>
            <w:tcW w:w="1008" w:type="dxa"/>
            <w:tcBorders>
              <w:top w:val="single" w:sz="6" w:space="0" w:color="CCCCCC"/>
              <w:left w:val="single" w:sz="6" w:space="0" w:color="CCCCCC"/>
              <w:bottom w:val="single" w:sz="6" w:space="0" w:color="CCCCCC"/>
              <w:right w:val="single" w:sz="6" w:space="0" w:color="CCCCCC"/>
            </w:tcBorders>
            <w:shd w:val="clear" w:color="auto" w:fill="CFE0F2"/>
            <w:tcMar>
              <w:top w:w="30" w:type="dxa"/>
              <w:left w:w="0" w:type="dxa"/>
              <w:bottom w:w="30" w:type="dxa"/>
              <w:right w:w="0" w:type="dxa"/>
            </w:tcMar>
            <w:hideMark/>
          </w:tcPr>
          <w:p w:rsidR="00B86410" w:rsidRPr="00CC359E" w:rsidRDefault="00B86410" w:rsidP="00B86410">
            <w:pPr>
              <w:widowControl/>
              <w:spacing w:line="240" w:lineRule="atLeast"/>
              <w:jc w:val="right"/>
              <w:rPr>
                <w:rFonts w:ascii="新細明體" w:hAnsi="新細明體" w:cs="新細明體"/>
                <w:b/>
                <w:bCs/>
                <w:color w:val="333333"/>
                <w:spacing w:val="29"/>
                <w:kern w:val="0"/>
                <w:szCs w:val="24"/>
              </w:rPr>
            </w:pPr>
            <w:r w:rsidRPr="00CC359E">
              <w:rPr>
                <w:rFonts w:ascii="新細明體" w:hAnsi="新細明體" w:cs="新細明體" w:hint="eastAsia"/>
                <w:b/>
                <w:bCs/>
                <w:color w:val="333333"/>
                <w:spacing w:val="29"/>
                <w:kern w:val="0"/>
                <w:szCs w:val="24"/>
              </w:rPr>
              <w:t>% 增 / 減</w:t>
            </w:r>
          </w:p>
        </w:tc>
      </w:tr>
      <w:tr w:rsidR="00B86410" w:rsidRPr="00CC359E" w:rsidTr="00B86410">
        <w:tc>
          <w:tcPr>
            <w:tcW w:w="2985" w:type="dxa"/>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股份</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jc w:val="righ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1,127,576.95</w:t>
            </w:r>
            <w:r w:rsidRPr="00CC359E">
              <w:rPr>
                <w:rFonts w:ascii="新細明體" w:hAnsi="新細明體" w:cs="新細明體" w:hint="eastAsia"/>
                <w:color w:val="333333"/>
                <w:spacing w:val="29"/>
                <w:kern w:val="0"/>
                <w:szCs w:val="24"/>
              </w:rPr>
              <w:br/>
              <w:t>(72.1%)</w:t>
            </w:r>
          </w:p>
        </w:tc>
        <w:tc>
          <w:tcPr>
            <w:tcW w:w="1827" w:type="dxa"/>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jc w:val="righ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996,510.82</w:t>
            </w:r>
            <w:r w:rsidRPr="00CC359E">
              <w:rPr>
                <w:rFonts w:ascii="新細明體" w:hAnsi="新細明體" w:cs="新細明體" w:hint="eastAsia"/>
                <w:color w:val="333333"/>
                <w:spacing w:val="29"/>
                <w:kern w:val="0"/>
                <w:szCs w:val="24"/>
              </w:rPr>
              <w:br/>
              <w:t>(71.0%)</w:t>
            </w:r>
          </w:p>
        </w:tc>
        <w:tc>
          <w:tcPr>
            <w:tcW w:w="1008" w:type="dxa"/>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jc w:val="righ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13.2%</w:t>
            </w:r>
          </w:p>
        </w:tc>
      </w:tr>
      <w:tr w:rsidR="00B86410" w:rsidRPr="00CC359E" w:rsidTr="00B86410">
        <w:tc>
          <w:tcPr>
            <w:tcW w:w="2985" w:type="dxa"/>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衍生權證</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jc w:val="righ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203,944.26</w:t>
            </w:r>
            <w:r w:rsidRPr="00CC359E">
              <w:rPr>
                <w:rFonts w:ascii="新細明體" w:hAnsi="新細明體" w:cs="新細明體" w:hint="eastAsia"/>
                <w:color w:val="333333"/>
                <w:spacing w:val="29"/>
                <w:kern w:val="0"/>
                <w:szCs w:val="24"/>
              </w:rPr>
              <w:br/>
              <w:t>(13.0%)</w:t>
            </w:r>
          </w:p>
        </w:tc>
        <w:tc>
          <w:tcPr>
            <w:tcW w:w="1827" w:type="dxa"/>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jc w:val="righ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204,231.84</w:t>
            </w:r>
            <w:r w:rsidRPr="00CC359E">
              <w:rPr>
                <w:rFonts w:ascii="新細明體" w:hAnsi="新細明體" w:cs="新細明體" w:hint="eastAsia"/>
                <w:color w:val="333333"/>
                <w:spacing w:val="29"/>
                <w:kern w:val="0"/>
                <w:szCs w:val="24"/>
              </w:rPr>
              <w:br/>
              <w:t>(14.6%)</w:t>
            </w:r>
          </w:p>
        </w:tc>
        <w:tc>
          <w:tcPr>
            <w:tcW w:w="1008" w:type="dxa"/>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jc w:val="righ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-0.1%</w:t>
            </w:r>
          </w:p>
        </w:tc>
      </w:tr>
      <w:tr w:rsidR="00B86410" w:rsidRPr="00CC359E" w:rsidTr="00B86410">
        <w:tc>
          <w:tcPr>
            <w:tcW w:w="2985" w:type="dxa"/>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牛熊證</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jc w:val="righ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97,162.19</w:t>
            </w:r>
            <w:r w:rsidRPr="00CC359E">
              <w:rPr>
                <w:rFonts w:ascii="新細明體" w:hAnsi="新細明體" w:cs="新細明體" w:hint="eastAsia"/>
                <w:color w:val="333333"/>
                <w:spacing w:val="29"/>
                <w:kern w:val="0"/>
                <w:szCs w:val="24"/>
              </w:rPr>
              <w:br/>
              <w:t>(6.2%)</w:t>
            </w:r>
          </w:p>
        </w:tc>
        <w:tc>
          <w:tcPr>
            <w:tcW w:w="1827" w:type="dxa"/>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jc w:val="righ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105,165.25</w:t>
            </w:r>
            <w:r w:rsidRPr="00CC359E">
              <w:rPr>
                <w:rFonts w:ascii="新細明體" w:hAnsi="新細明體" w:cs="新細明體" w:hint="eastAsia"/>
                <w:color w:val="333333"/>
                <w:spacing w:val="29"/>
                <w:kern w:val="0"/>
                <w:szCs w:val="24"/>
              </w:rPr>
              <w:br/>
              <w:t>(7.5%)</w:t>
            </w:r>
          </w:p>
        </w:tc>
        <w:tc>
          <w:tcPr>
            <w:tcW w:w="1008" w:type="dxa"/>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jc w:val="righ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-7.6%</w:t>
            </w:r>
          </w:p>
        </w:tc>
      </w:tr>
      <w:tr w:rsidR="00B86410" w:rsidRPr="00CC359E" w:rsidTr="00B86410">
        <w:tc>
          <w:tcPr>
            <w:tcW w:w="2985" w:type="dxa"/>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單位信託基金</w:t>
            </w:r>
            <w:r w:rsidRPr="00CC359E">
              <w:rPr>
                <w:rFonts w:ascii="新細明體" w:hAnsi="新細明體" w:cs="新細明體" w:hint="eastAsia"/>
                <w:color w:val="333333"/>
                <w:spacing w:val="29"/>
                <w:kern w:val="0"/>
                <w:szCs w:val="24"/>
              </w:rPr>
              <w:br/>
            </w:r>
            <w:r w:rsidRPr="00CC359E">
              <w:rPr>
                <w:rFonts w:ascii="新細明體" w:hAnsi="新細明體" w:cs="新細明體" w:hint="eastAsia"/>
                <w:color w:val="333333"/>
                <w:spacing w:val="29"/>
                <w:kern w:val="0"/>
                <w:szCs w:val="24"/>
                <w:lang w:val="en-GB"/>
              </w:rPr>
              <w:t>(</w:t>
            </w:r>
            <w:r w:rsidRPr="00CC359E">
              <w:rPr>
                <w:rFonts w:ascii="新細明體" w:hAnsi="新細明體" w:cs="新細明體" w:hint="eastAsia"/>
                <w:color w:val="333333"/>
                <w:spacing w:val="29"/>
                <w:kern w:val="0"/>
                <w:szCs w:val="24"/>
              </w:rPr>
              <w:t>包括交易所買賣基金)</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jc w:val="righ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134,538.67</w:t>
            </w:r>
            <w:r w:rsidRPr="00CC359E">
              <w:rPr>
                <w:rFonts w:ascii="新細明體" w:hAnsi="新細明體" w:cs="新細明體" w:hint="eastAsia"/>
                <w:color w:val="333333"/>
                <w:spacing w:val="29"/>
                <w:kern w:val="0"/>
                <w:szCs w:val="24"/>
              </w:rPr>
              <w:br/>
              <w:t>(8.6%)</w:t>
            </w:r>
          </w:p>
        </w:tc>
        <w:tc>
          <w:tcPr>
            <w:tcW w:w="1827" w:type="dxa"/>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jc w:val="righ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96,823.69</w:t>
            </w:r>
            <w:r w:rsidRPr="00CC359E">
              <w:rPr>
                <w:rFonts w:ascii="新細明體" w:hAnsi="新細明體" w:cs="新細明體" w:hint="eastAsia"/>
                <w:color w:val="333333"/>
                <w:spacing w:val="29"/>
                <w:kern w:val="0"/>
                <w:szCs w:val="24"/>
              </w:rPr>
              <w:br/>
              <w:t>(6.9%)</w:t>
            </w:r>
          </w:p>
        </w:tc>
        <w:tc>
          <w:tcPr>
            <w:tcW w:w="1008" w:type="dxa"/>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jc w:val="righ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39.0%</w:t>
            </w:r>
          </w:p>
        </w:tc>
      </w:tr>
    </w:tbl>
    <w:p w:rsidR="00B86410" w:rsidRPr="00B86410" w:rsidRDefault="00B86410"/>
    <w:p w:rsidR="00B86410" w:rsidRDefault="00B86410"/>
    <w:p w:rsidR="00B86410" w:rsidRDefault="00B86410"/>
    <w:p w:rsidR="00B86410" w:rsidRDefault="00B86410"/>
    <w:p w:rsidR="00B86410" w:rsidRDefault="00B86410"/>
    <w:p w:rsidR="00B86410" w:rsidRDefault="00B86410"/>
    <w:p w:rsidR="00B86410" w:rsidRDefault="00B86410"/>
    <w:p w:rsidR="00B86410" w:rsidRDefault="00B86410"/>
    <w:p w:rsidR="00B86410" w:rsidRDefault="00B86410"/>
    <w:p w:rsidR="00B86410" w:rsidRDefault="00B86410"/>
    <w:p w:rsidR="00B86410" w:rsidRDefault="00B86410"/>
    <w:p w:rsidR="00B86410" w:rsidRDefault="00B86410"/>
    <w:p w:rsidR="00B86410" w:rsidRDefault="00B86410" w:rsidP="00B86410">
      <w:pPr>
        <w:pStyle w:val="Web"/>
        <w:shd w:val="clear" w:color="auto" w:fill="FFFFFF"/>
        <w:spacing w:before="0" w:beforeAutospacing="0" w:after="0" w:afterAutospacing="0" w:line="288" w:lineRule="atLeast"/>
        <w:rPr>
          <w:color w:val="333333"/>
          <w:spacing w:val="29"/>
          <w:shd w:val="clear" w:color="auto" w:fill="FFFFFF"/>
        </w:rPr>
      </w:pPr>
      <w:r w:rsidRPr="00CC359E">
        <w:rPr>
          <w:rFonts w:hint="eastAsia"/>
          <w:color w:val="333333"/>
          <w:spacing w:val="29"/>
          <w:shd w:val="clear" w:color="auto" w:fill="FFFFFF"/>
        </w:rPr>
        <w:t>註</w:t>
      </w:r>
      <w:r w:rsidR="00DB19E6">
        <w:rPr>
          <w:rFonts w:hint="eastAsia"/>
          <w:color w:val="333333"/>
          <w:spacing w:val="29"/>
          <w:shd w:val="clear" w:color="auto" w:fill="FFFFFF"/>
        </w:rPr>
        <w:t>1:</w:t>
      </w:r>
      <w:r w:rsidRPr="00CC359E">
        <w:rPr>
          <w:rFonts w:hint="eastAsia"/>
          <w:color w:val="333333"/>
          <w:spacing w:val="29"/>
          <w:shd w:val="clear" w:color="auto" w:fill="FFFFFF"/>
        </w:rPr>
        <w:t>( )</w:t>
      </w:r>
      <w:r w:rsidRPr="00CC359E">
        <w:rPr>
          <w:rStyle w:val="apple-converted-space"/>
          <w:rFonts w:hint="eastAsia"/>
          <w:color w:val="333333"/>
          <w:spacing w:val="29"/>
          <w:shd w:val="clear" w:color="auto" w:fill="FFFFFF"/>
        </w:rPr>
        <w:t> </w:t>
      </w:r>
      <w:r w:rsidRPr="00CC359E">
        <w:rPr>
          <w:rFonts w:hint="eastAsia"/>
          <w:color w:val="333333"/>
          <w:spacing w:val="29"/>
          <w:shd w:val="clear" w:color="auto" w:fill="FFFFFF"/>
        </w:rPr>
        <w:t>內為佔市場總成交量百分比</w:t>
      </w:r>
    </w:p>
    <w:p w:rsidR="00B86410" w:rsidRDefault="00B86410" w:rsidP="00B86410">
      <w:pPr>
        <w:pStyle w:val="Web"/>
        <w:shd w:val="clear" w:color="auto" w:fill="FFFFFF"/>
        <w:spacing w:before="0" w:beforeAutospacing="0" w:after="0" w:afterAutospacing="0" w:line="288" w:lineRule="atLeast"/>
        <w:rPr>
          <w:color w:val="333333"/>
          <w:spacing w:val="29"/>
          <w:shd w:val="clear" w:color="auto" w:fill="FFFFFF"/>
        </w:rPr>
      </w:pPr>
      <w:r w:rsidRPr="00CC359E">
        <w:rPr>
          <w:rFonts w:hint="eastAsia"/>
          <w:color w:val="333333"/>
          <w:spacing w:val="29"/>
          <w:shd w:val="clear" w:color="auto" w:fill="FFFFFF"/>
        </w:rPr>
        <w:t>註2:成交金額包括非港元交易買賣的證券</w:t>
      </w:r>
    </w:p>
    <w:p w:rsidR="00B86410" w:rsidRDefault="00B86410"/>
    <w:p w:rsidR="00B86410" w:rsidRDefault="00B86410" w:rsidP="00B86410">
      <w:pPr>
        <w:pStyle w:val="Web"/>
        <w:shd w:val="clear" w:color="auto" w:fill="FFFFFF"/>
        <w:spacing w:before="0" w:beforeAutospacing="0" w:after="0" w:afterAutospacing="0" w:line="288" w:lineRule="atLeast"/>
        <w:rPr>
          <w:color w:val="333333"/>
          <w:spacing w:val="29"/>
          <w:shd w:val="clear" w:color="auto" w:fill="FFFFFF"/>
        </w:rPr>
      </w:pPr>
      <w:r w:rsidRPr="00CC359E">
        <w:rPr>
          <w:rFonts w:eastAsia="細明體" w:hAnsi="細明體" w:hint="eastAsia"/>
          <w:b/>
        </w:rPr>
        <w:t>中國內地企業</w:t>
      </w:r>
      <w:r w:rsidRPr="00CC359E">
        <w:rPr>
          <w:rFonts w:eastAsia="細明體" w:hAnsi="細明體" w:hint="eastAsia"/>
        </w:rPr>
        <w:t> </w:t>
      </w:r>
      <w:r w:rsidRPr="00CC359E">
        <w:rPr>
          <w:rFonts w:eastAsia="細明體" w:hAnsi="細明體" w:hint="eastAsia"/>
          <w:b/>
        </w:rPr>
        <w:t>(</w:t>
      </w:r>
      <w:r w:rsidRPr="00CC359E">
        <w:rPr>
          <w:rFonts w:eastAsia="細明體" w:hAnsi="細明體" w:hint="eastAsia"/>
          <w:b/>
        </w:rPr>
        <w:t>主板及創業板</w:t>
      </w:r>
      <w:r w:rsidRPr="00CC359E">
        <w:rPr>
          <w:rFonts w:eastAsia="細明體" w:hAnsi="細明體" w:hint="eastAsia"/>
          <w:b/>
        </w:rPr>
        <w:t>)</w:t>
      </w:r>
    </w:p>
    <w:tbl>
      <w:tblPr>
        <w:tblpPr w:leftFromText="180" w:rightFromText="180" w:vertAnchor="page" w:horzAnchor="margin" w:tblpY="11418"/>
        <w:tblW w:w="8513" w:type="dxa"/>
        <w:tblBorders>
          <w:top w:val="single" w:sz="6" w:space="0" w:color="CCCCCC"/>
          <w:left w:val="single" w:sz="6" w:space="0" w:color="CCCCCC"/>
          <w:bottom w:val="single" w:sz="6" w:space="0" w:color="CCCCCC"/>
          <w:right w:val="single" w:sz="6" w:space="0" w:color="CCCCCC"/>
        </w:tblBorders>
        <w:shd w:val="clear" w:color="auto" w:fill="FFFFFF"/>
        <w:tblCellMar>
          <w:left w:w="0" w:type="dxa"/>
          <w:right w:w="0" w:type="dxa"/>
        </w:tblCellMar>
        <w:tblLook w:val="04A0" w:firstRow="1" w:lastRow="0" w:firstColumn="1" w:lastColumn="0" w:noHBand="0" w:noVBand="1"/>
        <w:tblDescription w:val=""/>
      </w:tblPr>
      <w:tblGrid>
        <w:gridCol w:w="5253"/>
        <w:gridCol w:w="1134"/>
        <w:gridCol w:w="1134"/>
        <w:gridCol w:w="992"/>
      </w:tblGrid>
      <w:tr w:rsidR="00B86410" w:rsidRPr="00CC359E" w:rsidTr="00B86410">
        <w:tc>
          <w:tcPr>
            <w:tcW w:w="5253" w:type="dxa"/>
            <w:tcBorders>
              <w:top w:val="single" w:sz="6" w:space="0" w:color="CCCCCC"/>
              <w:left w:val="single" w:sz="6" w:space="0" w:color="CCCCCC"/>
              <w:bottom w:val="single" w:sz="6" w:space="0" w:color="CCCCCC"/>
              <w:right w:val="single" w:sz="6" w:space="0" w:color="CCCCCC"/>
            </w:tcBorders>
            <w:shd w:val="clear" w:color="auto" w:fill="CFE0F2"/>
            <w:tcMar>
              <w:top w:w="30" w:type="dxa"/>
              <w:left w:w="0" w:type="dxa"/>
              <w:bottom w:w="30" w:type="dxa"/>
              <w:right w:w="0" w:type="dxa"/>
            </w:tcMar>
            <w:hideMark/>
          </w:tcPr>
          <w:p w:rsidR="00B86410" w:rsidRPr="00CC359E" w:rsidRDefault="00B86410" w:rsidP="00B86410">
            <w:pPr>
              <w:widowControl/>
              <w:spacing w:line="240" w:lineRule="atLeast"/>
              <w:rPr>
                <w:rFonts w:ascii="新細明體" w:hAnsi="新細明體" w:cs="新細明體"/>
                <w:b/>
                <w:bCs/>
                <w:color w:val="333333"/>
                <w:spacing w:val="29"/>
                <w:kern w:val="0"/>
                <w:szCs w:val="24"/>
              </w:rPr>
            </w:pPr>
            <w:r w:rsidRPr="00CC359E">
              <w:rPr>
                <w:rFonts w:ascii="新細明體" w:hAnsi="新細明體" w:cs="新細明體" w:hint="eastAsia"/>
                <w:b/>
                <w:bCs/>
                <w:color w:val="333333"/>
                <w:spacing w:val="29"/>
                <w:kern w:val="0"/>
                <w:szCs w:val="24"/>
              </w:rPr>
              <w:t> </w:t>
            </w:r>
          </w:p>
        </w:tc>
        <w:tc>
          <w:tcPr>
            <w:tcW w:w="1134" w:type="dxa"/>
            <w:tcBorders>
              <w:top w:val="single" w:sz="6" w:space="0" w:color="CCCCCC"/>
              <w:left w:val="single" w:sz="6" w:space="0" w:color="CCCCCC"/>
              <w:bottom w:val="single" w:sz="6" w:space="0" w:color="CCCCCC"/>
              <w:right w:val="single" w:sz="6" w:space="0" w:color="CCCCCC"/>
            </w:tcBorders>
            <w:shd w:val="clear" w:color="auto" w:fill="CFE0F2"/>
            <w:tcMar>
              <w:top w:w="30" w:type="dxa"/>
              <w:left w:w="0" w:type="dxa"/>
              <w:bottom w:w="30" w:type="dxa"/>
              <w:right w:w="0" w:type="dxa"/>
            </w:tcMar>
            <w:hideMark/>
          </w:tcPr>
          <w:p w:rsidR="00B86410" w:rsidRDefault="00B86410" w:rsidP="00B86410">
            <w:pPr>
              <w:widowControl/>
              <w:spacing w:line="240" w:lineRule="atLeast"/>
              <w:jc w:val="right"/>
              <w:rPr>
                <w:rFonts w:ascii="新細明體" w:hAnsi="新細明體" w:cs="新細明體"/>
                <w:b/>
                <w:bCs/>
                <w:color w:val="333333"/>
                <w:spacing w:val="29"/>
                <w:kern w:val="0"/>
                <w:szCs w:val="24"/>
              </w:rPr>
            </w:pPr>
            <w:r w:rsidRPr="00CC359E">
              <w:rPr>
                <w:rFonts w:ascii="新細明體" w:hAnsi="新細明體" w:cs="新細明體" w:hint="eastAsia"/>
                <w:b/>
                <w:bCs/>
                <w:color w:val="333333"/>
                <w:spacing w:val="29"/>
                <w:kern w:val="0"/>
                <w:szCs w:val="24"/>
              </w:rPr>
              <w:t>2014年</w:t>
            </w:r>
          </w:p>
          <w:p w:rsidR="00B86410" w:rsidRPr="00CC359E" w:rsidRDefault="00B86410" w:rsidP="00B86410">
            <w:pPr>
              <w:widowControl/>
              <w:spacing w:line="240" w:lineRule="atLeast"/>
              <w:jc w:val="right"/>
              <w:rPr>
                <w:rFonts w:ascii="新細明體" w:hAnsi="新細明體" w:cs="新細明體"/>
                <w:b/>
                <w:bCs/>
                <w:color w:val="333333"/>
                <w:spacing w:val="29"/>
                <w:kern w:val="0"/>
                <w:szCs w:val="24"/>
              </w:rPr>
            </w:pPr>
            <w:r w:rsidRPr="00CC359E">
              <w:rPr>
                <w:rFonts w:ascii="新細明體" w:hAnsi="新細明體" w:cs="新細明體" w:hint="eastAsia"/>
                <w:b/>
                <w:bCs/>
                <w:color w:val="333333"/>
                <w:spacing w:val="29"/>
                <w:kern w:val="0"/>
                <w:szCs w:val="24"/>
                <w:lang w:val="en-GB"/>
              </w:rPr>
              <w:t>11</w:t>
            </w:r>
            <w:r w:rsidRPr="00CC359E">
              <w:rPr>
                <w:rFonts w:ascii="新細明體" w:hAnsi="新細明體" w:cs="新細明體" w:hint="eastAsia"/>
                <w:b/>
                <w:bCs/>
                <w:color w:val="333333"/>
                <w:spacing w:val="29"/>
                <w:kern w:val="0"/>
                <w:szCs w:val="24"/>
              </w:rPr>
              <w:t>月</w:t>
            </w:r>
          </w:p>
        </w:tc>
        <w:tc>
          <w:tcPr>
            <w:tcW w:w="1134" w:type="dxa"/>
            <w:tcBorders>
              <w:top w:val="single" w:sz="6" w:space="0" w:color="CCCCCC"/>
              <w:left w:val="single" w:sz="6" w:space="0" w:color="CCCCCC"/>
              <w:bottom w:val="single" w:sz="6" w:space="0" w:color="CCCCCC"/>
              <w:right w:val="single" w:sz="6" w:space="0" w:color="CCCCCC"/>
            </w:tcBorders>
            <w:shd w:val="clear" w:color="auto" w:fill="CFE0F2"/>
            <w:tcMar>
              <w:top w:w="30" w:type="dxa"/>
              <w:left w:w="0" w:type="dxa"/>
              <w:bottom w:w="30" w:type="dxa"/>
              <w:right w:w="0" w:type="dxa"/>
            </w:tcMar>
            <w:hideMark/>
          </w:tcPr>
          <w:p w:rsidR="00B86410" w:rsidRDefault="00B86410" w:rsidP="00B86410">
            <w:pPr>
              <w:widowControl/>
              <w:spacing w:line="240" w:lineRule="atLeast"/>
              <w:jc w:val="right"/>
              <w:rPr>
                <w:rFonts w:ascii="新細明體" w:hAnsi="新細明體" w:cs="新細明體"/>
                <w:b/>
                <w:bCs/>
                <w:color w:val="333333"/>
                <w:spacing w:val="29"/>
                <w:kern w:val="0"/>
                <w:szCs w:val="24"/>
              </w:rPr>
            </w:pPr>
            <w:r w:rsidRPr="00CC359E">
              <w:rPr>
                <w:rFonts w:ascii="新細明體" w:hAnsi="新細明體" w:cs="新細明體" w:hint="eastAsia"/>
                <w:b/>
                <w:bCs/>
                <w:color w:val="333333"/>
                <w:spacing w:val="29"/>
                <w:kern w:val="0"/>
                <w:szCs w:val="24"/>
              </w:rPr>
              <w:t>2013年</w:t>
            </w:r>
          </w:p>
          <w:p w:rsidR="00B86410" w:rsidRPr="00CC359E" w:rsidRDefault="00B86410" w:rsidP="00B86410">
            <w:pPr>
              <w:widowControl/>
              <w:spacing w:line="240" w:lineRule="atLeast"/>
              <w:jc w:val="right"/>
              <w:rPr>
                <w:rFonts w:ascii="新細明體" w:hAnsi="新細明體" w:cs="新細明體"/>
                <w:b/>
                <w:bCs/>
                <w:color w:val="333333"/>
                <w:spacing w:val="29"/>
                <w:kern w:val="0"/>
                <w:szCs w:val="24"/>
              </w:rPr>
            </w:pPr>
            <w:r w:rsidRPr="00CC359E">
              <w:rPr>
                <w:rFonts w:ascii="新細明體" w:hAnsi="新細明體" w:cs="新細明體" w:hint="eastAsia"/>
                <w:b/>
                <w:bCs/>
                <w:color w:val="333333"/>
                <w:spacing w:val="29"/>
                <w:kern w:val="0"/>
                <w:szCs w:val="24"/>
                <w:lang w:val="en-GB"/>
              </w:rPr>
              <w:t>11</w:t>
            </w:r>
            <w:r w:rsidRPr="00CC359E">
              <w:rPr>
                <w:rFonts w:ascii="新細明體" w:hAnsi="新細明體" w:cs="新細明體" w:hint="eastAsia"/>
                <w:b/>
                <w:bCs/>
                <w:color w:val="333333"/>
                <w:spacing w:val="29"/>
                <w:kern w:val="0"/>
                <w:szCs w:val="24"/>
              </w:rPr>
              <w:t>月</w:t>
            </w:r>
          </w:p>
        </w:tc>
        <w:tc>
          <w:tcPr>
            <w:tcW w:w="992" w:type="dxa"/>
            <w:tcBorders>
              <w:top w:val="single" w:sz="6" w:space="0" w:color="CCCCCC"/>
              <w:left w:val="single" w:sz="6" w:space="0" w:color="CCCCCC"/>
              <w:bottom w:val="single" w:sz="6" w:space="0" w:color="CCCCCC"/>
              <w:right w:val="single" w:sz="6" w:space="0" w:color="CCCCCC"/>
            </w:tcBorders>
            <w:shd w:val="clear" w:color="auto" w:fill="CFE0F2"/>
            <w:tcMar>
              <w:top w:w="30" w:type="dxa"/>
              <w:left w:w="0" w:type="dxa"/>
              <w:bottom w:w="30" w:type="dxa"/>
              <w:right w:w="0" w:type="dxa"/>
            </w:tcMar>
            <w:hideMark/>
          </w:tcPr>
          <w:p w:rsidR="00B86410" w:rsidRDefault="00B86410" w:rsidP="00B86410">
            <w:pPr>
              <w:widowControl/>
              <w:spacing w:line="240" w:lineRule="atLeast"/>
              <w:jc w:val="right"/>
              <w:rPr>
                <w:rFonts w:ascii="新細明體" w:hAnsi="新細明體" w:cs="新細明體"/>
                <w:b/>
                <w:bCs/>
                <w:color w:val="333333"/>
                <w:spacing w:val="29"/>
                <w:kern w:val="0"/>
                <w:szCs w:val="24"/>
              </w:rPr>
            </w:pPr>
            <w:r w:rsidRPr="00CC359E">
              <w:rPr>
                <w:rFonts w:ascii="新細明體" w:hAnsi="新細明體" w:cs="新細明體" w:hint="eastAsia"/>
                <w:b/>
                <w:bCs/>
                <w:color w:val="333333"/>
                <w:spacing w:val="29"/>
                <w:kern w:val="0"/>
                <w:szCs w:val="24"/>
              </w:rPr>
              <w:t>2013</w:t>
            </w:r>
          </w:p>
          <w:p w:rsidR="00B86410" w:rsidRPr="00CC359E" w:rsidRDefault="00B86410" w:rsidP="00B86410">
            <w:pPr>
              <w:widowControl/>
              <w:spacing w:line="240" w:lineRule="atLeast"/>
              <w:jc w:val="right"/>
              <w:rPr>
                <w:rFonts w:ascii="新細明體" w:hAnsi="新細明體" w:cs="新細明體"/>
                <w:b/>
                <w:bCs/>
                <w:color w:val="333333"/>
                <w:spacing w:val="29"/>
                <w:kern w:val="0"/>
                <w:szCs w:val="24"/>
              </w:rPr>
            </w:pPr>
            <w:r w:rsidRPr="00CC359E">
              <w:rPr>
                <w:rFonts w:ascii="新細明體" w:hAnsi="新細明體" w:cs="新細明體" w:hint="eastAsia"/>
                <w:b/>
                <w:bCs/>
                <w:color w:val="333333"/>
                <w:spacing w:val="29"/>
                <w:kern w:val="0"/>
                <w:szCs w:val="24"/>
              </w:rPr>
              <w:t>年底</w:t>
            </w:r>
          </w:p>
        </w:tc>
      </w:tr>
      <w:tr w:rsidR="00B86410" w:rsidRPr="00CC359E" w:rsidTr="00B86410">
        <w:tc>
          <w:tcPr>
            <w:tcW w:w="5253" w:type="dxa"/>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H股(隻)</w:t>
            </w:r>
          </w:p>
        </w:tc>
        <w:tc>
          <w:tcPr>
            <w:tcW w:w="1134" w:type="dxa"/>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jc w:val="righ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 197</w:t>
            </w:r>
          </w:p>
        </w:tc>
        <w:tc>
          <w:tcPr>
            <w:tcW w:w="1134" w:type="dxa"/>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jc w:val="righ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178</w:t>
            </w:r>
          </w:p>
        </w:tc>
        <w:tc>
          <w:tcPr>
            <w:tcW w:w="992" w:type="dxa"/>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jc w:val="righ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182</w:t>
            </w:r>
          </w:p>
        </w:tc>
      </w:tr>
      <w:tr w:rsidR="00B86410" w:rsidRPr="00CC359E" w:rsidTr="00B86410">
        <w:tc>
          <w:tcPr>
            <w:tcW w:w="5253" w:type="dxa"/>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紅籌股(隻)</w:t>
            </w:r>
          </w:p>
        </w:tc>
        <w:tc>
          <w:tcPr>
            <w:tcW w:w="1134" w:type="dxa"/>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jc w:val="righ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132</w:t>
            </w:r>
          </w:p>
        </w:tc>
        <w:tc>
          <w:tcPr>
            <w:tcW w:w="1134" w:type="dxa"/>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jc w:val="righ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 122</w:t>
            </w:r>
          </w:p>
        </w:tc>
        <w:tc>
          <w:tcPr>
            <w:tcW w:w="992" w:type="dxa"/>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jc w:val="righ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122</w:t>
            </w:r>
          </w:p>
        </w:tc>
      </w:tr>
      <w:tr w:rsidR="00B86410" w:rsidRPr="00CC359E" w:rsidTr="00B86410">
        <w:tc>
          <w:tcPr>
            <w:tcW w:w="5253" w:type="dxa"/>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內地民營企業 (隻)</w:t>
            </w:r>
          </w:p>
        </w:tc>
        <w:tc>
          <w:tcPr>
            <w:tcW w:w="1134" w:type="dxa"/>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jc w:val="righ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 534</w:t>
            </w:r>
          </w:p>
        </w:tc>
        <w:tc>
          <w:tcPr>
            <w:tcW w:w="1134" w:type="dxa"/>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jc w:val="righ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476</w:t>
            </w:r>
          </w:p>
        </w:tc>
        <w:tc>
          <w:tcPr>
            <w:tcW w:w="992" w:type="dxa"/>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jc w:val="righ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493</w:t>
            </w:r>
          </w:p>
        </w:tc>
      </w:tr>
      <w:tr w:rsidR="00B86410" w:rsidRPr="00CC359E" w:rsidTr="00B86410">
        <w:tc>
          <w:tcPr>
            <w:tcW w:w="5253" w:type="dxa"/>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市價總值 (佔整體市價總值百份比)</w:t>
            </w:r>
          </w:p>
        </w:tc>
        <w:tc>
          <w:tcPr>
            <w:tcW w:w="1134" w:type="dxa"/>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jc w:val="righ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59.2%</w:t>
            </w:r>
          </w:p>
        </w:tc>
        <w:tc>
          <w:tcPr>
            <w:tcW w:w="1134" w:type="dxa"/>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jc w:val="righ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57.4%</w:t>
            </w:r>
          </w:p>
        </w:tc>
        <w:tc>
          <w:tcPr>
            <w:tcW w:w="992" w:type="dxa"/>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jc w:val="righ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56.9%</w:t>
            </w:r>
          </w:p>
        </w:tc>
      </w:tr>
      <w:tr w:rsidR="00B86410" w:rsidRPr="00CC359E" w:rsidTr="00B86410">
        <w:tc>
          <w:tcPr>
            <w:tcW w:w="5253" w:type="dxa"/>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成交金額(佔整體股份成交金額百份</w:t>
            </w:r>
            <w:r>
              <w:rPr>
                <w:rFonts w:ascii="新細明體" w:hAnsi="新細明體" w:cs="新細明體" w:hint="eastAsia"/>
                <w:color w:val="333333"/>
                <w:spacing w:val="29"/>
                <w:kern w:val="0"/>
                <w:szCs w:val="24"/>
              </w:rPr>
              <w:t>比)</w:t>
            </w:r>
          </w:p>
        </w:tc>
        <w:tc>
          <w:tcPr>
            <w:tcW w:w="1134" w:type="dxa"/>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jc w:val="righ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74.1%</w:t>
            </w:r>
          </w:p>
        </w:tc>
        <w:tc>
          <w:tcPr>
            <w:tcW w:w="1134" w:type="dxa"/>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jc w:val="righ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74.6%</w:t>
            </w:r>
          </w:p>
        </w:tc>
        <w:tc>
          <w:tcPr>
            <w:tcW w:w="992" w:type="dxa"/>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jc w:val="righ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71.6%</w:t>
            </w:r>
          </w:p>
        </w:tc>
      </w:tr>
    </w:tbl>
    <w:p w:rsidR="00B86410" w:rsidRPr="002F34C4" w:rsidRDefault="00B86410" w:rsidP="00B86410">
      <w:pPr>
        <w:spacing w:line="460" w:lineRule="exact"/>
        <w:jc w:val="both"/>
        <w:rPr>
          <w:rFonts w:ascii="新細明體" w:hAnsi="新細明體" w:cs="新細明體"/>
          <w:color w:val="333333"/>
          <w:spacing w:val="29"/>
          <w:kern w:val="0"/>
          <w:szCs w:val="24"/>
          <w:shd w:val="clear" w:color="auto" w:fill="FFFFFF"/>
        </w:rPr>
      </w:pPr>
      <w:r w:rsidRPr="002F34C4">
        <w:rPr>
          <w:rFonts w:ascii="新細明體" w:hAnsi="新細明體" w:cs="新細明體" w:hint="eastAsia"/>
          <w:color w:val="333333"/>
          <w:spacing w:val="29"/>
          <w:kern w:val="0"/>
          <w:szCs w:val="24"/>
          <w:shd w:val="clear" w:color="auto" w:fill="FFFFFF"/>
        </w:rPr>
        <w:t>註: (截至2014年11月底)</w:t>
      </w:r>
    </w:p>
    <w:p w:rsidR="00B86410" w:rsidRPr="00B86410" w:rsidRDefault="00B86410"/>
    <w:p w:rsidR="00B86410" w:rsidRDefault="00B86410"/>
    <w:p w:rsidR="00B86410" w:rsidRDefault="00B86410"/>
    <w:p w:rsidR="00B86410" w:rsidRPr="004203E3" w:rsidRDefault="00B86410" w:rsidP="00B86410">
      <w:pPr>
        <w:rPr>
          <w:rFonts w:eastAsia="細明體" w:hAnsi="細明體"/>
          <w:b/>
          <w:szCs w:val="36"/>
        </w:rPr>
      </w:pPr>
      <w:r w:rsidRPr="004203E3">
        <w:rPr>
          <w:rFonts w:eastAsia="細明體" w:hAnsi="細明體" w:hint="eastAsia"/>
          <w:b/>
          <w:szCs w:val="36"/>
        </w:rPr>
        <w:lastRenderedPageBreak/>
        <w:t>由年初累積至</w:t>
      </w:r>
      <w:r w:rsidRPr="004203E3">
        <w:rPr>
          <w:rFonts w:eastAsia="細明體" w:hAnsi="細明體" w:hint="eastAsia"/>
          <w:b/>
          <w:szCs w:val="36"/>
        </w:rPr>
        <w:t>2014</w:t>
      </w:r>
      <w:r w:rsidRPr="004203E3">
        <w:rPr>
          <w:rFonts w:eastAsia="細明體" w:hAnsi="細明體" w:hint="eastAsia"/>
          <w:b/>
          <w:szCs w:val="36"/>
        </w:rPr>
        <w:t>年</w:t>
      </w:r>
      <w:r w:rsidRPr="004203E3">
        <w:rPr>
          <w:rFonts w:eastAsia="細明體" w:hAnsi="細明體" w:hint="eastAsia"/>
          <w:b/>
          <w:szCs w:val="36"/>
        </w:rPr>
        <w:t>11</w:t>
      </w:r>
      <w:r w:rsidRPr="004203E3">
        <w:rPr>
          <w:rFonts w:eastAsia="細明體" w:hAnsi="細明體" w:hint="eastAsia"/>
          <w:b/>
          <w:szCs w:val="36"/>
        </w:rPr>
        <w:t>月底之市場統計資料</w:t>
      </w:r>
    </w:p>
    <w:tbl>
      <w:tblPr>
        <w:tblpPr w:leftFromText="180" w:rightFromText="180" w:vertAnchor="text" w:horzAnchor="margin" w:tblpY="121"/>
        <w:tblW w:w="8513" w:type="dxa"/>
        <w:tblBorders>
          <w:top w:val="single" w:sz="6" w:space="0" w:color="CCCCCC"/>
          <w:left w:val="single" w:sz="6" w:space="0" w:color="CCCCCC"/>
          <w:bottom w:val="single" w:sz="6" w:space="0" w:color="CCCCCC"/>
          <w:right w:val="single" w:sz="6" w:space="0" w:color="CCCCCC"/>
        </w:tblBorders>
        <w:shd w:val="clear" w:color="auto" w:fill="FFFFFF"/>
        <w:tblCellMar>
          <w:left w:w="0" w:type="dxa"/>
          <w:right w:w="0" w:type="dxa"/>
        </w:tblCellMar>
        <w:tblLook w:val="04A0" w:firstRow="1" w:lastRow="0" w:firstColumn="1" w:lastColumn="0" w:noHBand="0" w:noVBand="1"/>
        <w:tblDescription w:val=""/>
      </w:tblPr>
      <w:tblGrid>
        <w:gridCol w:w="4023"/>
        <w:gridCol w:w="1701"/>
        <w:gridCol w:w="1655"/>
        <w:gridCol w:w="1134"/>
      </w:tblGrid>
      <w:tr w:rsidR="00B86410" w:rsidRPr="00CC359E" w:rsidTr="00B86410">
        <w:tc>
          <w:tcPr>
            <w:tcW w:w="4023" w:type="dxa"/>
            <w:tcBorders>
              <w:top w:val="single" w:sz="6" w:space="0" w:color="CCCCCC"/>
              <w:left w:val="single" w:sz="6" w:space="0" w:color="CCCCCC"/>
              <w:bottom w:val="single" w:sz="6" w:space="0" w:color="CCCCCC"/>
              <w:right w:val="single" w:sz="6" w:space="0" w:color="CCCCCC"/>
            </w:tcBorders>
            <w:shd w:val="clear" w:color="auto" w:fill="CFE0F2"/>
            <w:tcMar>
              <w:top w:w="30" w:type="dxa"/>
              <w:left w:w="0" w:type="dxa"/>
              <w:bottom w:w="30" w:type="dxa"/>
              <w:right w:w="0" w:type="dxa"/>
            </w:tcMar>
            <w:hideMark/>
          </w:tcPr>
          <w:p w:rsidR="00B86410" w:rsidRPr="00CC359E" w:rsidRDefault="00B86410" w:rsidP="00B86410">
            <w:pPr>
              <w:widowControl/>
              <w:spacing w:line="240" w:lineRule="atLeast"/>
              <w:rPr>
                <w:rFonts w:ascii="新細明體" w:hAnsi="新細明體" w:cs="新細明體"/>
                <w:b/>
                <w:bCs/>
                <w:color w:val="333333"/>
                <w:spacing w:val="29"/>
                <w:kern w:val="0"/>
                <w:szCs w:val="24"/>
              </w:rPr>
            </w:pPr>
            <w:r w:rsidRPr="00CC359E">
              <w:rPr>
                <w:rFonts w:ascii="新細明體" w:hAnsi="新細明體" w:cs="新細明體" w:hint="eastAsia"/>
                <w:b/>
                <w:bCs/>
                <w:color w:val="333333"/>
                <w:spacing w:val="29"/>
                <w:kern w:val="0"/>
                <w:szCs w:val="24"/>
              </w:rPr>
              <w:t>證券市場</w:t>
            </w:r>
          </w:p>
        </w:tc>
        <w:tc>
          <w:tcPr>
            <w:tcW w:w="1701" w:type="dxa"/>
            <w:tcBorders>
              <w:top w:val="single" w:sz="6" w:space="0" w:color="CCCCCC"/>
              <w:left w:val="single" w:sz="6" w:space="0" w:color="CCCCCC"/>
              <w:bottom w:val="single" w:sz="6" w:space="0" w:color="CCCCCC"/>
              <w:right w:val="single" w:sz="6" w:space="0" w:color="CCCCCC"/>
            </w:tcBorders>
            <w:shd w:val="clear" w:color="auto" w:fill="CFE0F2"/>
            <w:tcMar>
              <w:top w:w="30" w:type="dxa"/>
              <w:left w:w="0" w:type="dxa"/>
              <w:bottom w:w="30" w:type="dxa"/>
              <w:right w:w="0" w:type="dxa"/>
            </w:tcMar>
            <w:hideMark/>
          </w:tcPr>
          <w:p w:rsidR="00B86410" w:rsidRPr="00CC359E" w:rsidRDefault="00B86410" w:rsidP="00B86410">
            <w:pPr>
              <w:widowControl/>
              <w:spacing w:line="240" w:lineRule="atLeast"/>
              <w:jc w:val="center"/>
              <w:rPr>
                <w:rFonts w:ascii="新細明體" w:hAnsi="新細明體" w:cs="新細明體"/>
                <w:b/>
                <w:bCs/>
                <w:color w:val="333333"/>
                <w:spacing w:val="29"/>
                <w:kern w:val="0"/>
                <w:szCs w:val="24"/>
              </w:rPr>
            </w:pPr>
            <w:r w:rsidRPr="00CC359E">
              <w:rPr>
                <w:rFonts w:ascii="新細明體" w:hAnsi="新細明體" w:cs="新細明體" w:hint="eastAsia"/>
                <w:b/>
                <w:bCs/>
                <w:color w:val="333333"/>
                <w:spacing w:val="29"/>
                <w:kern w:val="0"/>
                <w:szCs w:val="24"/>
              </w:rPr>
              <w:t>截至2014年</w:t>
            </w:r>
            <w:r w:rsidRPr="00CC359E">
              <w:rPr>
                <w:rFonts w:ascii="新細明體" w:hAnsi="新細明體" w:cs="新細明體" w:hint="eastAsia"/>
                <w:b/>
                <w:bCs/>
                <w:color w:val="333333"/>
                <w:spacing w:val="29"/>
                <w:kern w:val="0"/>
                <w:szCs w:val="24"/>
              </w:rPr>
              <w:br/>
            </w:r>
            <w:r w:rsidRPr="00CC359E">
              <w:rPr>
                <w:rFonts w:ascii="新細明體" w:hAnsi="新細明體" w:cs="新細明體" w:hint="eastAsia"/>
                <w:b/>
                <w:bCs/>
                <w:color w:val="333333"/>
                <w:spacing w:val="29"/>
                <w:kern w:val="0"/>
                <w:szCs w:val="24"/>
                <w:lang w:val="en-GB"/>
              </w:rPr>
              <w:t>11</w:t>
            </w:r>
            <w:r w:rsidRPr="00CC359E">
              <w:rPr>
                <w:rFonts w:ascii="新細明體" w:hAnsi="新細明體" w:cs="新細明體" w:hint="eastAsia"/>
                <w:b/>
                <w:bCs/>
                <w:color w:val="333333"/>
                <w:spacing w:val="29"/>
                <w:kern w:val="0"/>
                <w:szCs w:val="24"/>
              </w:rPr>
              <w:t>月底</w:t>
            </w:r>
          </w:p>
        </w:tc>
        <w:tc>
          <w:tcPr>
            <w:tcW w:w="1655" w:type="dxa"/>
            <w:tcBorders>
              <w:top w:val="single" w:sz="6" w:space="0" w:color="CCCCCC"/>
              <w:left w:val="single" w:sz="6" w:space="0" w:color="CCCCCC"/>
              <w:bottom w:val="single" w:sz="6" w:space="0" w:color="CCCCCC"/>
              <w:right w:val="single" w:sz="6" w:space="0" w:color="CCCCCC"/>
            </w:tcBorders>
            <w:shd w:val="clear" w:color="auto" w:fill="CFE0F2"/>
            <w:tcMar>
              <w:top w:w="30" w:type="dxa"/>
              <w:left w:w="0" w:type="dxa"/>
              <w:bottom w:w="30" w:type="dxa"/>
              <w:right w:w="0" w:type="dxa"/>
            </w:tcMar>
            <w:hideMark/>
          </w:tcPr>
          <w:p w:rsidR="00B86410" w:rsidRPr="00CC359E" w:rsidRDefault="00B86410" w:rsidP="00B86410">
            <w:pPr>
              <w:widowControl/>
              <w:spacing w:line="240" w:lineRule="atLeast"/>
              <w:jc w:val="center"/>
              <w:rPr>
                <w:rFonts w:ascii="新細明體" w:hAnsi="新細明體" w:cs="新細明體"/>
                <w:b/>
                <w:bCs/>
                <w:color w:val="333333"/>
                <w:spacing w:val="29"/>
                <w:kern w:val="0"/>
                <w:szCs w:val="24"/>
              </w:rPr>
            </w:pPr>
            <w:r w:rsidRPr="00CC359E">
              <w:rPr>
                <w:rFonts w:ascii="新細明體" w:hAnsi="新細明體" w:cs="新細明體" w:hint="eastAsia"/>
                <w:b/>
                <w:bCs/>
                <w:color w:val="333333"/>
                <w:spacing w:val="29"/>
                <w:kern w:val="0"/>
                <w:szCs w:val="24"/>
              </w:rPr>
              <w:t>截至2013年</w:t>
            </w:r>
            <w:r w:rsidRPr="00CC359E">
              <w:rPr>
                <w:rFonts w:ascii="新細明體" w:hAnsi="新細明體" w:cs="新細明體" w:hint="eastAsia"/>
                <w:b/>
                <w:bCs/>
                <w:color w:val="333333"/>
                <w:spacing w:val="29"/>
                <w:kern w:val="0"/>
                <w:szCs w:val="24"/>
              </w:rPr>
              <w:br/>
            </w:r>
            <w:r w:rsidRPr="00CC359E">
              <w:rPr>
                <w:rFonts w:ascii="新細明體" w:hAnsi="新細明體" w:cs="新細明體" w:hint="eastAsia"/>
                <w:b/>
                <w:bCs/>
                <w:color w:val="333333"/>
                <w:spacing w:val="29"/>
                <w:kern w:val="0"/>
                <w:szCs w:val="24"/>
                <w:lang w:val="en-GB"/>
              </w:rPr>
              <w:t>11</w:t>
            </w:r>
            <w:r w:rsidRPr="00CC359E">
              <w:rPr>
                <w:rFonts w:ascii="新細明體" w:hAnsi="新細明體" w:cs="新細明體" w:hint="eastAsia"/>
                <w:b/>
                <w:bCs/>
                <w:color w:val="333333"/>
                <w:spacing w:val="29"/>
                <w:kern w:val="0"/>
                <w:szCs w:val="24"/>
              </w:rPr>
              <w:t>月底</w:t>
            </w:r>
          </w:p>
        </w:tc>
        <w:tc>
          <w:tcPr>
            <w:tcW w:w="1134" w:type="dxa"/>
            <w:tcBorders>
              <w:top w:val="single" w:sz="6" w:space="0" w:color="CCCCCC"/>
              <w:left w:val="single" w:sz="6" w:space="0" w:color="CCCCCC"/>
              <w:bottom w:val="single" w:sz="6" w:space="0" w:color="CCCCCC"/>
              <w:right w:val="single" w:sz="6" w:space="0" w:color="CCCCCC"/>
            </w:tcBorders>
            <w:shd w:val="clear" w:color="auto" w:fill="CFE0F2"/>
            <w:tcMar>
              <w:top w:w="30" w:type="dxa"/>
              <w:left w:w="0" w:type="dxa"/>
              <w:bottom w:w="30" w:type="dxa"/>
              <w:right w:w="0" w:type="dxa"/>
            </w:tcMar>
            <w:hideMark/>
          </w:tcPr>
          <w:p w:rsidR="00B86410" w:rsidRPr="00CC359E" w:rsidRDefault="00B86410" w:rsidP="00B86410">
            <w:pPr>
              <w:widowControl/>
              <w:spacing w:line="240" w:lineRule="atLeast"/>
              <w:jc w:val="right"/>
              <w:rPr>
                <w:rFonts w:ascii="新細明體" w:hAnsi="新細明體" w:cs="新細明體"/>
                <w:b/>
                <w:bCs/>
                <w:color w:val="333333"/>
                <w:spacing w:val="29"/>
                <w:kern w:val="0"/>
                <w:szCs w:val="24"/>
              </w:rPr>
            </w:pPr>
            <w:r w:rsidRPr="00CC359E">
              <w:rPr>
                <w:rFonts w:ascii="新細明體" w:hAnsi="新細明體" w:cs="新細明體" w:hint="eastAsia"/>
                <w:b/>
                <w:bCs/>
                <w:color w:val="333333"/>
                <w:spacing w:val="29"/>
                <w:kern w:val="0"/>
                <w:szCs w:val="24"/>
              </w:rPr>
              <w:t>% 增 / 減</w:t>
            </w:r>
          </w:p>
        </w:tc>
      </w:tr>
      <w:tr w:rsidR="00B86410" w:rsidRPr="00CC359E" w:rsidTr="00B86410">
        <w:tc>
          <w:tcPr>
            <w:tcW w:w="4023" w:type="dxa"/>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新增上市公司</w:t>
            </w:r>
            <w:r w:rsidRPr="00CC359E">
              <w:rPr>
                <w:rFonts w:ascii="新細明體" w:hAnsi="新細明體" w:cs="新細明體" w:hint="eastAsia"/>
                <w:color w:val="333333"/>
                <w:spacing w:val="29"/>
                <w:kern w:val="0"/>
                <w:szCs w:val="24"/>
                <w:lang w:val="en-GB"/>
              </w:rPr>
              <w:t> (</w:t>
            </w:r>
            <w:r w:rsidRPr="00CC359E">
              <w:rPr>
                <w:rFonts w:ascii="新細明體" w:hAnsi="新細明體" w:cs="新細明體" w:hint="eastAsia"/>
                <w:color w:val="333333"/>
                <w:spacing w:val="29"/>
                <w:kern w:val="0"/>
                <w:szCs w:val="24"/>
              </w:rPr>
              <w:t>家</w:t>
            </w:r>
            <w:r w:rsidRPr="00CC359E">
              <w:rPr>
                <w:rFonts w:ascii="新細明體" w:hAnsi="新細明體" w:cs="新細明體" w:hint="eastAsia"/>
                <w:color w:val="333333"/>
                <w:spacing w:val="29"/>
                <w:kern w:val="0"/>
                <w:szCs w:val="24"/>
                <w:lang w:val="en-GB"/>
              </w:rPr>
              <w:t>) #</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jc w:val="righ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lang w:val="en-GB"/>
              </w:rPr>
              <w:t>105</w:t>
            </w:r>
          </w:p>
        </w:tc>
        <w:tc>
          <w:tcPr>
            <w:tcW w:w="1655" w:type="dxa"/>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jc w:val="righ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lang w:val="en-GB"/>
              </w:rPr>
              <w:t>78</w:t>
            </w:r>
          </w:p>
        </w:tc>
        <w:tc>
          <w:tcPr>
            <w:tcW w:w="1134" w:type="dxa"/>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jc w:val="righ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34.6%</w:t>
            </w:r>
          </w:p>
        </w:tc>
      </w:tr>
      <w:tr w:rsidR="00B86410" w:rsidRPr="00CC359E" w:rsidTr="00B86410">
        <w:tc>
          <w:tcPr>
            <w:tcW w:w="4023" w:type="dxa"/>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每日平均成交金額 (百萬元) ^</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jc w:val="righ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66,895</w:t>
            </w:r>
          </w:p>
        </w:tc>
        <w:tc>
          <w:tcPr>
            <w:tcW w:w="1655" w:type="dxa"/>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jc w:val="righ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63,097</w:t>
            </w:r>
          </w:p>
        </w:tc>
        <w:tc>
          <w:tcPr>
            <w:tcW w:w="1134" w:type="dxa"/>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jc w:val="righ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6.0%</w:t>
            </w:r>
          </w:p>
        </w:tc>
      </w:tr>
      <w:tr w:rsidR="00B86410" w:rsidRPr="00CC359E" w:rsidTr="00B86410">
        <w:tc>
          <w:tcPr>
            <w:tcW w:w="4023" w:type="dxa"/>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每日平均成交股數 (百萬股)</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jc w:val="righ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136,876</w:t>
            </w:r>
          </w:p>
        </w:tc>
        <w:tc>
          <w:tcPr>
            <w:tcW w:w="1655" w:type="dxa"/>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jc w:val="righ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144,645</w:t>
            </w:r>
          </w:p>
        </w:tc>
        <w:tc>
          <w:tcPr>
            <w:tcW w:w="1134" w:type="dxa"/>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jc w:val="righ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-5.4%</w:t>
            </w:r>
          </w:p>
        </w:tc>
      </w:tr>
      <w:tr w:rsidR="00B86410" w:rsidRPr="00CC359E" w:rsidTr="00B86410">
        <w:tc>
          <w:tcPr>
            <w:tcW w:w="4023" w:type="dxa"/>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每日平均成交宗數</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jc w:val="righ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1,042,922</w:t>
            </w:r>
          </w:p>
        </w:tc>
        <w:tc>
          <w:tcPr>
            <w:tcW w:w="1655" w:type="dxa"/>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jc w:val="righ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941,563</w:t>
            </w:r>
          </w:p>
        </w:tc>
        <w:tc>
          <w:tcPr>
            <w:tcW w:w="1134" w:type="dxa"/>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jc w:val="righ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10.8%</w:t>
            </w:r>
          </w:p>
        </w:tc>
      </w:tr>
      <w:tr w:rsidR="00B86410" w:rsidRPr="00CC359E" w:rsidTr="00B86410">
        <w:tc>
          <w:tcPr>
            <w:tcW w:w="4023" w:type="dxa"/>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首次上市集資總額 （百萬元）</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jc w:val="righ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141,015</w:t>
            </w:r>
          </w:p>
        </w:tc>
        <w:tc>
          <w:tcPr>
            <w:tcW w:w="1655" w:type="dxa"/>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jc w:val="righ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96,558</w:t>
            </w:r>
          </w:p>
        </w:tc>
        <w:tc>
          <w:tcPr>
            <w:tcW w:w="1134" w:type="dxa"/>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jc w:val="righ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46.0%</w:t>
            </w:r>
          </w:p>
        </w:tc>
      </w:tr>
      <w:tr w:rsidR="00B86410" w:rsidRPr="00CC359E" w:rsidTr="00B86410">
        <w:tc>
          <w:tcPr>
            <w:tcW w:w="4023" w:type="dxa"/>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集資總額 (包括首次上市集資) （百萬元）*</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jc w:val="righ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728,836</w:t>
            </w:r>
          </w:p>
        </w:tc>
        <w:tc>
          <w:tcPr>
            <w:tcW w:w="1655" w:type="dxa"/>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jc w:val="righ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272,697</w:t>
            </w:r>
          </w:p>
        </w:tc>
        <w:tc>
          <w:tcPr>
            <w:tcW w:w="1134" w:type="dxa"/>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jc w:val="righ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167.3%</w:t>
            </w:r>
          </w:p>
        </w:tc>
      </w:tr>
      <w:tr w:rsidR="00B86410" w:rsidRPr="00CC359E" w:rsidTr="00B86410">
        <w:tc>
          <w:tcPr>
            <w:tcW w:w="4023" w:type="dxa"/>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rPr>
                <w:rFonts w:ascii="新細明體" w:hAnsi="新細明體" w:cs="新細明體"/>
                <w:color w:val="333333"/>
                <w:spacing w:val="29"/>
                <w:kern w:val="0"/>
                <w:szCs w:val="24"/>
              </w:rPr>
            </w:pPr>
            <w:r w:rsidRPr="00CC359E">
              <w:rPr>
                <w:rFonts w:ascii="新細明體" w:hAnsi="新細明體" w:cs="新細明體" w:hint="eastAsia"/>
                <w:b/>
                <w:bCs/>
                <w:color w:val="333333"/>
                <w:spacing w:val="29"/>
                <w:kern w:val="0"/>
                <w:szCs w:val="24"/>
              </w:rPr>
              <w:t>衍生產品市場</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jc w:val="center"/>
              <w:rPr>
                <w:rFonts w:ascii="新細明體" w:hAnsi="新細明體" w:cs="新細明體"/>
                <w:color w:val="333333"/>
                <w:spacing w:val="29"/>
                <w:kern w:val="0"/>
                <w:szCs w:val="24"/>
              </w:rPr>
            </w:pPr>
            <w:r w:rsidRPr="00CC359E">
              <w:rPr>
                <w:rFonts w:ascii="新細明體" w:hAnsi="新細明體" w:cs="新細明體" w:hint="eastAsia"/>
                <w:b/>
                <w:bCs/>
                <w:color w:val="333333"/>
                <w:spacing w:val="29"/>
                <w:kern w:val="0"/>
                <w:szCs w:val="24"/>
              </w:rPr>
              <w:t>截至2014年</w:t>
            </w:r>
            <w:r w:rsidRPr="00CC359E">
              <w:rPr>
                <w:rFonts w:ascii="新細明體" w:hAnsi="新細明體" w:cs="新細明體" w:hint="eastAsia"/>
                <w:b/>
                <w:bCs/>
                <w:color w:val="333333"/>
                <w:spacing w:val="29"/>
                <w:kern w:val="0"/>
                <w:szCs w:val="24"/>
              </w:rPr>
              <w:br/>
            </w:r>
            <w:r w:rsidRPr="00CC359E">
              <w:rPr>
                <w:rFonts w:ascii="新細明體" w:hAnsi="新細明體" w:cs="新細明體" w:hint="eastAsia"/>
                <w:b/>
                <w:bCs/>
                <w:color w:val="333333"/>
                <w:spacing w:val="29"/>
                <w:kern w:val="0"/>
                <w:szCs w:val="24"/>
                <w:lang w:val="en-GB"/>
              </w:rPr>
              <w:t>11</w:t>
            </w:r>
            <w:r w:rsidRPr="00CC359E">
              <w:rPr>
                <w:rFonts w:ascii="新細明體" w:hAnsi="新細明體" w:cs="新細明體" w:hint="eastAsia"/>
                <w:b/>
                <w:bCs/>
                <w:color w:val="333333"/>
                <w:spacing w:val="29"/>
                <w:kern w:val="0"/>
                <w:szCs w:val="24"/>
              </w:rPr>
              <w:t>月底</w:t>
            </w:r>
          </w:p>
        </w:tc>
        <w:tc>
          <w:tcPr>
            <w:tcW w:w="1655" w:type="dxa"/>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jc w:val="center"/>
              <w:rPr>
                <w:rFonts w:ascii="新細明體" w:hAnsi="新細明體" w:cs="新細明體"/>
                <w:color w:val="333333"/>
                <w:spacing w:val="29"/>
                <w:kern w:val="0"/>
                <w:szCs w:val="24"/>
              </w:rPr>
            </w:pPr>
            <w:r w:rsidRPr="00CC359E">
              <w:rPr>
                <w:rFonts w:ascii="新細明體" w:hAnsi="新細明體" w:cs="新細明體" w:hint="eastAsia"/>
                <w:b/>
                <w:bCs/>
                <w:color w:val="333333"/>
                <w:spacing w:val="29"/>
                <w:kern w:val="0"/>
                <w:szCs w:val="24"/>
              </w:rPr>
              <w:t>截至2013年</w:t>
            </w:r>
            <w:r w:rsidRPr="00CC359E">
              <w:rPr>
                <w:rFonts w:ascii="新細明體" w:hAnsi="新細明體" w:cs="新細明體" w:hint="eastAsia"/>
                <w:b/>
                <w:bCs/>
                <w:color w:val="333333"/>
                <w:spacing w:val="29"/>
                <w:kern w:val="0"/>
                <w:szCs w:val="24"/>
              </w:rPr>
              <w:br/>
            </w:r>
            <w:r w:rsidRPr="00CC359E">
              <w:rPr>
                <w:rFonts w:ascii="新細明體" w:hAnsi="新細明體" w:cs="新細明體" w:hint="eastAsia"/>
                <w:b/>
                <w:bCs/>
                <w:color w:val="333333"/>
                <w:spacing w:val="29"/>
                <w:kern w:val="0"/>
                <w:szCs w:val="24"/>
                <w:lang w:val="en-GB"/>
              </w:rPr>
              <w:t>11</w:t>
            </w:r>
            <w:r w:rsidRPr="00CC359E">
              <w:rPr>
                <w:rFonts w:ascii="新細明體" w:hAnsi="新細明體" w:cs="新細明體" w:hint="eastAsia"/>
                <w:b/>
                <w:bCs/>
                <w:color w:val="333333"/>
                <w:spacing w:val="29"/>
                <w:kern w:val="0"/>
                <w:szCs w:val="24"/>
              </w:rPr>
              <w:t>月底</w:t>
            </w:r>
          </w:p>
        </w:tc>
        <w:tc>
          <w:tcPr>
            <w:tcW w:w="1134" w:type="dxa"/>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jc w:val="right"/>
              <w:rPr>
                <w:rFonts w:ascii="新細明體" w:hAnsi="新細明體" w:cs="新細明體"/>
                <w:color w:val="333333"/>
                <w:spacing w:val="29"/>
                <w:kern w:val="0"/>
                <w:szCs w:val="24"/>
              </w:rPr>
            </w:pPr>
            <w:r w:rsidRPr="00CC359E">
              <w:rPr>
                <w:rFonts w:ascii="新細明體" w:hAnsi="新細明體" w:cs="新細明體" w:hint="eastAsia"/>
                <w:b/>
                <w:bCs/>
                <w:color w:val="333333"/>
                <w:spacing w:val="29"/>
                <w:kern w:val="0"/>
                <w:szCs w:val="24"/>
              </w:rPr>
              <w:t>% 增 / 減</w:t>
            </w:r>
          </w:p>
        </w:tc>
      </w:tr>
      <w:tr w:rsidR="00B86410" w:rsidRPr="00CC359E" w:rsidTr="00B86410">
        <w:tc>
          <w:tcPr>
            <w:tcW w:w="4023" w:type="dxa"/>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平均每日合約成交量 (張數)</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jc w:val="center"/>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 </w:t>
            </w:r>
          </w:p>
        </w:tc>
        <w:tc>
          <w:tcPr>
            <w:tcW w:w="1655" w:type="dxa"/>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jc w:val="center"/>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 </w:t>
            </w:r>
          </w:p>
        </w:tc>
        <w:tc>
          <w:tcPr>
            <w:tcW w:w="1134" w:type="dxa"/>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jc w:val="righ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 </w:t>
            </w:r>
          </w:p>
        </w:tc>
      </w:tr>
      <w:tr w:rsidR="00B86410" w:rsidRPr="00CC359E" w:rsidTr="00B86410">
        <w:tc>
          <w:tcPr>
            <w:tcW w:w="4023" w:type="dxa"/>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  –  股市指數期貨</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jc w:val="righ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194,944</w:t>
            </w:r>
          </w:p>
        </w:tc>
        <w:tc>
          <w:tcPr>
            <w:tcW w:w="1655" w:type="dxa"/>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jc w:val="righ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210,280</w:t>
            </w:r>
          </w:p>
        </w:tc>
        <w:tc>
          <w:tcPr>
            <w:tcW w:w="1134" w:type="dxa"/>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jc w:val="righ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-7.3%</w:t>
            </w:r>
          </w:p>
        </w:tc>
      </w:tr>
      <w:tr w:rsidR="00B86410" w:rsidRPr="00CC359E" w:rsidTr="00B86410">
        <w:tc>
          <w:tcPr>
            <w:tcW w:w="4023" w:type="dxa"/>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  –  股票期貨</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jc w:val="righ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1,632</w:t>
            </w:r>
          </w:p>
        </w:tc>
        <w:tc>
          <w:tcPr>
            <w:tcW w:w="1655" w:type="dxa"/>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jc w:val="righ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1,902</w:t>
            </w:r>
          </w:p>
        </w:tc>
        <w:tc>
          <w:tcPr>
            <w:tcW w:w="1134" w:type="dxa"/>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jc w:val="righ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-14.2%</w:t>
            </w:r>
          </w:p>
        </w:tc>
      </w:tr>
      <w:tr w:rsidR="00B86410" w:rsidRPr="00CC359E" w:rsidTr="00B86410">
        <w:tc>
          <w:tcPr>
            <w:tcW w:w="4023" w:type="dxa"/>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  –  利率期貨</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jc w:val="righ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0</w:t>
            </w:r>
          </w:p>
        </w:tc>
        <w:tc>
          <w:tcPr>
            <w:tcW w:w="1655" w:type="dxa"/>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jc w:val="righ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0</w:t>
            </w:r>
          </w:p>
        </w:tc>
        <w:tc>
          <w:tcPr>
            <w:tcW w:w="1134" w:type="dxa"/>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jc w:val="center"/>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w:t>
            </w:r>
          </w:p>
        </w:tc>
      </w:tr>
      <w:tr w:rsidR="00B86410" w:rsidRPr="00CC359E" w:rsidTr="00B86410">
        <w:tc>
          <w:tcPr>
            <w:tcW w:w="4023" w:type="dxa"/>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  –  </w:t>
            </w:r>
            <w:hyperlink r:id="rId9" w:history="1">
              <w:r w:rsidRPr="00CC359E">
                <w:rPr>
                  <w:rFonts w:ascii="新細明體" w:hAnsi="新細明體" w:cs="新細明體" w:hint="eastAsia"/>
                  <w:spacing w:val="29"/>
                  <w:kern w:val="0"/>
                  <w:szCs w:val="24"/>
                </w:rPr>
                <w:t>人民幣貨幣期貨</w:t>
              </w:r>
            </w:hyperlink>
          </w:p>
        </w:tc>
        <w:tc>
          <w:tcPr>
            <w:tcW w:w="1701" w:type="dxa"/>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jc w:val="righ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788</w:t>
            </w:r>
          </w:p>
        </w:tc>
        <w:tc>
          <w:tcPr>
            <w:tcW w:w="1655" w:type="dxa"/>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jc w:val="righ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567</w:t>
            </w:r>
          </w:p>
        </w:tc>
        <w:tc>
          <w:tcPr>
            <w:tcW w:w="1134" w:type="dxa"/>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jc w:val="righ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39.0%</w:t>
            </w:r>
          </w:p>
        </w:tc>
      </w:tr>
      <w:tr w:rsidR="00B86410" w:rsidRPr="00CC359E" w:rsidTr="00B86410">
        <w:tc>
          <w:tcPr>
            <w:tcW w:w="4023" w:type="dxa"/>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  –  </w:t>
            </w:r>
            <w:r w:rsidRPr="00CC359E">
              <w:rPr>
                <w:rFonts w:ascii="新細明體" w:hAnsi="新細明體" w:cs="新細明體" w:hint="eastAsia"/>
                <w:color w:val="000000"/>
                <w:spacing w:val="29"/>
                <w:kern w:val="0"/>
                <w:szCs w:val="24"/>
              </w:rPr>
              <w:t>黃金</w:t>
            </w:r>
            <w:r w:rsidRPr="00CC359E">
              <w:rPr>
                <w:rFonts w:ascii="新細明體" w:hAnsi="新細明體" w:cs="新細明體" w:hint="eastAsia"/>
                <w:color w:val="333333"/>
                <w:spacing w:val="29"/>
                <w:kern w:val="0"/>
                <w:szCs w:val="24"/>
              </w:rPr>
              <w:t>期貨</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jc w:val="righ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0</w:t>
            </w:r>
          </w:p>
        </w:tc>
        <w:tc>
          <w:tcPr>
            <w:tcW w:w="1655" w:type="dxa"/>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jc w:val="righ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0</w:t>
            </w:r>
          </w:p>
        </w:tc>
        <w:tc>
          <w:tcPr>
            <w:tcW w:w="1134" w:type="dxa"/>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jc w:val="center"/>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w:t>
            </w:r>
          </w:p>
        </w:tc>
      </w:tr>
      <w:tr w:rsidR="00B86410" w:rsidRPr="00CC359E" w:rsidTr="00B86410">
        <w:tc>
          <w:tcPr>
            <w:tcW w:w="4023" w:type="dxa"/>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  –  股市指數期權</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jc w:val="righ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68,789</w:t>
            </w:r>
          </w:p>
        </w:tc>
        <w:tc>
          <w:tcPr>
            <w:tcW w:w="1655" w:type="dxa"/>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jc w:val="righ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73,422</w:t>
            </w:r>
          </w:p>
        </w:tc>
        <w:tc>
          <w:tcPr>
            <w:tcW w:w="1134" w:type="dxa"/>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jc w:val="righ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-6.3%</w:t>
            </w:r>
          </w:p>
        </w:tc>
      </w:tr>
      <w:tr w:rsidR="00B86410" w:rsidRPr="00CC359E" w:rsidTr="00B86410">
        <w:tc>
          <w:tcPr>
            <w:tcW w:w="4023" w:type="dxa"/>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  –  股票期權</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jc w:val="righ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283,212</w:t>
            </w:r>
          </w:p>
        </w:tc>
        <w:tc>
          <w:tcPr>
            <w:tcW w:w="1655" w:type="dxa"/>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jc w:val="righ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248,774</w:t>
            </w:r>
          </w:p>
        </w:tc>
        <w:tc>
          <w:tcPr>
            <w:tcW w:w="1134" w:type="dxa"/>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jc w:val="righ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13.8%</w:t>
            </w:r>
          </w:p>
        </w:tc>
      </w:tr>
      <w:tr w:rsidR="00B86410" w:rsidRPr="00CC359E" w:rsidTr="00B86410">
        <w:tc>
          <w:tcPr>
            <w:tcW w:w="4023" w:type="dxa"/>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rPr>
                <w:rFonts w:ascii="新細明體" w:hAnsi="新細明體" w:cs="新細明體"/>
                <w:color w:val="333333"/>
                <w:spacing w:val="29"/>
                <w:kern w:val="0"/>
                <w:szCs w:val="24"/>
              </w:rPr>
            </w:pPr>
            <w:r w:rsidRPr="00CC359E">
              <w:rPr>
                <w:rFonts w:ascii="新細明體" w:hAnsi="新細明體" w:cs="新細明體" w:hint="eastAsia"/>
                <w:b/>
                <w:bCs/>
                <w:color w:val="333333"/>
                <w:spacing w:val="29"/>
                <w:kern w:val="0"/>
                <w:szCs w:val="24"/>
              </w:rPr>
              <w:t>結算及交收</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jc w:val="center"/>
              <w:rPr>
                <w:rFonts w:ascii="新細明體" w:hAnsi="新細明體" w:cs="新細明體"/>
                <w:color w:val="333333"/>
                <w:spacing w:val="29"/>
                <w:kern w:val="0"/>
                <w:szCs w:val="24"/>
              </w:rPr>
            </w:pPr>
            <w:r w:rsidRPr="00CC359E">
              <w:rPr>
                <w:rFonts w:ascii="新細明體" w:hAnsi="新細明體" w:cs="新細明體" w:hint="eastAsia"/>
                <w:b/>
                <w:bCs/>
                <w:color w:val="333333"/>
                <w:spacing w:val="29"/>
                <w:kern w:val="0"/>
                <w:szCs w:val="24"/>
              </w:rPr>
              <w:t>截至2014年</w:t>
            </w:r>
            <w:r w:rsidRPr="00CC359E">
              <w:rPr>
                <w:rFonts w:ascii="新細明體" w:hAnsi="新細明體" w:cs="新細明體" w:hint="eastAsia"/>
                <w:b/>
                <w:bCs/>
                <w:color w:val="333333"/>
                <w:spacing w:val="29"/>
                <w:kern w:val="0"/>
                <w:szCs w:val="24"/>
              </w:rPr>
              <w:br/>
            </w:r>
            <w:r w:rsidRPr="00CC359E">
              <w:rPr>
                <w:rFonts w:ascii="新細明體" w:hAnsi="新細明體" w:cs="新細明體" w:hint="eastAsia"/>
                <w:b/>
                <w:bCs/>
                <w:color w:val="333333"/>
                <w:spacing w:val="29"/>
                <w:kern w:val="0"/>
                <w:szCs w:val="24"/>
                <w:lang w:val="en-GB"/>
              </w:rPr>
              <w:t>11</w:t>
            </w:r>
            <w:r w:rsidRPr="00CC359E">
              <w:rPr>
                <w:rFonts w:ascii="新細明體" w:hAnsi="新細明體" w:cs="新細明體" w:hint="eastAsia"/>
                <w:b/>
                <w:bCs/>
                <w:color w:val="333333"/>
                <w:spacing w:val="29"/>
                <w:kern w:val="0"/>
                <w:szCs w:val="24"/>
              </w:rPr>
              <w:t>月底</w:t>
            </w:r>
          </w:p>
        </w:tc>
        <w:tc>
          <w:tcPr>
            <w:tcW w:w="1655" w:type="dxa"/>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jc w:val="center"/>
              <w:rPr>
                <w:rFonts w:ascii="新細明體" w:hAnsi="新細明體" w:cs="新細明體"/>
                <w:color w:val="333333"/>
                <w:spacing w:val="29"/>
                <w:kern w:val="0"/>
                <w:szCs w:val="24"/>
              </w:rPr>
            </w:pPr>
            <w:r w:rsidRPr="00CC359E">
              <w:rPr>
                <w:rFonts w:ascii="新細明體" w:hAnsi="新細明體" w:cs="新細明體" w:hint="eastAsia"/>
                <w:b/>
                <w:bCs/>
                <w:color w:val="333333"/>
                <w:spacing w:val="29"/>
                <w:kern w:val="0"/>
                <w:szCs w:val="24"/>
              </w:rPr>
              <w:t>截至2013年</w:t>
            </w:r>
            <w:r w:rsidRPr="00CC359E">
              <w:rPr>
                <w:rFonts w:ascii="新細明體" w:hAnsi="新細明體" w:cs="新細明體" w:hint="eastAsia"/>
                <w:b/>
                <w:bCs/>
                <w:color w:val="333333"/>
                <w:spacing w:val="29"/>
                <w:kern w:val="0"/>
                <w:szCs w:val="24"/>
              </w:rPr>
              <w:br/>
            </w:r>
            <w:r w:rsidRPr="00CC359E">
              <w:rPr>
                <w:rFonts w:ascii="新細明體" w:hAnsi="新細明體" w:cs="新細明體" w:hint="eastAsia"/>
                <w:b/>
                <w:bCs/>
                <w:color w:val="333333"/>
                <w:spacing w:val="29"/>
                <w:kern w:val="0"/>
                <w:szCs w:val="24"/>
                <w:lang w:val="en-GB"/>
              </w:rPr>
              <w:t>11</w:t>
            </w:r>
            <w:r w:rsidRPr="00CC359E">
              <w:rPr>
                <w:rFonts w:ascii="新細明體" w:hAnsi="新細明體" w:cs="新細明體" w:hint="eastAsia"/>
                <w:b/>
                <w:bCs/>
                <w:color w:val="333333"/>
                <w:spacing w:val="29"/>
                <w:kern w:val="0"/>
                <w:szCs w:val="24"/>
              </w:rPr>
              <w:t>月底</w:t>
            </w:r>
          </w:p>
        </w:tc>
        <w:tc>
          <w:tcPr>
            <w:tcW w:w="1134" w:type="dxa"/>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jc w:val="right"/>
              <w:rPr>
                <w:rFonts w:ascii="新細明體" w:hAnsi="新細明體" w:cs="新細明體"/>
                <w:color w:val="333333"/>
                <w:spacing w:val="29"/>
                <w:kern w:val="0"/>
                <w:szCs w:val="24"/>
              </w:rPr>
            </w:pPr>
            <w:r w:rsidRPr="00CC359E">
              <w:rPr>
                <w:rFonts w:ascii="新細明體" w:hAnsi="新細明體" w:cs="新細明體" w:hint="eastAsia"/>
                <w:b/>
                <w:bCs/>
                <w:color w:val="333333"/>
                <w:spacing w:val="29"/>
                <w:kern w:val="0"/>
                <w:szCs w:val="24"/>
              </w:rPr>
              <w:t>% 增 / 減</w:t>
            </w:r>
          </w:p>
        </w:tc>
      </w:tr>
      <w:tr w:rsidR="00B86410" w:rsidRPr="00CC359E" w:rsidTr="00B86410">
        <w:tc>
          <w:tcPr>
            <w:tcW w:w="4023" w:type="dxa"/>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經中央結算系統處理的聯交所買賣之每日平均數</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jc w:val="righ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1,041,539</w:t>
            </w:r>
          </w:p>
        </w:tc>
        <w:tc>
          <w:tcPr>
            <w:tcW w:w="1655" w:type="dxa"/>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jc w:val="righ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940,642</w:t>
            </w:r>
          </w:p>
        </w:tc>
        <w:tc>
          <w:tcPr>
            <w:tcW w:w="1134" w:type="dxa"/>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jc w:val="righ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10.73%</w:t>
            </w:r>
          </w:p>
        </w:tc>
      </w:tr>
      <w:tr w:rsidR="00B86410" w:rsidRPr="00CC359E" w:rsidTr="00B86410">
        <w:tc>
          <w:tcPr>
            <w:tcW w:w="4023" w:type="dxa"/>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經中央結算系統處理的交收指示之每日平均數</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jc w:val="righ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87,565</w:t>
            </w:r>
          </w:p>
        </w:tc>
        <w:tc>
          <w:tcPr>
            <w:tcW w:w="1655" w:type="dxa"/>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jc w:val="righ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82,386</w:t>
            </w:r>
          </w:p>
        </w:tc>
        <w:tc>
          <w:tcPr>
            <w:tcW w:w="1134" w:type="dxa"/>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jc w:val="righ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6.29%</w:t>
            </w:r>
          </w:p>
        </w:tc>
      </w:tr>
      <w:tr w:rsidR="00B86410" w:rsidRPr="00CC359E" w:rsidTr="00B86410">
        <w:tc>
          <w:tcPr>
            <w:tcW w:w="4023" w:type="dxa"/>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經中央結算系統處理的投資者交收指示之每日平均數</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jc w:val="righ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384</w:t>
            </w:r>
          </w:p>
        </w:tc>
        <w:tc>
          <w:tcPr>
            <w:tcW w:w="1655" w:type="dxa"/>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jc w:val="righ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396</w:t>
            </w:r>
          </w:p>
        </w:tc>
        <w:tc>
          <w:tcPr>
            <w:tcW w:w="1134" w:type="dxa"/>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hideMark/>
          </w:tcPr>
          <w:p w:rsidR="00B86410" w:rsidRPr="00CC359E" w:rsidRDefault="00B86410" w:rsidP="00B86410">
            <w:pPr>
              <w:widowControl/>
              <w:spacing w:line="240" w:lineRule="atLeast"/>
              <w:jc w:val="right"/>
              <w:rPr>
                <w:rFonts w:ascii="新細明體" w:hAnsi="新細明體" w:cs="新細明體"/>
                <w:color w:val="333333"/>
                <w:spacing w:val="29"/>
                <w:kern w:val="0"/>
                <w:szCs w:val="24"/>
              </w:rPr>
            </w:pPr>
            <w:r w:rsidRPr="00CC359E">
              <w:rPr>
                <w:rFonts w:ascii="新細明體" w:hAnsi="新細明體" w:cs="新細明體" w:hint="eastAsia"/>
                <w:color w:val="333333"/>
                <w:spacing w:val="29"/>
                <w:kern w:val="0"/>
                <w:szCs w:val="24"/>
              </w:rPr>
              <w:t>-3.03%</w:t>
            </w:r>
          </w:p>
        </w:tc>
      </w:tr>
    </w:tbl>
    <w:p w:rsidR="00B86410" w:rsidRPr="00B86410" w:rsidRDefault="00B86410"/>
    <w:p w:rsidR="00B86410" w:rsidRPr="006B5A1C" w:rsidRDefault="00B86410" w:rsidP="00B86410">
      <w:pPr>
        <w:pStyle w:val="Web"/>
        <w:shd w:val="clear" w:color="auto" w:fill="FFFFFF"/>
        <w:spacing w:before="0" w:beforeAutospacing="0" w:after="0" w:afterAutospacing="0" w:line="288" w:lineRule="atLeast"/>
        <w:rPr>
          <w:color w:val="333333"/>
          <w:spacing w:val="29"/>
          <w:shd w:val="clear" w:color="auto" w:fill="FFFFFF"/>
        </w:rPr>
      </w:pPr>
      <w:r w:rsidRPr="006B5A1C">
        <w:rPr>
          <w:rFonts w:eastAsia="細明體" w:hAnsi="細明體" w:hint="eastAsia"/>
        </w:rPr>
        <w:t>註</w:t>
      </w:r>
      <w:r w:rsidRPr="006B5A1C">
        <w:rPr>
          <w:rFonts w:eastAsia="細明體" w:hAnsi="細明體" w:hint="eastAsia"/>
        </w:rPr>
        <w:t xml:space="preserve">: </w:t>
      </w:r>
      <w:r w:rsidRPr="006B5A1C">
        <w:rPr>
          <w:rFonts w:hint="eastAsia"/>
          <w:color w:val="333333"/>
          <w:spacing w:val="29"/>
          <w:shd w:val="clear" w:color="auto" w:fill="FFFFFF"/>
        </w:rPr>
        <w:t>#</w:t>
      </w:r>
      <w:r w:rsidRPr="006B5A1C">
        <w:rPr>
          <w:rStyle w:val="apple-converted-space"/>
          <w:rFonts w:hint="eastAsia"/>
          <w:color w:val="333333"/>
          <w:spacing w:val="29"/>
          <w:shd w:val="clear" w:color="auto" w:fill="FFFFFF"/>
        </w:rPr>
        <w:t> </w:t>
      </w:r>
      <w:r w:rsidRPr="006B5A1C">
        <w:rPr>
          <w:rFonts w:hint="eastAsia"/>
          <w:color w:val="333333"/>
          <w:spacing w:val="29"/>
          <w:shd w:val="clear" w:color="auto" w:fill="FFFFFF"/>
        </w:rPr>
        <w:t>包括由創業板轉到主板的上市公司數目</w:t>
      </w:r>
    </w:p>
    <w:p w:rsidR="00B86410" w:rsidRPr="006B5A1C" w:rsidRDefault="00B86410" w:rsidP="00B86410">
      <w:pPr>
        <w:pStyle w:val="Web"/>
        <w:shd w:val="clear" w:color="auto" w:fill="FFFFFF"/>
        <w:spacing w:before="0" w:beforeAutospacing="0" w:after="0" w:afterAutospacing="0" w:line="288" w:lineRule="atLeast"/>
        <w:rPr>
          <w:color w:val="333333"/>
          <w:spacing w:val="29"/>
          <w:shd w:val="clear" w:color="auto" w:fill="FFFFFF"/>
        </w:rPr>
      </w:pPr>
      <w:r w:rsidRPr="006B5A1C">
        <w:rPr>
          <w:rFonts w:hint="eastAsia"/>
          <w:color w:val="333333"/>
          <w:spacing w:val="29"/>
          <w:shd w:val="clear" w:color="auto" w:fill="FFFFFF"/>
        </w:rPr>
        <w:t xml:space="preserve">  ^ 成交金額包括非港元交易買賣的證券</w:t>
      </w:r>
    </w:p>
    <w:p w:rsidR="00B86410" w:rsidRPr="000667AA" w:rsidRDefault="00B86410" w:rsidP="00B86410">
      <w:pPr>
        <w:pStyle w:val="Web"/>
        <w:shd w:val="clear" w:color="auto" w:fill="FFFFFF"/>
        <w:spacing w:before="0" w:beforeAutospacing="0" w:after="0" w:afterAutospacing="0" w:line="288" w:lineRule="atLeast"/>
        <w:rPr>
          <w:rFonts w:ascii="Verdana" w:hAnsi="Verdana"/>
          <w:color w:val="000000"/>
        </w:rPr>
      </w:pPr>
      <w:r w:rsidRPr="006B5A1C">
        <w:rPr>
          <w:rFonts w:hint="eastAsia"/>
          <w:color w:val="333333"/>
          <w:spacing w:val="29"/>
          <w:shd w:val="clear" w:color="auto" w:fill="FFFFFF"/>
        </w:rPr>
        <w:t xml:space="preserve">  *</w:t>
      </w:r>
      <w:r w:rsidRPr="006B5A1C">
        <w:rPr>
          <w:rStyle w:val="apple-converted-space"/>
          <w:rFonts w:hint="eastAsia"/>
          <w:color w:val="333333"/>
          <w:spacing w:val="29"/>
          <w:shd w:val="clear" w:color="auto" w:fill="FFFFFF"/>
        </w:rPr>
        <w:t> </w:t>
      </w:r>
      <w:r w:rsidRPr="006B5A1C">
        <w:rPr>
          <w:rFonts w:hint="eastAsia"/>
          <w:color w:val="333333"/>
          <w:spacing w:val="29"/>
          <w:shd w:val="clear" w:color="auto" w:fill="FFFFFF"/>
        </w:rPr>
        <w:t>臨時數字</w:t>
      </w:r>
    </w:p>
    <w:p w:rsidR="00B86410" w:rsidRDefault="00B86410"/>
    <w:p w:rsidR="00B86410" w:rsidRDefault="00B86410"/>
    <w:p w:rsidR="00B86410" w:rsidRDefault="00B86410"/>
    <w:p w:rsidR="00B86410" w:rsidRPr="00B86410" w:rsidRDefault="00B86410"/>
    <w:sectPr w:rsidR="00B86410" w:rsidRPr="00B86410" w:rsidSect="00B86410">
      <w:pgSz w:w="11906" w:h="16838"/>
      <w:pgMar w:top="1440" w:right="1800" w:bottom="709"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8CC" w:rsidRDefault="00F738CC" w:rsidP="00DB19E6">
      <w:r>
        <w:separator/>
      </w:r>
    </w:p>
  </w:endnote>
  <w:endnote w:type="continuationSeparator" w:id="0">
    <w:p w:rsidR="00F738CC" w:rsidRDefault="00F738CC" w:rsidP="00DB1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8CC" w:rsidRDefault="00F738CC" w:rsidP="00DB19E6">
      <w:r>
        <w:separator/>
      </w:r>
    </w:p>
  </w:footnote>
  <w:footnote w:type="continuationSeparator" w:id="0">
    <w:p w:rsidR="00F738CC" w:rsidRDefault="00F738CC" w:rsidP="00DB19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C705F"/>
    <w:multiLevelType w:val="hybridMultilevel"/>
    <w:tmpl w:val="72AA41DE"/>
    <w:lvl w:ilvl="0" w:tplc="04090001">
      <w:start w:val="1"/>
      <w:numFmt w:val="bullet"/>
      <w:lvlText w:val=""/>
      <w:lvlJc w:val="left"/>
      <w:pPr>
        <w:ind w:left="1331" w:hanging="480"/>
      </w:pPr>
      <w:rPr>
        <w:rFonts w:ascii="Symbol" w:hAnsi="Symbol" w:hint="default"/>
      </w:rPr>
    </w:lvl>
    <w:lvl w:ilvl="1" w:tplc="04090003" w:tentative="1">
      <w:start w:val="1"/>
      <w:numFmt w:val="bullet"/>
      <w:lvlText w:val=""/>
      <w:lvlJc w:val="left"/>
      <w:pPr>
        <w:ind w:left="1811" w:hanging="480"/>
      </w:pPr>
      <w:rPr>
        <w:rFonts w:ascii="Wingdings" w:hAnsi="Wingdings" w:hint="default"/>
      </w:rPr>
    </w:lvl>
    <w:lvl w:ilvl="2" w:tplc="04090005" w:tentative="1">
      <w:start w:val="1"/>
      <w:numFmt w:val="bullet"/>
      <w:lvlText w:val=""/>
      <w:lvlJc w:val="left"/>
      <w:pPr>
        <w:ind w:left="2291" w:hanging="480"/>
      </w:pPr>
      <w:rPr>
        <w:rFonts w:ascii="Wingdings" w:hAnsi="Wingdings" w:hint="default"/>
      </w:rPr>
    </w:lvl>
    <w:lvl w:ilvl="3" w:tplc="04090001" w:tentative="1">
      <w:start w:val="1"/>
      <w:numFmt w:val="bullet"/>
      <w:lvlText w:val=""/>
      <w:lvlJc w:val="left"/>
      <w:pPr>
        <w:ind w:left="2771" w:hanging="480"/>
      </w:pPr>
      <w:rPr>
        <w:rFonts w:ascii="Wingdings" w:hAnsi="Wingdings" w:hint="default"/>
      </w:rPr>
    </w:lvl>
    <w:lvl w:ilvl="4" w:tplc="04090003" w:tentative="1">
      <w:start w:val="1"/>
      <w:numFmt w:val="bullet"/>
      <w:lvlText w:val=""/>
      <w:lvlJc w:val="left"/>
      <w:pPr>
        <w:ind w:left="3251" w:hanging="480"/>
      </w:pPr>
      <w:rPr>
        <w:rFonts w:ascii="Wingdings" w:hAnsi="Wingdings" w:hint="default"/>
      </w:rPr>
    </w:lvl>
    <w:lvl w:ilvl="5" w:tplc="04090005" w:tentative="1">
      <w:start w:val="1"/>
      <w:numFmt w:val="bullet"/>
      <w:lvlText w:val=""/>
      <w:lvlJc w:val="left"/>
      <w:pPr>
        <w:ind w:left="3731" w:hanging="480"/>
      </w:pPr>
      <w:rPr>
        <w:rFonts w:ascii="Wingdings" w:hAnsi="Wingdings" w:hint="default"/>
      </w:rPr>
    </w:lvl>
    <w:lvl w:ilvl="6" w:tplc="04090001" w:tentative="1">
      <w:start w:val="1"/>
      <w:numFmt w:val="bullet"/>
      <w:lvlText w:val=""/>
      <w:lvlJc w:val="left"/>
      <w:pPr>
        <w:ind w:left="4211" w:hanging="480"/>
      </w:pPr>
      <w:rPr>
        <w:rFonts w:ascii="Wingdings" w:hAnsi="Wingdings" w:hint="default"/>
      </w:rPr>
    </w:lvl>
    <w:lvl w:ilvl="7" w:tplc="04090003" w:tentative="1">
      <w:start w:val="1"/>
      <w:numFmt w:val="bullet"/>
      <w:lvlText w:val=""/>
      <w:lvlJc w:val="left"/>
      <w:pPr>
        <w:ind w:left="4691" w:hanging="480"/>
      </w:pPr>
      <w:rPr>
        <w:rFonts w:ascii="Wingdings" w:hAnsi="Wingdings" w:hint="default"/>
      </w:rPr>
    </w:lvl>
    <w:lvl w:ilvl="8" w:tplc="04090005" w:tentative="1">
      <w:start w:val="1"/>
      <w:numFmt w:val="bullet"/>
      <w:lvlText w:val=""/>
      <w:lvlJc w:val="left"/>
      <w:pPr>
        <w:ind w:left="5171" w:hanging="480"/>
      </w:pPr>
      <w:rPr>
        <w:rFonts w:ascii="Wingdings" w:hAnsi="Wingdings" w:hint="default"/>
      </w:rPr>
    </w:lvl>
  </w:abstractNum>
  <w:abstractNum w:abstractNumId="1">
    <w:nsid w:val="43961A05"/>
    <w:multiLevelType w:val="hybridMultilevel"/>
    <w:tmpl w:val="E51A99A2"/>
    <w:lvl w:ilvl="0" w:tplc="04090001">
      <w:start w:val="1"/>
      <w:numFmt w:val="bullet"/>
      <w:lvlText w:val=""/>
      <w:lvlJc w:val="left"/>
      <w:pPr>
        <w:ind w:left="1331" w:hanging="480"/>
      </w:pPr>
      <w:rPr>
        <w:rFonts w:ascii="Symbol" w:hAnsi="Symbol" w:hint="default"/>
      </w:rPr>
    </w:lvl>
    <w:lvl w:ilvl="1" w:tplc="04090003" w:tentative="1">
      <w:start w:val="1"/>
      <w:numFmt w:val="bullet"/>
      <w:lvlText w:val=""/>
      <w:lvlJc w:val="left"/>
      <w:pPr>
        <w:ind w:left="1811" w:hanging="480"/>
      </w:pPr>
      <w:rPr>
        <w:rFonts w:ascii="Wingdings" w:hAnsi="Wingdings" w:hint="default"/>
      </w:rPr>
    </w:lvl>
    <w:lvl w:ilvl="2" w:tplc="04090005" w:tentative="1">
      <w:start w:val="1"/>
      <w:numFmt w:val="bullet"/>
      <w:lvlText w:val=""/>
      <w:lvlJc w:val="left"/>
      <w:pPr>
        <w:ind w:left="2291" w:hanging="480"/>
      </w:pPr>
      <w:rPr>
        <w:rFonts w:ascii="Wingdings" w:hAnsi="Wingdings" w:hint="default"/>
      </w:rPr>
    </w:lvl>
    <w:lvl w:ilvl="3" w:tplc="04090001" w:tentative="1">
      <w:start w:val="1"/>
      <w:numFmt w:val="bullet"/>
      <w:lvlText w:val=""/>
      <w:lvlJc w:val="left"/>
      <w:pPr>
        <w:ind w:left="2771" w:hanging="480"/>
      </w:pPr>
      <w:rPr>
        <w:rFonts w:ascii="Wingdings" w:hAnsi="Wingdings" w:hint="default"/>
      </w:rPr>
    </w:lvl>
    <w:lvl w:ilvl="4" w:tplc="04090003" w:tentative="1">
      <w:start w:val="1"/>
      <w:numFmt w:val="bullet"/>
      <w:lvlText w:val=""/>
      <w:lvlJc w:val="left"/>
      <w:pPr>
        <w:ind w:left="3251" w:hanging="480"/>
      </w:pPr>
      <w:rPr>
        <w:rFonts w:ascii="Wingdings" w:hAnsi="Wingdings" w:hint="default"/>
      </w:rPr>
    </w:lvl>
    <w:lvl w:ilvl="5" w:tplc="04090005" w:tentative="1">
      <w:start w:val="1"/>
      <w:numFmt w:val="bullet"/>
      <w:lvlText w:val=""/>
      <w:lvlJc w:val="left"/>
      <w:pPr>
        <w:ind w:left="3731" w:hanging="480"/>
      </w:pPr>
      <w:rPr>
        <w:rFonts w:ascii="Wingdings" w:hAnsi="Wingdings" w:hint="default"/>
      </w:rPr>
    </w:lvl>
    <w:lvl w:ilvl="6" w:tplc="04090001" w:tentative="1">
      <w:start w:val="1"/>
      <w:numFmt w:val="bullet"/>
      <w:lvlText w:val=""/>
      <w:lvlJc w:val="left"/>
      <w:pPr>
        <w:ind w:left="4211" w:hanging="480"/>
      </w:pPr>
      <w:rPr>
        <w:rFonts w:ascii="Wingdings" w:hAnsi="Wingdings" w:hint="default"/>
      </w:rPr>
    </w:lvl>
    <w:lvl w:ilvl="7" w:tplc="04090003" w:tentative="1">
      <w:start w:val="1"/>
      <w:numFmt w:val="bullet"/>
      <w:lvlText w:val=""/>
      <w:lvlJc w:val="left"/>
      <w:pPr>
        <w:ind w:left="4691" w:hanging="480"/>
      </w:pPr>
      <w:rPr>
        <w:rFonts w:ascii="Wingdings" w:hAnsi="Wingdings" w:hint="default"/>
      </w:rPr>
    </w:lvl>
    <w:lvl w:ilvl="8" w:tplc="04090005" w:tentative="1">
      <w:start w:val="1"/>
      <w:numFmt w:val="bullet"/>
      <w:lvlText w:val=""/>
      <w:lvlJc w:val="left"/>
      <w:pPr>
        <w:ind w:left="5171" w:hanging="48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410"/>
    <w:rsid w:val="00042D11"/>
    <w:rsid w:val="0005372B"/>
    <w:rsid w:val="00070DA6"/>
    <w:rsid w:val="00091C1A"/>
    <w:rsid w:val="000D2ABD"/>
    <w:rsid w:val="00113F6F"/>
    <w:rsid w:val="00182535"/>
    <w:rsid w:val="00193B53"/>
    <w:rsid w:val="001A1452"/>
    <w:rsid w:val="001A2F8F"/>
    <w:rsid w:val="001C0F67"/>
    <w:rsid w:val="001C7534"/>
    <w:rsid w:val="001F1919"/>
    <w:rsid w:val="00226BEF"/>
    <w:rsid w:val="002433A1"/>
    <w:rsid w:val="00267FBF"/>
    <w:rsid w:val="00283BBB"/>
    <w:rsid w:val="002D403E"/>
    <w:rsid w:val="002E1A03"/>
    <w:rsid w:val="00330CB3"/>
    <w:rsid w:val="00341857"/>
    <w:rsid w:val="00355028"/>
    <w:rsid w:val="003A4F90"/>
    <w:rsid w:val="003A76B1"/>
    <w:rsid w:val="003B243F"/>
    <w:rsid w:val="003C3B9E"/>
    <w:rsid w:val="003C7047"/>
    <w:rsid w:val="004909A1"/>
    <w:rsid w:val="004B65F8"/>
    <w:rsid w:val="004D04F8"/>
    <w:rsid w:val="004D7E16"/>
    <w:rsid w:val="004F042F"/>
    <w:rsid w:val="00533995"/>
    <w:rsid w:val="00567B61"/>
    <w:rsid w:val="00572A85"/>
    <w:rsid w:val="005747FE"/>
    <w:rsid w:val="005B58C6"/>
    <w:rsid w:val="005E109D"/>
    <w:rsid w:val="0061280D"/>
    <w:rsid w:val="00626BC6"/>
    <w:rsid w:val="006353E9"/>
    <w:rsid w:val="00636A23"/>
    <w:rsid w:val="006447D6"/>
    <w:rsid w:val="00647F36"/>
    <w:rsid w:val="00650B63"/>
    <w:rsid w:val="006A6F14"/>
    <w:rsid w:val="006C4280"/>
    <w:rsid w:val="006E713C"/>
    <w:rsid w:val="007426BB"/>
    <w:rsid w:val="0074601E"/>
    <w:rsid w:val="00750361"/>
    <w:rsid w:val="00755124"/>
    <w:rsid w:val="00767367"/>
    <w:rsid w:val="00775CF7"/>
    <w:rsid w:val="007A49F2"/>
    <w:rsid w:val="007D5652"/>
    <w:rsid w:val="00807CE4"/>
    <w:rsid w:val="00820390"/>
    <w:rsid w:val="00861790"/>
    <w:rsid w:val="008A6FB2"/>
    <w:rsid w:val="008B6F83"/>
    <w:rsid w:val="0090098C"/>
    <w:rsid w:val="009446CA"/>
    <w:rsid w:val="009456CA"/>
    <w:rsid w:val="009635DE"/>
    <w:rsid w:val="009D4FE4"/>
    <w:rsid w:val="009E70EC"/>
    <w:rsid w:val="00A32A9A"/>
    <w:rsid w:val="00A40B17"/>
    <w:rsid w:val="00A81006"/>
    <w:rsid w:val="00AB0CCD"/>
    <w:rsid w:val="00B01330"/>
    <w:rsid w:val="00B212D6"/>
    <w:rsid w:val="00B22A56"/>
    <w:rsid w:val="00B4365A"/>
    <w:rsid w:val="00B57734"/>
    <w:rsid w:val="00B64F5B"/>
    <w:rsid w:val="00B7574E"/>
    <w:rsid w:val="00B84C8C"/>
    <w:rsid w:val="00B86410"/>
    <w:rsid w:val="00B90448"/>
    <w:rsid w:val="00BF4070"/>
    <w:rsid w:val="00BF5DA0"/>
    <w:rsid w:val="00C071FA"/>
    <w:rsid w:val="00C146A3"/>
    <w:rsid w:val="00C21E45"/>
    <w:rsid w:val="00C22BAE"/>
    <w:rsid w:val="00C6020B"/>
    <w:rsid w:val="00C6554F"/>
    <w:rsid w:val="00CD3EFE"/>
    <w:rsid w:val="00CF587C"/>
    <w:rsid w:val="00DA23D3"/>
    <w:rsid w:val="00DA75E0"/>
    <w:rsid w:val="00DB19E6"/>
    <w:rsid w:val="00DD1393"/>
    <w:rsid w:val="00DF09EE"/>
    <w:rsid w:val="00E13D7F"/>
    <w:rsid w:val="00E20C56"/>
    <w:rsid w:val="00E266E6"/>
    <w:rsid w:val="00E31C3B"/>
    <w:rsid w:val="00EA2099"/>
    <w:rsid w:val="00EA691A"/>
    <w:rsid w:val="00ED6D47"/>
    <w:rsid w:val="00EE5A2E"/>
    <w:rsid w:val="00F320E1"/>
    <w:rsid w:val="00F738CC"/>
    <w:rsid w:val="00FE24D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6410"/>
    <w:pPr>
      <w:widowControl w:val="0"/>
    </w:pPr>
    <w:rPr>
      <w:rFonts w:ascii="Times New Roman" w:eastAsia="新細明體" w:hAnsi="Times New Roman" w:cs="Times New Roman"/>
      <w:szCs w:val="20"/>
    </w:rPr>
  </w:style>
  <w:style w:type="paragraph" w:styleId="1">
    <w:name w:val="heading 1"/>
    <w:basedOn w:val="a"/>
    <w:next w:val="a"/>
    <w:link w:val="10"/>
    <w:uiPriority w:val="9"/>
    <w:qFormat/>
    <w:rsid w:val="00B86410"/>
    <w:pPr>
      <w:keepNext/>
      <w:spacing w:before="180" w:after="180" w:line="720" w:lineRule="auto"/>
      <w:outlineLvl w:val="0"/>
    </w:pPr>
    <w:rPr>
      <w:rFonts w:asciiTheme="majorHAnsi" w:eastAsiaTheme="majorEastAsia" w:hAnsiTheme="majorHAnsi" w:cstheme="majorBidi"/>
      <w:b/>
      <w:bCs/>
      <w:kern w:val="52"/>
      <w:sz w:val="3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B86410"/>
    <w:rPr>
      <w:rFonts w:asciiTheme="majorHAnsi" w:eastAsiaTheme="majorEastAsia" w:hAnsiTheme="majorHAnsi" w:cstheme="majorBidi"/>
      <w:b/>
      <w:bCs/>
      <w:kern w:val="52"/>
      <w:sz w:val="32"/>
      <w:szCs w:val="52"/>
    </w:rPr>
  </w:style>
  <w:style w:type="paragraph" w:styleId="a3">
    <w:name w:val="List Paragraph"/>
    <w:basedOn w:val="a"/>
    <w:uiPriority w:val="34"/>
    <w:qFormat/>
    <w:rsid w:val="00B86410"/>
    <w:pPr>
      <w:ind w:leftChars="200" w:left="480"/>
    </w:pPr>
  </w:style>
  <w:style w:type="paragraph" w:styleId="a4">
    <w:name w:val="Balloon Text"/>
    <w:basedOn w:val="a"/>
    <w:link w:val="a5"/>
    <w:uiPriority w:val="99"/>
    <w:semiHidden/>
    <w:unhideWhenUsed/>
    <w:rsid w:val="00B86410"/>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B86410"/>
    <w:rPr>
      <w:rFonts w:asciiTheme="majorHAnsi" w:eastAsiaTheme="majorEastAsia" w:hAnsiTheme="majorHAnsi" w:cstheme="majorBidi"/>
      <w:sz w:val="18"/>
      <w:szCs w:val="18"/>
    </w:rPr>
  </w:style>
  <w:style w:type="paragraph" w:styleId="Web">
    <w:name w:val="Normal (Web)"/>
    <w:basedOn w:val="a"/>
    <w:link w:val="Web0"/>
    <w:uiPriority w:val="99"/>
    <w:rsid w:val="00B86410"/>
    <w:pPr>
      <w:widowControl/>
      <w:spacing w:before="100" w:beforeAutospacing="1" w:after="100" w:afterAutospacing="1"/>
    </w:pPr>
    <w:rPr>
      <w:rFonts w:ascii="新細明體" w:hAnsi="新細明體" w:cs="新細明體"/>
      <w:kern w:val="0"/>
      <w:szCs w:val="24"/>
    </w:rPr>
  </w:style>
  <w:style w:type="character" w:customStyle="1" w:styleId="Web0">
    <w:name w:val="內文 (Web) 字元"/>
    <w:link w:val="Web"/>
    <w:locked/>
    <w:rsid w:val="00B86410"/>
    <w:rPr>
      <w:rFonts w:ascii="新細明體" w:eastAsia="新細明體" w:hAnsi="新細明體" w:cs="新細明體"/>
      <w:kern w:val="0"/>
      <w:szCs w:val="24"/>
    </w:rPr>
  </w:style>
  <w:style w:type="character" w:customStyle="1" w:styleId="apple-converted-space">
    <w:name w:val="apple-converted-space"/>
    <w:basedOn w:val="a0"/>
    <w:rsid w:val="00B86410"/>
  </w:style>
  <w:style w:type="paragraph" w:styleId="a6">
    <w:name w:val="header"/>
    <w:basedOn w:val="a"/>
    <w:link w:val="a7"/>
    <w:uiPriority w:val="99"/>
    <w:unhideWhenUsed/>
    <w:rsid w:val="00DB19E6"/>
    <w:pPr>
      <w:tabs>
        <w:tab w:val="center" w:pos="4153"/>
        <w:tab w:val="right" w:pos="8306"/>
      </w:tabs>
      <w:snapToGrid w:val="0"/>
    </w:pPr>
    <w:rPr>
      <w:sz w:val="20"/>
    </w:rPr>
  </w:style>
  <w:style w:type="character" w:customStyle="1" w:styleId="a7">
    <w:name w:val="頁首 字元"/>
    <w:basedOn w:val="a0"/>
    <w:link w:val="a6"/>
    <w:uiPriority w:val="99"/>
    <w:rsid w:val="00DB19E6"/>
    <w:rPr>
      <w:rFonts w:ascii="Times New Roman" w:eastAsia="新細明體" w:hAnsi="Times New Roman" w:cs="Times New Roman"/>
      <w:sz w:val="20"/>
      <w:szCs w:val="20"/>
    </w:rPr>
  </w:style>
  <w:style w:type="paragraph" w:styleId="a8">
    <w:name w:val="footer"/>
    <w:basedOn w:val="a"/>
    <w:link w:val="a9"/>
    <w:uiPriority w:val="99"/>
    <w:unhideWhenUsed/>
    <w:rsid w:val="00DB19E6"/>
    <w:pPr>
      <w:tabs>
        <w:tab w:val="center" w:pos="4153"/>
        <w:tab w:val="right" w:pos="8306"/>
      </w:tabs>
      <w:snapToGrid w:val="0"/>
    </w:pPr>
    <w:rPr>
      <w:sz w:val="20"/>
    </w:rPr>
  </w:style>
  <w:style w:type="character" w:customStyle="1" w:styleId="a9">
    <w:name w:val="頁尾 字元"/>
    <w:basedOn w:val="a0"/>
    <w:link w:val="a8"/>
    <w:uiPriority w:val="99"/>
    <w:rsid w:val="00DB19E6"/>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6410"/>
    <w:pPr>
      <w:widowControl w:val="0"/>
    </w:pPr>
    <w:rPr>
      <w:rFonts w:ascii="Times New Roman" w:eastAsia="新細明體" w:hAnsi="Times New Roman" w:cs="Times New Roman"/>
      <w:szCs w:val="20"/>
    </w:rPr>
  </w:style>
  <w:style w:type="paragraph" w:styleId="1">
    <w:name w:val="heading 1"/>
    <w:basedOn w:val="a"/>
    <w:next w:val="a"/>
    <w:link w:val="10"/>
    <w:uiPriority w:val="9"/>
    <w:qFormat/>
    <w:rsid w:val="00B86410"/>
    <w:pPr>
      <w:keepNext/>
      <w:spacing w:before="180" w:after="180" w:line="720" w:lineRule="auto"/>
      <w:outlineLvl w:val="0"/>
    </w:pPr>
    <w:rPr>
      <w:rFonts w:asciiTheme="majorHAnsi" w:eastAsiaTheme="majorEastAsia" w:hAnsiTheme="majorHAnsi" w:cstheme="majorBidi"/>
      <w:b/>
      <w:bCs/>
      <w:kern w:val="52"/>
      <w:sz w:val="3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B86410"/>
    <w:rPr>
      <w:rFonts w:asciiTheme="majorHAnsi" w:eastAsiaTheme="majorEastAsia" w:hAnsiTheme="majorHAnsi" w:cstheme="majorBidi"/>
      <w:b/>
      <w:bCs/>
      <w:kern w:val="52"/>
      <w:sz w:val="32"/>
      <w:szCs w:val="52"/>
    </w:rPr>
  </w:style>
  <w:style w:type="paragraph" w:styleId="a3">
    <w:name w:val="List Paragraph"/>
    <w:basedOn w:val="a"/>
    <w:uiPriority w:val="34"/>
    <w:qFormat/>
    <w:rsid w:val="00B86410"/>
    <w:pPr>
      <w:ind w:leftChars="200" w:left="480"/>
    </w:pPr>
  </w:style>
  <w:style w:type="paragraph" w:styleId="a4">
    <w:name w:val="Balloon Text"/>
    <w:basedOn w:val="a"/>
    <w:link w:val="a5"/>
    <w:uiPriority w:val="99"/>
    <w:semiHidden/>
    <w:unhideWhenUsed/>
    <w:rsid w:val="00B86410"/>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B86410"/>
    <w:rPr>
      <w:rFonts w:asciiTheme="majorHAnsi" w:eastAsiaTheme="majorEastAsia" w:hAnsiTheme="majorHAnsi" w:cstheme="majorBidi"/>
      <w:sz w:val="18"/>
      <w:szCs w:val="18"/>
    </w:rPr>
  </w:style>
  <w:style w:type="paragraph" w:styleId="Web">
    <w:name w:val="Normal (Web)"/>
    <w:basedOn w:val="a"/>
    <w:link w:val="Web0"/>
    <w:uiPriority w:val="99"/>
    <w:rsid w:val="00B86410"/>
    <w:pPr>
      <w:widowControl/>
      <w:spacing w:before="100" w:beforeAutospacing="1" w:after="100" w:afterAutospacing="1"/>
    </w:pPr>
    <w:rPr>
      <w:rFonts w:ascii="新細明體" w:hAnsi="新細明體" w:cs="新細明體"/>
      <w:kern w:val="0"/>
      <w:szCs w:val="24"/>
    </w:rPr>
  </w:style>
  <w:style w:type="character" w:customStyle="1" w:styleId="Web0">
    <w:name w:val="內文 (Web) 字元"/>
    <w:link w:val="Web"/>
    <w:locked/>
    <w:rsid w:val="00B86410"/>
    <w:rPr>
      <w:rFonts w:ascii="新細明體" w:eastAsia="新細明體" w:hAnsi="新細明體" w:cs="新細明體"/>
      <w:kern w:val="0"/>
      <w:szCs w:val="24"/>
    </w:rPr>
  </w:style>
  <w:style w:type="character" w:customStyle="1" w:styleId="apple-converted-space">
    <w:name w:val="apple-converted-space"/>
    <w:basedOn w:val="a0"/>
    <w:rsid w:val="00B86410"/>
  </w:style>
  <w:style w:type="paragraph" w:styleId="a6">
    <w:name w:val="header"/>
    <w:basedOn w:val="a"/>
    <w:link w:val="a7"/>
    <w:uiPriority w:val="99"/>
    <w:unhideWhenUsed/>
    <w:rsid w:val="00DB19E6"/>
    <w:pPr>
      <w:tabs>
        <w:tab w:val="center" w:pos="4153"/>
        <w:tab w:val="right" w:pos="8306"/>
      </w:tabs>
      <w:snapToGrid w:val="0"/>
    </w:pPr>
    <w:rPr>
      <w:sz w:val="20"/>
    </w:rPr>
  </w:style>
  <w:style w:type="character" w:customStyle="1" w:styleId="a7">
    <w:name w:val="頁首 字元"/>
    <w:basedOn w:val="a0"/>
    <w:link w:val="a6"/>
    <w:uiPriority w:val="99"/>
    <w:rsid w:val="00DB19E6"/>
    <w:rPr>
      <w:rFonts w:ascii="Times New Roman" w:eastAsia="新細明體" w:hAnsi="Times New Roman" w:cs="Times New Roman"/>
      <w:sz w:val="20"/>
      <w:szCs w:val="20"/>
    </w:rPr>
  </w:style>
  <w:style w:type="paragraph" w:styleId="a8">
    <w:name w:val="footer"/>
    <w:basedOn w:val="a"/>
    <w:link w:val="a9"/>
    <w:uiPriority w:val="99"/>
    <w:unhideWhenUsed/>
    <w:rsid w:val="00DB19E6"/>
    <w:pPr>
      <w:tabs>
        <w:tab w:val="center" w:pos="4153"/>
        <w:tab w:val="right" w:pos="8306"/>
      </w:tabs>
      <w:snapToGrid w:val="0"/>
    </w:pPr>
    <w:rPr>
      <w:sz w:val="20"/>
    </w:rPr>
  </w:style>
  <w:style w:type="character" w:customStyle="1" w:styleId="a9">
    <w:name w:val="頁尾 字元"/>
    <w:basedOn w:val="a0"/>
    <w:link w:val="a8"/>
    <w:uiPriority w:val="99"/>
    <w:rsid w:val="00DB19E6"/>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hkex.com.hk/chi/stat/dmstat/dayrpt/dmreport26_c.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419</Words>
  <Characters>2391</Characters>
  <Application>Microsoft Office Word</Application>
  <DocSecurity>0</DocSecurity>
  <Lines>19</Lines>
  <Paragraphs>5</Paragraphs>
  <ScaleCrop>false</ScaleCrop>
  <Company/>
  <LinksUpToDate>false</LinksUpToDate>
  <CharactersWithSpaces>2805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洪麗婷liting</dc:creator>
  <cp:lastModifiedBy>李明機mglee</cp:lastModifiedBy>
  <cp:revision>2</cp:revision>
  <dcterms:created xsi:type="dcterms:W3CDTF">2015-01-19T06:24:00Z</dcterms:created>
  <dcterms:modified xsi:type="dcterms:W3CDTF">2015-01-19T06:24:00Z</dcterms:modified>
</cp:coreProperties>
</file>