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07" w:rsidRDefault="00A22407" w:rsidP="00A22407">
      <w:pPr>
        <w:pStyle w:val="10"/>
        <w:spacing w:line="400" w:lineRule="exact"/>
      </w:pPr>
      <w:bookmarkStart w:id="0" w:name="_Toc407444931"/>
      <w:bookmarkStart w:id="1" w:name="_Toc408301467"/>
      <w:r w:rsidRPr="002E2BD2">
        <w:rPr>
          <w:rFonts w:hint="eastAsia"/>
        </w:rPr>
        <w:t>附錄一</w:t>
      </w:r>
      <w:r w:rsidRPr="002E2BD2">
        <w:rPr>
          <w:rFonts w:hint="eastAsia"/>
        </w:rPr>
        <w:t xml:space="preserve"> </w:t>
      </w:r>
      <w:r>
        <w:rPr>
          <w:rFonts w:hint="eastAsia"/>
        </w:rPr>
        <w:t xml:space="preserve"> </w:t>
      </w:r>
      <w:r>
        <w:rPr>
          <w:rFonts w:hint="eastAsia"/>
        </w:rPr>
        <w:t>香港證監會組織</w:t>
      </w:r>
      <w:bookmarkEnd w:id="0"/>
      <w:bookmarkEnd w:id="1"/>
    </w:p>
    <w:p w:rsidR="00A22407" w:rsidRPr="00A22407" w:rsidRDefault="00A22407" w:rsidP="00A22407">
      <w:pPr>
        <w:rPr>
          <w:b/>
          <w:sz w:val="26"/>
          <w:szCs w:val="26"/>
        </w:rPr>
      </w:pPr>
      <w:r w:rsidRPr="00A22407">
        <w:rPr>
          <w:rFonts w:hint="eastAsia"/>
          <w:b/>
          <w:sz w:val="26"/>
          <w:szCs w:val="26"/>
        </w:rPr>
        <w:t>董事局</w:t>
      </w:r>
    </w:p>
    <w:p w:rsidR="00A22407" w:rsidRDefault="00A22407" w:rsidP="00D87576">
      <w:pPr>
        <w:spacing w:line="400" w:lineRule="exact"/>
        <w:rPr>
          <w:rFonts w:ascii="Verdana" w:hAnsi="Verdana"/>
          <w:color w:val="222222"/>
        </w:rPr>
      </w:pPr>
      <w:r w:rsidRPr="00E506EB">
        <w:rPr>
          <w:rFonts w:ascii="Verdana" w:hAnsi="Verdana"/>
          <w:color w:val="222222"/>
        </w:rPr>
        <w:t>《證券及期貨條例》已訂明董事局的組成和程序。董事局負責制訂證監會的整體方向，並向高層管理人員提供策略性指引。董事局由本會非執行主席、行政總裁、多名執行董事及非執行董事組成。</w:t>
      </w:r>
    </w:p>
    <w:p w:rsidR="00A22407" w:rsidRPr="00940669" w:rsidRDefault="00A22407" w:rsidP="00D87576">
      <w:pPr>
        <w:spacing w:line="400" w:lineRule="exact"/>
        <w:rPr>
          <w:rFonts w:ascii="Verdana" w:hAnsi="Verdana"/>
          <w:color w:val="222222"/>
          <w:kern w:val="0"/>
          <w:szCs w:val="24"/>
        </w:rPr>
      </w:pPr>
      <w:r w:rsidRPr="00E506EB">
        <w:rPr>
          <w:rFonts w:ascii="Verdana" w:hAnsi="Verdana"/>
          <w:color w:val="222222"/>
        </w:rPr>
        <w:t>董事局成員全部由香港特區行政長官授權財政司司長委任，均有固定任期。大部分成員為非執行董事。</w:t>
      </w:r>
    </w:p>
    <w:tbl>
      <w:tblPr>
        <w:tblW w:w="8822" w:type="dxa"/>
        <w:jc w:val="center"/>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6476"/>
      </w:tblGrid>
      <w:tr w:rsidR="00A22407" w:rsidRPr="000B1136" w:rsidTr="00A22407">
        <w:trPr>
          <w:cantSplit/>
          <w:trHeight w:val="535"/>
          <w:jc w:val="center"/>
        </w:trPr>
        <w:tc>
          <w:tcPr>
            <w:tcW w:w="2303" w:type="dxa"/>
            <w:shd w:val="clear" w:color="auto" w:fill="auto"/>
            <w:vAlign w:val="center"/>
          </w:tcPr>
          <w:p w:rsidR="00A22407" w:rsidRPr="000B1136" w:rsidRDefault="00A22407" w:rsidP="00A22407">
            <w:pPr>
              <w:jc w:val="center"/>
              <w:rPr>
                <w:rFonts w:ascii="標楷體" w:eastAsia="標楷體" w:hAnsi="標楷體"/>
                <w:b/>
                <w:bCs/>
                <w:sz w:val="26"/>
                <w:szCs w:val="26"/>
              </w:rPr>
            </w:pPr>
            <w:r w:rsidRPr="000B1136">
              <w:rPr>
                <w:rFonts w:ascii="標楷體" w:eastAsia="標楷體" w:hAnsi="標楷體"/>
                <w:b/>
                <w:bCs/>
                <w:sz w:val="26"/>
                <w:szCs w:val="26"/>
              </w:rPr>
              <w:t>證監會重要人員</w:t>
            </w:r>
          </w:p>
        </w:tc>
        <w:tc>
          <w:tcPr>
            <w:tcW w:w="6519" w:type="dxa"/>
            <w:shd w:val="clear" w:color="auto" w:fill="auto"/>
            <w:vAlign w:val="center"/>
          </w:tcPr>
          <w:p w:rsidR="00A22407" w:rsidRPr="000B1136" w:rsidRDefault="00A22407" w:rsidP="00A22407">
            <w:pPr>
              <w:jc w:val="center"/>
              <w:rPr>
                <w:rFonts w:ascii="標楷體" w:eastAsia="標楷體" w:hAnsi="標楷體"/>
                <w:b/>
                <w:bCs/>
                <w:sz w:val="26"/>
                <w:szCs w:val="26"/>
              </w:rPr>
            </w:pPr>
            <w:r w:rsidRPr="000B1136">
              <w:rPr>
                <w:rFonts w:ascii="標楷體" w:eastAsia="標楷體" w:hAnsi="標楷體"/>
                <w:b/>
                <w:bCs/>
                <w:sz w:val="26"/>
                <w:szCs w:val="26"/>
              </w:rPr>
              <w:t>簡介</w:t>
            </w:r>
          </w:p>
        </w:tc>
      </w:tr>
      <w:tr w:rsidR="00A22407" w:rsidRPr="000B1136" w:rsidTr="00A22407">
        <w:trPr>
          <w:cantSplit/>
          <w:trHeight w:val="5270"/>
          <w:jc w:val="center"/>
        </w:trPr>
        <w:tc>
          <w:tcPr>
            <w:tcW w:w="2303" w:type="dxa"/>
            <w:shd w:val="clear" w:color="auto" w:fill="auto"/>
            <w:vAlign w:val="center"/>
          </w:tcPr>
          <w:p w:rsidR="00A22407" w:rsidRDefault="00A22407" w:rsidP="00A22407">
            <w:pPr>
              <w:jc w:val="center"/>
              <w:rPr>
                <w:rFonts w:ascii="Verdana" w:hAnsi="Verdana"/>
                <w:color w:val="000000"/>
                <w:sz w:val="15"/>
                <w:szCs w:val="15"/>
              </w:rPr>
            </w:pPr>
            <w:r>
              <w:rPr>
                <w:rFonts w:ascii="Verdana" w:hAnsi="Verdana"/>
                <w:noProof/>
                <w:color w:val="000000"/>
                <w:sz w:val="15"/>
                <w:szCs w:val="15"/>
              </w:rPr>
              <w:drawing>
                <wp:inline distT="0" distB="0" distL="0" distR="0" wp14:anchorId="4EB466A0" wp14:editId="79D1DA9E">
                  <wp:extent cx="1327785" cy="1578610"/>
                  <wp:effectExtent l="0" t="0" r="5715" b="2540"/>
                  <wp:docPr id="19" name="圖片 19" descr="唐家成，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唐家成，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唐家成</w:t>
            </w:r>
          </w:p>
          <w:p w:rsidR="00A22407" w:rsidRPr="000B1136" w:rsidRDefault="00A22407" w:rsidP="00A22407">
            <w:pPr>
              <w:jc w:val="center"/>
              <w:rPr>
                <w:rFonts w:eastAsia="細明體"/>
                <w:szCs w:val="24"/>
              </w:rPr>
            </w:pPr>
            <w:r w:rsidRPr="00D21AD5">
              <w:rPr>
                <w:rFonts w:ascii="新細明體" w:hAnsi="新細明體"/>
                <w:bCs/>
                <w:szCs w:val="24"/>
              </w:rPr>
              <w:t>證監會主席</w:t>
            </w:r>
          </w:p>
        </w:tc>
        <w:tc>
          <w:tcPr>
            <w:tcW w:w="6519" w:type="dxa"/>
            <w:shd w:val="clear" w:color="auto" w:fill="auto"/>
            <w:vAlign w:val="center"/>
          </w:tcPr>
          <w:p w:rsidR="00A22407" w:rsidRPr="00D21AD5" w:rsidRDefault="00A22407" w:rsidP="00A22407">
            <w:pPr>
              <w:numPr>
                <w:ilvl w:val="0"/>
                <w:numId w:val="12"/>
              </w:numPr>
              <w:spacing w:line="420" w:lineRule="exact"/>
              <w:ind w:left="476" w:hanging="283"/>
              <w:jc w:val="both"/>
              <w:rPr>
                <w:rFonts w:ascii="新細明體" w:hAnsi="新細明體"/>
                <w:bCs/>
                <w:szCs w:val="24"/>
              </w:rPr>
            </w:pPr>
            <w:r w:rsidRPr="00D21AD5">
              <w:rPr>
                <w:rFonts w:ascii="新細明體" w:hAnsi="新細明體"/>
                <w:bCs/>
                <w:szCs w:val="24"/>
              </w:rPr>
              <w:t>任期由</w:t>
            </w:r>
            <w:r w:rsidRPr="00D21AD5">
              <w:rPr>
                <w:rFonts w:ascii="新細明體" w:hAnsi="新細明體" w:hint="eastAsia"/>
                <w:bCs/>
                <w:szCs w:val="24"/>
              </w:rPr>
              <w:t xml:space="preserve"> 2012年10月20日起</w:t>
            </w:r>
            <w:r w:rsidRPr="00D21AD5">
              <w:rPr>
                <w:rFonts w:ascii="新細明體" w:hAnsi="新細明體"/>
                <w:bCs/>
                <w:szCs w:val="24"/>
              </w:rPr>
              <w:t>(目前任期至</w:t>
            </w:r>
            <w:r w:rsidRPr="00D21AD5">
              <w:rPr>
                <w:rFonts w:ascii="新細明體" w:hAnsi="新細明體" w:hint="eastAsia"/>
                <w:bCs/>
                <w:szCs w:val="24"/>
              </w:rPr>
              <w:t>2015年10月19</w:t>
            </w:r>
            <w:r w:rsidRPr="00D21AD5">
              <w:rPr>
                <w:rFonts w:ascii="新細明體" w:hAnsi="新細明體"/>
                <w:bCs/>
                <w:szCs w:val="24"/>
              </w:rPr>
              <w:t>日止)</w:t>
            </w:r>
            <w:r w:rsidRPr="00D21AD5">
              <w:rPr>
                <w:rFonts w:ascii="新細明體" w:hAnsi="新細明體" w:hint="eastAsia"/>
                <w:bCs/>
                <w:szCs w:val="24"/>
              </w:rPr>
              <w:t>。</w:t>
            </w:r>
          </w:p>
          <w:p w:rsidR="00A22407" w:rsidRPr="00D21AD5" w:rsidRDefault="00A22407" w:rsidP="00A22407">
            <w:pPr>
              <w:numPr>
                <w:ilvl w:val="0"/>
                <w:numId w:val="12"/>
              </w:numPr>
              <w:spacing w:line="420" w:lineRule="exact"/>
              <w:ind w:left="495" w:hanging="284"/>
              <w:jc w:val="both"/>
              <w:rPr>
                <w:rFonts w:ascii="新細明體" w:hAnsi="新細明體"/>
                <w:bCs/>
                <w:szCs w:val="24"/>
              </w:rPr>
            </w:pPr>
            <w:r w:rsidRPr="00D21AD5">
              <w:rPr>
                <w:rFonts w:ascii="新細明體" w:hAnsi="新細明體"/>
                <w:color w:val="222222"/>
                <w:szCs w:val="24"/>
              </w:rPr>
              <w:t>在加入證監會前，唐先生一直積極參與證券期貨市場的監管工作。他</w:t>
            </w:r>
            <w:r w:rsidRPr="00D21AD5">
              <w:rPr>
                <w:rFonts w:ascii="新細明體" w:hAnsi="新細明體" w:hint="eastAsia"/>
                <w:color w:val="222222"/>
                <w:szCs w:val="24"/>
              </w:rPr>
              <w:t>於</w:t>
            </w:r>
            <w:r w:rsidRPr="00D21AD5">
              <w:rPr>
                <w:rFonts w:ascii="新細明體" w:hAnsi="新細明體"/>
                <w:color w:val="222222"/>
                <w:szCs w:val="24"/>
              </w:rPr>
              <w:t>2002至2006年出任香港聯合交易所有限公司主板及創業板上市委員會成員，並於2004至2006年擔任該委員會的主席。2001至2009年期間，他曾出任證監會收購及合併委員會委員，並在2002至2008年兼任雙重存檔事宜顧問小組委員。他於2001至2008年擔任香港會計師公會理事會成員，並在2006年成為該公會的副會長。</w:t>
            </w:r>
          </w:p>
          <w:p w:rsidR="00A22407" w:rsidRPr="00D21AD5" w:rsidRDefault="00A22407" w:rsidP="00A22407">
            <w:pPr>
              <w:numPr>
                <w:ilvl w:val="0"/>
                <w:numId w:val="12"/>
              </w:numPr>
              <w:spacing w:line="420" w:lineRule="exact"/>
              <w:ind w:left="495" w:hanging="284"/>
              <w:jc w:val="both"/>
              <w:rPr>
                <w:rFonts w:ascii="新細明體" w:hAnsi="新細明體"/>
                <w:bCs/>
                <w:szCs w:val="24"/>
              </w:rPr>
            </w:pPr>
            <w:r w:rsidRPr="00D21AD5">
              <w:rPr>
                <w:rFonts w:ascii="新細明體" w:hAnsi="新細明體"/>
                <w:color w:val="222222"/>
                <w:szCs w:val="24"/>
              </w:rPr>
              <w:t>唐先生是證監會投資委員會及諮詢委員會主席，同時擔任提名委員會、薪酬委員會及證監會（香港交易所上市）上訴委員會委員。</w:t>
            </w:r>
          </w:p>
        </w:tc>
      </w:tr>
      <w:tr w:rsidR="00A22407" w:rsidRPr="000B1136" w:rsidTr="00A22407">
        <w:trPr>
          <w:cantSplit/>
          <w:trHeight w:val="4807"/>
          <w:jc w:val="center"/>
        </w:trPr>
        <w:tc>
          <w:tcPr>
            <w:tcW w:w="2303" w:type="dxa"/>
            <w:shd w:val="clear" w:color="auto" w:fill="auto"/>
            <w:vAlign w:val="center"/>
          </w:tcPr>
          <w:p w:rsidR="00A22407" w:rsidRDefault="00A22407" w:rsidP="00A22407">
            <w:pPr>
              <w:jc w:val="center"/>
            </w:pPr>
            <w:r>
              <w:rPr>
                <w:noProof/>
              </w:rPr>
              <w:drawing>
                <wp:inline distT="0" distB="0" distL="0" distR="0" wp14:anchorId="02BCDF15" wp14:editId="22C6C986">
                  <wp:extent cx="1327785" cy="1578610"/>
                  <wp:effectExtent l="0" t="0" r="5715" b="2540"/>
                  <wp:docPr id="20" name="圖片 20" descr="歐達禮 (ALDER，Ashley Ian)，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歐達禮 (ALDER，Ashley Ian)，J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歐達禮(ALDER，Ashley Ian)</w:t>
            </w:r>
          </w:p>
          <w:p w:rsidR="00A22407" w:rsidRPr="000B1136" w:rsidRDefault="00A22407" w:rsidP="00A22407">
            <w:pPr>
              <w:jc w:val="center"/>
              <w:rPr>
                <w:rFonts w:eastAsia="細明體"/>
                <w:szCs w:val="24"/>
              </w:rPr>
            </w:pPr>
            <w:r w:rsidRPr="00D21AD5">
              <w:rPr>
                <w:rFonts w:ascii="新細明體" w:hAnsi="新細明體"/>
                <w:bCs/>
                <w:szCs w:val="24"/>
              </w:rPr>
              <w:t>證監會行政總裁</w:t>
            </w:r>
          </w:p>
        </w:tc>
        <w:tc>
          <w:tcPr>
            <w:tcW w:w="6519" w:type="dxa"/>
            <w:shd w:val="clear" w:color="auto" w:fill="auto"/>
            <w:vAlign w:val="center"/>
          </w:tcPr>
          <w:p w:rsidR="00A22407" w:rsidRPr="00D21AD5" w:rsidRDefault="00A22407" w:rsidP="00A22407">
            <w:pPr>
              <w:numPr>
                <w:ilvl w:val="0"/>
                <w:numId w:val="13"/>
              </w:numPr>
              <w:spacing w:line="420" w:lineRule="exact"/>
              <w:ind w:left="420" w:hanging="284"/>
              <w:jc w:val="both"/>
              <w:rPr>
                <w:rFonts w:ascii="新細明體" w:hAnsi="新細明體"/>
                <w:bCs/>
                <w:szCs w:val="24"/>
              </w:rPr>
            </w:pPr>
            <w:r w:rsidRPr="00D21AD5">
              <w:rPr>
                <w:rFonts w:ascii="新細明體" w:hAnsi="新細明體"/>
                <w:bCs/>
                <w:szCs w:val="24"/>
              </w:rPr>
              <w:t>任期由</w:t>
            </w:r>
            <w:r w:rsidRPr="00D21AD5">
              <w:rPr>
                <w:rFonts w:ascii="新細明體" w:hAnsi="新細明體" w:hint="eastAsia"/>
                <w:bCs/>
                <w:szCs w:val="24"/>
              </w:rPr>
              <w:t>2011年10月 1日</w:t>
            </w:r>
            <w:r w:rsidRPr="00D21AD5">
              <w:rPr>
                <w:rFonts w:ascii="新細明體" w:hAnsi="新細明體"/>
                <w:bCs/>
                <w:szCs w:val="24"/>
              </w:rPr>
              <w:t>起(目前任期至</w:t>
            </w:r>
            <w:r w:rsidRPr="00D21AD5">
              <w:rPr>
                <w:rFonts w:ascii="新細明體" w:hAnsi="新細明體" w:hint="eastAsia"/>
                <w:bCs/>
                <w:szCs w:val="24"/>
              </w:rPr>
              <w:t>2017年9月30日</w:t>
            </w:r>
            <w:r w:rsidRPr="00D21AD5">
              <w:rPr>
                <w:rFonts w:ascii="新細明體" w:hAnsi="新細明體"/>
                <w:bCs/>
                <w:szCs w:val="24"/>
              </w:rPr>
              <w:t>止)</w:t>
            </w:r>
            <w:r w:rsidRPr="00D21AD5">
              <w:rPr>
                <w:rFonts w:ascii="新細明體" w:hAnsi="新細明體" w:hint="eastAsia"/>
                <w:bCs/>
                <w:szCs w:val="24"/>
              </w:rPr>
              <w:t>。</w:t>
            </w:r>
          </w:p>
          <w:p w:rsidR="00A22407" w:rsidRPr="00D21AD5" w:rsidRDefault="00A22407" w:rsidP="00A22407">
            <w:pPr>
              <w:numPr>
                <w:ilvl w:val="0"/>
                <w:numId w:val="13"/>
              </w:numPr>
              <w:spacing w:line="420" w:lineRule="exact"/>
              <w:ind w:left="420" w:hanging="284"/>
              <w:jc w:val="both"/>
              <w:rPr>
                <w:rFonts w:ascii="新細明體" w:hAnsi="新細明體"/>
                <w:szCs w:val="24"/>
              </w:rPr>
            </w:pPr>
            <w:r w:rsidRPr="00D21AD5">
              <w:rPr>
                <w:rFonts w:ascii="新細明體" w:hAnsi="新細明體" w:hint="eastAsia"/>
                <w:bCs/>
                <w:szCs w:val="24"/>
              </w:rPr>
              <w:t>歐達禮先生曾於2001年至2004年效力證監會，出任企業融資部執行董事，期間與立法會緊密合作，協助處理《證券及期貨條例》的立法工作。嗣後歐達禮先生負責監督雙重存檔制度的實施情況，並參與政府建議加強上市監管制度的諮詢工作，同時積極參與制訂多項重要的政策措施，包括釐定保薦人及獨立財務顧問的監管準則、修訂《上市規則》及提升企業管治標準。此外，歐達禮先生提出招股章程制度的改革方案，令香港的股份及債權證首次公開發售制度更切合市場需要。</w:t>
            </w:r>
          </w:p>
        </w:tc>
      </w:tr>
      <w:tr w:rsidR="00A22407" w:rsidRPr="000B1136" w:rsidTr="00A22407">
        <w:trPr>
          <w:cantSplit/>
          <w:trHeight w:val="9340"/>
          <w:jc w:val="center"/>
        </w:trPr>
        <w:tc>
          <w:tcPr>
            <w:tcW w:w="2303" w:type="dxa"/>
            <w:shd w:val="clear" w:color="auto" w:fill="auto"/>
            <w:vAlign w:val="center"/>
          </w:tcPr>
          <w:p w:rsidR="00A22407" w:rsidRDefault="00A22407" w:rsidP="00A22407">
            <w:pPr>
              <w:jc w:val="center"/>
            </w:pPr>
            <w:r>
              <w:rPr>
                <w:noProof/>
              </w:rPr>
              <w:lastRenderedPageBreak/>
              <w:drawing>
                <wp:inline distT="0" distB="0" distL="0" distR="0" wp14:anchorId="3F2DE98E" wp14:editId="5F65CF31">
                  <wp:extent cx="1327785" cy="1578610"/>
                  <wp:effectExtent l="0" t="0" r="5715" b="2540"/>
                  <wp:docPr id="21" name="圖片 21" descr="張灼華，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張灼華，J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bCs/>
                <w:szCs w:val="24"/>
              </w:rPr>
              <w:t>張灼華女士</w:t>
            </w:r>
          </w:p>
          <w:p w:rsidR="00A22407" w:rsidRPr="00D21AD5" w:rsidRDefault="00A22407" w:rsidP="00A22407">
            <w:pPr>
              <w:jc w:val="center"/>
              <w:rPr>
                <w:rFonts w:ascii="新細明體" w:hAnsi="新細明體"/>
                <w:bCs/>
                <w:szCs w:val="24"/>
              </w:rPr>
            </w:pPr>
            <w:r w:rsidRPr="00D21AD5">
              <w:rPr>
                <w:rFonts w:ascii="新細明體" w:hAnsi="新細明體"/>
                <w:bCs/>
                <w:szCs w:val="24"/>
              </w:rPr>
              <w:t>證監會副行政總裁</w:t>
            </w:r>
            <w:r w:rsidRPr="00D21AD5">
              <w:rPr>
                <w:rFonts w:ascii="新細明體" w:hAnsi="新細明體" w:hint="eastAsia"/>
                <w:bCs/>
                <w:szCs w:val="24"/>
              </w:rPr>
              <w:t>及</w:t>
            </w:r>
          </w:p>
          <w:p w:rsidR="00A22407" w:rsidRPr="000B1136" w:rsidRDefault="00A22407" w:rsidP="00A22407">
            <w:pPr>
              <w:jc w:val="center"/>
              <w:rPr>
                <w:rFonts w:eastAsia="細明體"/>
                <w:szCs w:val="24"/>
              </w:rPr>
            </w:pPr>
            <w:r w:rsidRPr="00D21AD5">
              <w:rPr>
                <w:rFonts w:ascii="新細明體" w:hAnsi="新細明體"/>
                <w:bCs/>
                <w:szCs w:val="24"/>
              </w:rPr>
              <w:t>投資産品部和國際及中國事務執行董事</w:t>
            </w:r>
          </w:p>
        </w:tc>
        <w:tc>
          <w:tcPr>
            <w:tcW w:w="6519" w:type="dxa"/>
            <w:shd w:val="clear" w:color="auto" w:fill="auto"/>
            <w:vAlign w:val="center"/>
          </w:tcPr>
          <w:p w:rsidR="00A22407" w:rsidRPr="00D21AD5" w:rsidRDefault="00A22407" w:rsidP="00A22407">
            <w:pPr>
              <w:numPr>
                <w:ilvl w:val="0"/>
                <w:numId w:val="14"/>
              </w:numPr>
              <w:spacing w:line="440" w:lineRule="exact"/>
              <w:ind w:hanging="704"/>
              <w:jc w:val="both"/>
              <w:rPr>
                <w:rFonts w:ascii="新細明體" w:hAnsi="新細明體"/>
                <w:bCs/>
                <w:szCs w:val="24"/>
              </w:rPr>
            </w:pPr>
            <w:r w:rsidRPr="00D21AD5">
              <w:rPr>
                <w:rFonts w:ascii="新細明體" w:hAnsi="新細明體"/>
                <w:bCs/>
                <w:szCs w:val="24"/>
              </w:rPr>
              <w:t>任期由2001年12日1日起(目前任期至</w:t>
            </w:r>
            <w:r w:rsidRPr="00D21AD5">
              <w:rPr>
                <w:rFonts w:ascii="新細明體" w:hAnsi="新細明體" w:hint="eastAsia"/>
                <w:bCs/>
                <w:szCs w:val="24"/>
              </w:rPr>
              <w:t>2015年2月28日</w:t>
            </w:r>
            <w:r w:rsidRPr="00D21AD5">
              <w:rPr>
                <w:rFonts w:ascii="新細明體" w:hAnsi="新細明體"/>
                <w:bCs/>
                <w:szCs w:val="24"/>
              </w:rPr>
              <w:t>止)</w:t>
            </w:r>
          </w:p>
          <w:p w:rsidR="00A22407" w:rsidRPr="00D21AD5" w:rsidRDefault="00A22407" w:rsidP="00A22407">
            <w:pPr>
              <w:numPr>
                <w:ilvl w:val="0"/>
                <w:numId w:val="14"/>
              </w:numPr>
              <w:spacing w:line="440" w:lineRule="exact"/>
              <w:ind w:left="561" w:hanging="425"/>
              <w:jc w:val="both"/>
              <w:rPr>
                <w:rFonts w:ascii="新細明體" w:hAnsi="新細明體"/>
                <w:bCs/>
                <w:szCs w:val="24"/>
              </w:rPr>
            </w:pPr>
            <w:r w:rsidRPr="00D21AD5">
              <w:rPr>
                <w:rFonts w:ascii="新細明體" w:hAnsi="新細明體"/>
                <w:bCs/>
                <w:szCs w:val="24"/>
              </w:rPr>
              <w:t>張灼華女士現任證券及期貨事務監察委員會（證監會）副行政總裁，亦是證監會投資産品部和國際及中國事務的執行董事，其職責包括監管香港零售投資産品市場、制訂證監會在國際事務方面的政策，以及推廣中國內地和香港的市場發展。</w:t>
            </w:r>
          </w:p>
          <w:p w:rsidR="00A22407" w:rsidRPr="00D21AD5" w:rsidRDefault="00A22407" w:rsidP="00A22407">
            <w:pPr>
              <w:numPr>
                <w:ilvl w:val="0"/>
                <w:numId w:val="14"/>
              </w:numPr>
              <w:spacing w:line="440" w:lineRule="exact"/>
              <w:ind w:hanging="704"/>
              <w:jc w:val="both"/>
              <w:rPr>
                <w:rFonts w:ascii="新細明體" w:hAnsi="新細明體"/>
                <w:bCs/>
                <w:szCs w:val="24"/>
              </w:rPr>
            </w:pPr>
            <w:r w:rsidRPr="00D21AD5">
              <w:rPr>
                <w:rFonts w:ascii="新細明體" w:hAnsi="新細明體"/>
                <w:bCs/>
                <w:szCs w:val="24"/>
              </w:rPr>
              <w:t>由張灼華女士領導推行的主要舉措包括：</w:t>
            </w:r>
          </w:p>
          <w:p w:rsidR="00A22407" w:rsidRPr="00D21AD5" w:rsidRDefault="00A22407" w:rsidP="00A22407">
            <w:pPr>
              <w:widowControl/>
              <w:numPr>
                <w:ilvl w:val="0"/>
                <w:numId w:val="19"/>
              </w:numPr>
              <w:tabs>
                <w:tab w:val="clear" w:pos="786"/>
              </w:tabs>
              <w:spacing w:line="440" w:lineRule="exact"/>
              <w:ind w:leftChars="122" w:left="576" w:hanging="283"/>
              <w:textAlignment w:val="baseline"/>
              <w:rPr>
                <w:rFonts w:ascii="新細明體" w:hAnsi="新細明體"/>
                <w:color w:val="222222"/>
                <w:szCs w:val="24"/>
              </w:rPr>
            </w:pPr>
            <w:r w:rsidRPr="00D21AD5">
              <w:rPr>
                <w:rFonts w:ascii="新細明體" w:hAnsi="新細明體"/>
                <w:color w:val="222222"/>
                <w:szCs w:val="24"/>
              </w:rPr>
              <w:t>制訂全新的産品手册，當中包括香港首份非上市結構性投資産品守則；</w:t>
            </w:r>
          </w:p>
          <w:p w:rsidR="00A22407" w:rsidRPr="00D21AD5" w:rsidRDefault="00A22407" w:rsidP="00A22407">
            <w:pPr>
              <w:widowControl/>
              <w:numPr>
                <w:ilvl w:val="0"/>
                <w:numId w:val="19"/>
              </w:numPr>
              <w:tabs>
                <w:tab w:val="clear" w:pos="786"/>
              </w:tabs>
              <w:spacing w:line="440" w:lineRule="exact"/>
              <w:ind w:leftChars="116" w:left="561" w:hanging="283"/>
              <w:textAlignment w:val="baseline"/>
              <w:rPr>
                <w:rFonts w:ascii="新細明體" w:hAnsi="新細明體"/>
                <w:color w:val="222222"/>
                <w:szCs w:val="24"/>
              </w:rPr>
            </w:pPr>
            <w:r w:rsidRPr="00D21AD5">
              <w:rPr>
                <w:rFonts w:ascii="新細明體" w:hAnsi="新細明體"/>
                <w:color w:val="222222"/>
                <w:szCs w:val="24"/>
              </w:rPr>
              <w:t>鼓勵産品創新，包括交易所買賣基金（ETF）、結構性基金、房地産投資信托基金（REIT）及以人民幣計價的基金；</w:t>
            </w:r>
          </w:p>
          <w:p w:rsidR="00A22407" w:rsidRPr="00D21AD5" w:rsidRDefault="00A22407" w:rsidP="00A22407">
            <w:pPr>
              <w:widowControl/>
              <w:numPr>
                <w:ilvl w:val="0"/>
                <w:numId w:val="19"/>
              </w:numPr>
              <w:tabs>
                <w:tab w:val="clear" w:pos="786"/>
              </w:tabs>
              <w:spacing w:line="440" w:lineRule="exact"/>
              <w:ind w:leftChars="116" w:left="561" w:hanging="283"/>
              <w:textAlignment w:val="baseline"/>
              <w:rPr>
                <w:rFonts w:ascii="新細明體" w:hAnsi="新細明體"/>
                <w:color w:val="222222"/>
                <w:szCs w:val="24"/>
              </w:rPr>
            </w:pPr>
            <w:r w:rsidRPr="00D21AD5">
              <w:rPr>
                <w:rFonts w:ascii="新細明體" w:hAnsi="新細明體"/>
                <w:color w:val="222222"/>
                <w:szCs w:val="24"/>
              </w:rPr>
              <w:t>推廣香港作爲人民幣離岸中心，包括推動人民幣合資格境外機構投資者（RQFII）計劃；</w:t>
            </w:r>
          </w:p>
          <w:p w:rsidR="00A22407" w:rsidRPr="00D21AD5" w:rsidRDefault="00A22407" w:rsidP="00A22407">
            <w:pPr>
              <w:widowControl/>
              <w:numPr>
                <w:ilvl w:val="0"/>
                <w:numId w:val="19"/>
              </w:numPr>
              <w:tabs>
                <w:tab w:val="clear" w:pos="786"/>
              </w:tabs>
              <w:spacing w:line="440" w:lineRule="exact"/>
              <w:ind w:leftChars="116" w:left="561" w:hanging="283"/>
              <w:textAlignment w:val="baseline"/>
              <w:rPr>
                <w:rFonts w:ascii="新細明體" w:hAnsi="新細明體"/>
                <w:color w:val="222222"/>
                <w:szCs w:val="24"/>
              </w:rPr>
            </w:pPr>
            <w:r w:rsidRPr="00D21AD5">
              <w:rPr>
                <w:rFonts w:ascii="新細明體" w:hAnsi="新細明體"/>
                <w:color w:val="222222"/>
                <w:szCs w:val="24"/>
              </w:rPr>
              <w:t>及與中國內地有關部門研究協商內地與香港基金互認的安排。</w:t>
            </w:r>
          </w:p>
          <w:p w:rsidR="00A22407" w:rsidRPr="000B1136" w:rsidRDefault="00A22407" w:rsidP="00A22407">
            <w:pPr>
              <w:numPr>
                <w:ilvl w:val="0"/>
                <w:numId w:val="14"/>
              </w:numPr>
              <w:spacing w:line="440" w:lineRule="exact"/>
              <w:ind w:left="561" w:hanging="425"/>
              <w:jc w:val="both"/>
              <w:rPr>
                <w:rFonts w:eastAsia="細明體"/>
                <w:bCs/>
                <w:szCs w:val="24"/>
              </w:rPr>
            </w:pPr>
            <w:r w:rsidRPr="00D21AD5">
              <w:rPr>
                <w:rFonts w:ascii="新細明體" w:hAnsi="新細明體"/>
                <w:bCs/>
                <w:szCs w:val="24"/>
              </w:rPr>
              <w:t>張灼華女士積極推動內地與香港的金融合作，就中國內地資本市場改革的各項政策和規則與相關監管機構和政府部門緊密溝通。她亦是發展香港離岸人民幣業務及人民幣投資産品的主要推動者之一。</w:t>
            </w:r>
          </w:p>
        </w:tc>
      </w:tr>
      <w:tr w:rsidR="00A22407" w:rsidRPr="000B1136" w:rsidTr="00A22407">
        <w:trPr>
          <w:cantSplit/>
          <w:trHeight w:val="5071"/>
          <w:jc w:val="center"/>
        </w:trPr>
        <w:tc>
          <w:tcPr>
            <w:tcW w:w="2303" w:type="dxa"/>
            <w:shd w:val="clear" w:color="auto" w:fill="auto"/>
            <w:vAlign w:val="center"/>
          </w:tcPr>
          <w:p w:rsidR="00A22407" w:rsidRDefault="00A22407" w:rsidP="00A22407">
            <w:pPr>
              <w:jc w:val="center"/>
            </w:pPr>
            <w:r>
              <w:rPr>
                <w:noProof/>
              </w:rPr>
              <w:lastRenderedPageBreak/>
              <w:drawing>
                <wp:inline distT="0" distB="0" distL="0" distR="0" wp14:anchorId="5FCA6623" wp14:editId="72BD36A9">
                  <wp:extent cx="1327785" cy="1578610"/>
                  <wp:effectExtent l="0" t="0" r="5715" b="2540"/>
                  <wp:docPr id="22" name="圖片 22" descr="何賢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何賢通"/>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bCs/>
                <w:szCs w:val="24"/>
              </w:rPr>
              <w:t>何賢通先生</w:t>
            </w:r>
          </w:p>
          <w:p w:rsidR="00A22407" w:rsidRPr="00D21AD5" w:rsidRDefault="00A22407" w:rsidP="00A22407">
            <w:pPr>
              <w:jc w:val="center"/>
              <w:rPr>
                <w:rFonts w:ascii="新細明體" w:hAnsi="新細明體"/>
              </w:rPr>
            </w:pPr>
            <w:r w:rsidRPr="00D21AD5">
              <w:rPr>
                <w:rFonts w:ascii="新細明體" w:hAnsi="新細明體"/>
                <w:bCs/>
                <w:szCs w:val="24"/>
              </w:rPr>
              <w:t>證監會執行董事</w:t>
            </w:r>
          </w:p>
        </w:tc>
        <w:tc>
          <w:tcPr>
            <w:tcW w:w="6519" w:type="dxa"/>
            <w:shd w:val="clear" w:color="auto" w:fill="auto"/>
            <w:vAlign w:val="center"/>
          </w:tcPr>
          <w:p w:rsidR="00A22407" w:rsidRPr="00D21AD5" w:rsidRDefault="00A22407" w:rsidP="00A22407">
            <w:pPr>
              <w:numPr>
                <w:ilvl w:val="0"/>
                <w:numId w:val="15"/>
              </w:numPr>
              <w:spacing w:line="440" w:lineRule="exact"/>
              <w:ind w:left="561" w:hanging="425"/>
              <w:jc w:val="both"/>
              <w:rPr>
                <w:rFonts w:ascii="新細明體" w:hAnsi="新細明體"/>
                <w:bCs/>
                <w:szCs w:val="24"/>
              </w:rPr>
            </w:pPr>
            <w:r w:rsidRPr="00D21AD5">
              <w:rPr>
                <w:rFonts w:ascii="新細明體" w:hAnsi="新細明體"/>
                <w:bCs/>
                <w:szCs w:val="24"/>
              </w:rPr>
              <w:t>任期由2006年8月28日起(目前任期至</w:t>
            </w:r>
            <w:r w:rsidRPr="00D21AD5">
              <w:rPr>
                <w:rFonts w:ascii="新細明體" w:hAnsi="新細明體" w:hint="eastAsia"/>
                <w:bCs/>
                <w:szCs w:val="24"/>
              </w:rPr>
              <w:t>2015年8月27日</w:t>
            </w:r>
            <w:r w:rsidRPr="00D21AD5">
              <w:rPr>
                <w:rFonts w:ascii="新細明體" w:hAnsi="新細明體"/>
                <w:bCs/>
                <w:szCs w:val="24"/>
              </w:rPr>
              <w:t>止)</w:t>
            </w:r>
            <w:r w:rsidRPr="00D21AD5">
              <w:rPr>
                <w:rFonts w:ascii="新細明體" w:hAnsi="新細明體" w:hint="eastAsia"/>
                <w:bCs/>
                <w:szCs w:val="24"/>
              </w:rPr>
              <w:t>。</w:t>
            </w:r>
          </w:p>
          <w:p w:rsidR="00A22407" w:rsidRPr="00D21AD5" w:rsidRDefault="00A22407" w:rsidP="00A22407">
            <w:pPr>
              <w:numPr>
                <w:ilvl w:val="0"/>
                <w:numId w:val="15"/>
              </w:numPr>
              <w:spacing w:line="440" w:lineRule="exact"/>
              <w:ind w:left="561" w:hanging="425"/>
              <w:jc w:val="both"/>
              <w:rPr>
                <w:rFonts w:ascii="新細明體" w:hAnsi="新細明體"/>
                <w:bCs/>
                <w:szCs w:val="24"/>
              </w:rPr>
            </w:pPr>
            <w:r w:rsidRPr="00D21AD5">
              <w:rPr>
                <w:rFonts w:ascii="新細明體" w:hAnsi="新細明體"/>
                <w:bCs/>
                <w:szCs w:val="24"/>
              </w:rPr>
              <w:t>何賢通先生是證券及期貨事務監察委員會（證監會）委員，並且是掌管企業融資部的執行董事。該部門負責監管收購及合併活動、執行雙重存檔制度、企業披露，以及監察上市的政策事宜。</w:t>
            </w:r>
          </w:p>
          <w:p w:rsidR="00A22407" w:rsidRPr="00D21AD5" w:rsidRDefault="00A22407" w:rsidP="00A22407">
            <w:pPr>
              <w:numPr>
                <w:ilvl w:val="0"/>
                <w:numId w:val="15"/>
              </w:numPr>
              <w:spacing w:line="440" w:lineRule="exact"/>
              <w:ind w:left="561" w:hanging="425"/>
              <w:jc w:val="both"/>
              <w:rPr>
                <w:rFonts w:ascii="新細明體" w:hAnsi="新細明體"/>
                <w:bCs/>
                <w:szCs w:val="24"/>
              </w:rPr>
            </w:pPr>
            <w:r w:rsidRPr="00D21AD5">
              <w:rPr>
                <w:rFonts w:ascii="新細明體" w:hAnsi="新細明體"/>
                <w:bCs/>
                <w:szCs w:val="24"/>
              </w:rPr>
              <w:t>何先生已服務證監會超過18年。在加入證監會前，他曾</w:t>
            </w:r>
            <w:r w:rsidRPr="00D21AD5">
              <w:rPr>
                <w:rFonts w:ascii="新細明體" w:hAnsi="新細明體" w:hint="eastAsia"/>
                <w:bCs/>
                <w:szCs w:val="24"/>
              </w:rPr>
              <w:t xml:space="preserve"> </w:t>
            </w:r>
            <w:r w:rsidRPr="00D21AD5">
              <w:rPr>
                <w:rFonts w:ascii="新細明體" w:hAnsi="新細明體"/>
                <w:bCs/>
                <w:szCs w:val="24"/>
              </w:rPr>
              <w:t>在香港執業為律師。</w:t>
            </w:r>
          </w:p>
          <w:p w:rsidR="00A22407" w:rsidRPr="000B1136" w:rsidRDefault="00A22407" w:rsidP="00A22407">
            <w:pPr>
              <w:numPr>
                <w:ilvl w:val="0"/>
                <w:numId w:val="15"/>
              </w:numPr>
              <w:spacing w:line="440" w:lineRule="exact"/>
              <w:ind w:left="561" w:hanging="425"/>
              <w:jc w:val="both"/>
              <w:rPr>
                <w:rFonts w:ascii="標楷體" w:eastAsia="標楷體" w:hAnsi="標楷體"/>
                <w:bCs/>
                <w:szCs w:val="24"/>
              </w:rPr>
            </w:pPr>
            <w:r w:rsidRPr="00D21AD5">
              <w:rPr>
                <w:rFonts w:ascii="新細明體" w:hAnsi="新細明體"/>
                <w:bCs/>
                <w:szCs w:val="24"/>
              </w:rPr>
              <w:t>何先生兼任證監會公眾股東權益小組主席、提名委員會、房地產投資信託基金委員會、執行委員會委員，以及聯交所的上市提名委員會委員</w:t>
            </w:r>
            <w:r w:rsidRPr="00D21AD5">
              <w:rPr>
                <w:rFonts w:ascii="新細明體" w:hAnsi="新細明體"/>
                <w:color w:val="222222"/>
                <w:szCs w:val="24"/>
              </w:rPr>
              <w:t>。</w:t>
            </w:r>
          </w:p>
        </w:tc>
      </w:tr>
      <w:tr w:rsidR="00A22407" w:rsidRPr="000B1136" w:rsidTr="00A22407">
        <w:trPr>
          <w:cantSplit/>
          <w:trHeight w:val="4476"/>
          <w:jc w:val="center"/>
        </w:trPr>
        <w:tc>
          <w:tcPr>
            <w:tcW w:w="2303" w:type="dxa"/>
            <w:shd w:val="clear" w:color="auto" w:fill="auto"/>
            <w:vAlign w:val="center"/>
          </w:tcPr>
          <w:p w:rsidR="00A22407" w:rsidRPr="00D21AD5" w:rsidRDefault="00A22407" w:rsidP="00A22407">
            <w:pPr>
              <w:jc w:val="center"/>
              <w:rPr>
                <w:rFonts w:ascii="新細明體" w:hAnsi="新細明體"/>
              </w:rPr>
            </w:pPr>
            <w:r>
              <w:rPr>
                <w:rFonts w:ascii="新細明體" w:hAnsi="新細明體"/>
                <w:noProof/>
              </w:rPr>
              <w:drawing>
                <wp:inline distT="0" distB="0" distL="0" distR="0" wp14:anchorId="5FE6EB73" wp14:editId="38E396EF">
                  <wp:extent cx="1327785" cy="1578610"/>
                  <wp:effectExtent l="0" t="0" r="5715" b="2540"/>
                  <wp:docPr id="23" name="圖片 23" descr="雷祺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雷祺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bCs/>
                <w:szCs w:val="24"/>
              </w:rPr>
              <w:t>雷祺光先生</w:t>
            </w:r>
          </w:p>
          <w:p w:rsidR="00A22407" w:rsidRPr="00D21AD5" w:rsidRDefault="00A22407" w:rsidP="00A22407">
            <w:pPr>
              <w:jc w:val="center"/>
              <w:rPr>
                <w:rFonts w:ascii="新細明體" w:hAnsi="新細明體"/>
              </w:rPr>
            </w:pPr>
            <w:r w:rsidRPr="00D21AD5">
              <w:rPr>
                <w:rFonts w:ascii="新細明體" w:hAnsi="新細明體"/>
                <w:bCs/>
                <w:szCs w:val="24"/>
              </w:rPr>
              <w:t>證監會執行董事</w:t>
            </w:r>
          </w:p>
        </w:tc>
        <w:tc>
          <w:tcPr>
            <w:tcW w:w="6519" w:type="dxa"/>
            <w:shd w:val="clear" w:color="auto" w:fill="auto"/>
            <w:vAlign w:val="center"/>
          </w:tcPr>
          <w:p w:rsidR="00A22407" w:rsidRPr="00D21AD5" w:rsidRDefault="00A22407" w:rsidP="00A22407">
            <w:pPr>
              <w:numPr>
                <w:ilvl w:val="0"/>
                <w:numId w:val="16"/>
              </w:numPr>
              <w:spacing w:line="440" w:lineRule="exact"/>
              <w:ind w:left="420" w:hanging="284"/>
              <w:jc w:val="both"/>
              <w:rPr>
                <w:rFonts w:ascii="新細明體" w:hAnsi="新細明體"/>
                <w:bCs/>
                <w:szCs w:val="24"/>
              </w:rPr>
            </w:pPr>
            <w:r w:rsidRPr="00D21AD5">
              <w:rPr>
                <w:rFonts w:ascii="新細明體" w:hAnsi="新細明體"/>
                <w:bCs/>
                <w:szCs w:val="24"/>
              </w:rPr>
              <w:t>任期由2006年8日28日起(目前任期至</w:t>
            </w:r>
            <w:r w:rsidRPr="00D21AD5">
              <w:rPr>
                <w:rFonts w:ascii="新細明體" w:hAnsi="新細明體" w:hint="eastAsia"/>
                <w:bCs/>
                <w:szCs w:val="24"/>
              </w:rPr>
              <w:t>2015年8月27日</w:t>
            </w:r>
            <w:r w:rsidRPr="00D21AD5">
              <w:rPr>
                <w:rFonts w:ascii="新細明體" w:hAnsi="新細明體"/>
                <w:bCs/>
                <w:szCs w:val="24"/>
              </w:rPr>
              <w:t>止)</w:t>
            </w:r>
            <w:r w:rsidRPr="00D21AD5">
              <w:rPr>
                <w:rFonts w:ascii="新細明體" w:hAnsi="新細明體" w:hint="eastAsia"/>
                <w:bCs/>
                <w:szCs w:val="24"/>
              </w:rPr>
              <w:t>。</w:t>
            </w:r>
          </w:p>
          <w:p w:rsidR="00A22407" w:rsidRPr="00D21AD5" w:rsidRDefault="00A22407" w:rsidP="00A22407">
            <w:pPr>
              <w:numPr>
                <w:ilvl w:val="0"/>
                <w:numId w:val="16"/>
              </w:numPr>
              <w:spacing w:line="440" w:lineRule="exact"/>
              <w:ind w:left="420" w:hanging="284"/>
              <w:jc w:val="both"/>
              <w:rPr>
                <w:rFonts w:ascii="新細明體" w:hAnsi="新細明體"/>
                <w:bCs/>
                <w:szCs w:val="24"/>
              </w:rPr>
            </w:pPr>
            <w:r w:rsidRPr="00D21AD5">
              <w:rPr>
                <w:rFonts w:ascii="新細明體" w:hAnsi="新細明體"/>
                <w:bCs/>
                <w:szCs w:val="24"/>
              </w:rPr>
              <w:t>雷祺光先生是香港證券及期貨事務監察委員會委員，並且是掌管市場監察部的執行董事。該部門負責監督香港交易及結算所有限公司的交易及結算活動、自動交易系統的授權、管理投資者賠償基金，以及促進證券及期貨市場的發展。</w:t>
            </w:r>
          </w:p>
          <w:p w:rsidR="00A22407" w:rsidRPr="00D21AD5" w:rsidRDefault="00A22407" w:rsidP="00A22407">
            <w:pPr>
              <w:numPr>
                <w:ilvl w:val="0"/>
                <w:numId w:val="16"/>
              </w:numPr>
              <w:spacing w:line="440" w:lineRule="exact"/>
              <w:ind w:left="420" w:hanging="284"/>
              <w:jc w:val="both"/>
              <w:rPr>
                <w:rFonts w:ascii="新細明體" w:hAnsi="新細明體"/>
                <w:bCs/>
                <w:szCs w:val="24"/>
              </w:rPr>
            </w:pPr>
            <w:r w:rsidRPr="00D21AD5">
              <w:rPr>
                <w:rFonts w:ascii="新細明體" w:hAnsi="新細明體"/>
                <w:bCs/>
                <w:szCs w:val="24"/>
              </w:rPr>
              <w:t>雷先生服務證監會已超過15年，他在監督證券及期貨市場方面擁有豐富知識及經驗。在加入證監會前，他曾在美國任職於金融機構。</w:t>
            </w:r>
          </w:p>
          <w:p w:rsidR="00A22407" w:rsidRPr="00D21AD5" w:rsidRDefault="00A22407" w:rsidP="00A22407">
            <w:pPr>
              <w:numPr>
                <w:ilvl w:val="0"/>
                <w:numId w:val="16"/>
              </w:numPr>
              <w:spacing w:line="440" w:lineRule="exact"/>
              <w:ind w:left="420" w:hanging="284"/>
              <w:jc w:val="both"/>
              <w:rPr>
                <w:rFonts w:ascii="新細明體" w:hAnsi="新細明體"/>
                <w:bCs/>
                <w:szCs w:val="24"/>
              </w:rPr>
            </w:pPr>
            <w:r w:rsidRPr="00D21AD5">
              <w:rPr>
                <w:rFonts w:ascii="新細明體" w:hAnsi="新細明體"/>
                <w:bCs/>
                <w:szCs w:val="24"/>
              </w:rPr>
              <w:t>雷先生兼任香港交易及結算所有限公司風險管理委員會委員、證券賠償基金委員會主席、投資者賠償基金委員會主席、證監會（香港交易所上市）委員會委員、財政預算委員會委員及執行委員會委員。他亦是投資者賠償有限公司的董事之一。</w:t>
            </w:r>
          </w:p>
        </w:tc>
      </w:tr>
      <w:tr w:rsidR="00A22407" w:rsidRPr="000B1136" w:rsidTr="00A22407">
        <w:trPr>
          <w:cantSplit/>
          <w:trHeight w:val="7356"/>
          <w:jc w:val="center"/>
        </w:trPr>
        <w:tc>
          <w:tcPr>
            <w:tcW w:w="2303" w:type="dxa"/>
            <w:shd w:val="clear" w:color="auto" w:fill="auto"/>
            <w:vAlign w:val="center"/>
          </w:tcPr>
          <w:p w:rsidR="00A22407" w:rsidRPr="00D21AD5" w:rsidRDefault="00A22407" w:rsidP="00A22407">
            <w:pPr>
              <w:jc w:val="center"/>
              <w:rPr>
                <w:rFonts w:ascii="新細明體" w:hAnsi="新細明體"/>
                <w:szCs w:val="24"/>
              </w:rPr>
            </w:pPr>
            <w:r>
              <w:rPr>
                <w:rFonts w:ascii="新細明體" w:hAnsi="新細明體"/>
                <w:noProof/>
                <w:szCs w:val="24"/>
              </w:rPr>
              <w:lastRenderedPageBreak/>
              <w:drawing>
                <wp:inline distT="0" distB="0" distL="0" distR="0" wp14:anchorId="0E2227D8" wp14:editId="4F5F34DA">
                  <wp:extent cx="1327785" cy="1578610"/>
                  <wp:effectExtent l="0" t="0" r="5715" b="2540"/>
                  <wp:docPr id="24" name="圖片 24" descr="施衛民(STEWARD，Mark Ro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施衛民(STEWARD，Mark Robe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bCs/>
                <w:szCs w:val="24"/>
              </w:rPr>
              <w:t>施衛民先生</w:t>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(STEWARD，</w:t>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Mark Robert)</w:t>
            </w:r>
          </w:p>
          <w:p w:rsidR="00A22407" w:rsidRPr="00D21AD5" w:rsidRDefault="00A22407" w:rsidP="00A22407">
            <w:pPr>
              <w:jc w:val="center"/>
              <w:rPr>
                <w:rFonts w:ascii="新細明體" w:hAnsi="新細明體"/>
              </w:rPr>
            </w:pPr>
            <w:r w:rsidRPr="00D21AD5">
              <w:rPr>
                <w:rFonts w:ascii="新細明體" w:hAnsi="新細明體"/>
                <w:bCs/>
                <w:szCs w:val="24"/>
              </w:rPr>
              <w:t>證監會執行董事</w:t>
            </w:r>
          </w:p>
        </w:tc>
        <w:tc>
          <w:tcPr>
            <w:tcW w:w="6519" w:type="dxa"/>
            <w:shd w:val="clear" w:color="auto" w:fill="auto"/>
            <w:vAlign w:val="center"/>
          </w:tcPr>
          <w:p w:rsidR="00A22407" w:rsidRPr="00D21AD5" w:rsidRDefault="00A22407" w:rsidP="00A22407">
            <w:pPr>
              <w:numPr>
                <w:ilvl w:val="0"/>
                <w:numId w:val="17"/>
              </w:numPr>
              <w:spacing w:line="420" w:lineRule="exact"/>
              <w:ind w:left="477" w:hanging="284"/>
              <w:jc w:val="both"/>
              <w:rPr>
                <w:rFonts w:ascii="新細明體" w:hAnsi="新細明體"/>
                <w:bCs/>
                <w:szCs w:val="24"/>
              </w:rPr>
            </w:pPr>
            <w:r w:rsidRPr="00D21AD5">
              <w:rPr>
                <w:rFonts w:ascii="新細明體" w:hAnsi="新細明體"/>
                <w:bCs/>
                <w:szCs w:val="24"/>
              </w:rPr>
              <w:t>任期由2006年9月25日起(目前任期至</w:t>
            </w:r>
            <w:r w:rsidRPr="00D21AD5">
              <w:rPr>
                <w:rFonts w:ascii="新細明體" w:hAnsi="新細明體" w:hint="eastAsia"/>
                <w:bCs/>
                <w:szCs w:val="24"/>
              </w:rPr>
              <w:t>2015年9月24日</w:t>
            </w:r>
            <w:r w:rsidRPr="00D21AD5">
              <w:rPr>
                <w:rFonts w:ascii="新細明體" w:hAnsi="新細明體"/>
                <w:bCs/>
                <w:szCs w:val="24"/>
              </w:rPr>
              <w:t>止)</w:t>
            </w:r>
            <w:r w:rsidRPr="00D21AD5">
              <w:rPr>
                <w:rFonts w:ascii="新細明體" w:hAnsi="新細明體" w:hint="eastAsia"/>
                <w:bCs/>
                <w:szCs w:val="24"/>
              </w:rPr>
              <w:t>。</w:t>
            </w:r>
          </w:p>
          <w:p w:rsidR="00A22407" w:rsidRPr="00D21AD5" w:rsidRDefault="00A22407" w:rsidP="00A22407">
            <w:pPr>
              <w:numPr>
                <w:ilvl w:val="0"/>
                <w:numId w:val="17"/>
              </w:numPr>
              <w:spacing w:line="420" w:lineRule="exact"/>
              <w:ind w:left="477" w:hanging="284"/>
              <w:jc w:val="both"/>
              <w:rPr>
                <w:rFonts w:ascii="新細明體" w:hAnsi="新細明體"/>
                <w:bCs/>
                <w:szCs w:val="24"/>
              </w:rPr>
            </w:pPr>
            <w:r w:rsidRPr="00D21AD5">
              <w:rPr>
                <w:rFonts w:ascii="新細明體" w:hAnsi="新細明體"/>
                <w:bCs/>
                <w:szCs w:val="24"/>
              </w:rPr>
              <w:t>施衛民先生是香港證券及期貨事務監察委員會委員，並且是掌管法規執行部的執行董事。該部門負責監察證券期貨市場的不適當行為、就法定罪行及違反證監會有關法例的事宜作出調查，以及在適當情況下對持牌人採取紀律處分和提出檢控。</w:t>
            </w:r>
          </w:p>
          <w:p w:rsidR="00A22407" w:rsidRPr="00D21AD5" w:rsidRDefault="00A22407" w:rsidP="00A22407">
            <w:pPr>
              <w:numPr>
                <w:ilvl w:val="0"/>
                <w:numId w:val="17"/>
              </w:numPr>
              <w:spacing w:line="420" w:lineRule="exact"/>
              <w:ind w:left="477" w:hanging="284"/>
              <w:jc w:val="both"/>
              <w:rPr>
                <w:rFonts w:ascii="新細明體" w:hAnsi="新細明體"/>
                <w:bCs/>
                <w:szCs w:val="24"/>
              </w:rPr>
            </w:pPr>
            <w:r w:rsidRPr="00D21AD5">
              <w:rPr>
                <w:rFonts w:ascii="新細明體" w:hAnsi="新細明體"/>
                <w:bCs/>
                <w:szCs w:val="24"/>
              </w:rPr>
              <w:t>施衛民先生兼任證監會(香港交易所上市)委員會委員及執行委員會委員。在加入證監會前，施衛民先生曾於澳大利亞證券及投資事務監察委員會(Australian Securities and Investments Commission)先後擔任數項要職，最後任職該委員會法規執行部副執行董事。施衛民先生自1987年起已在澳洲及英國參與企業及證券的監管事務，尤其專注於調查工作及繼後的訴訟程式。施衛民先生於1989年在墨爾本大學(University of Melbourne)取得法律學學士學位，並擁有在澳洲的法院執業的廣泛經驗</w:t>
            </w:r>
          </w:p>
        </w:tc>
      </w:tr>
      <w:tr w:rsidR="00A22407" w:rsidRPr="000B1136" w:rsidTr="00A22407">
        <w:trPr>
          <w:cantSplit/>
          <w:trHeight w:val="6505"/>
          <w:jc w:val="center"/>
        </w:trPr>
        <w:tc>
          <w:tcPr>
            <w:tcW w:w="2303" w:type="dxa"/>
            <w:shd w:val="clear" w:color="auto" w:fill="auto"/>
            <w:vAlign w:val="center"/>
          </w:tcPr>
          <w:p w:rsidR="00A22407" w:rsidRDefault="00A22407" w:rsidP="00A22407">
            <w:pPr>
              <w:jc w:val="center"/>
            </w:pPr>
            <w:r>
              <w:rPr>
                <w:noProof/>
              </w:rPr>
              <w:drawing>
                <wp:inline distT="0" distB="0" distL="0" distR="0" wp14:anchorId="127B6F8E" wp14:editId="247364B1">
                  <wp:extent cx="1327785" cy="1578610"/>
                  <wp:effectExtent l="0" t="0" r="5715" b="2540"/>
                  <wp:docPr id="25" name="圖片 25" descr="施哲宏 (SHIPTON，James Roger Fran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施哲宏 (SHIPTON，James Roger Franc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施哲宏先生(SHIPTON，James Roger Francis)</w:t>
            </w:r>
          </w:p>
          <w:p w:rsidR="00A22407" w:rsidRPr="007E22EF" w:rsidRDefault="00A22407" w:rsidP="00A22407">
            <w:pPr>
              <w:jc w:val="center"/>
            </w:pPr>
            <w:r w:rsidRPr="00D21AD5">
              <w:rPr>
                <w:rFonts w:ascii="新細明體" w:hAnsi="新細明體"/>
                <w:bCs/>
                <w:szCs w:val="24"/>
              </w:rPr>
              <w:t>證監會執行董事</w:t>
            </w:r>
          </w:p>
        </w:tc>
        <w:tc>
          <w:tcPr>
            <w:tcW w:w="6519" w:type="dxa"/>
            <w:shd w:val="clear" w:color="auto" w:fill="auto"/>
            <w:vAlign w:val="center"/>
          </w:tcPr>
          <w:p w:rsidR="00A22407" w:rsidRPr="00D21AD5" w:rsidRDefault="00A22407" w:rsidP="00A22407">
            <w:pPr>
              <w:numPr>
                <w:ilvl w:val="0"/>
                <w:numId w:val="20"/>
              </w:numPr>
              <w:spacing w:line="420" w:lineRule="exact"/>
              <w:ind w:left="477" w:hanging="284"/>
              <w:jc w:val="both"/>
              <w:rPr>
                <w:rFonts w:ascii="新細明體" w:hAnsi="新細明體"/>
                <w:bCs/>
                <w:szCs w:val="24"/>
              </w:rPr>
            </w:pPr>
            <w:r w:rsidRPr="00D21AD5">
              <w:rPr>
                <w:rFonts w:ascii="新細明體" w:hAnsi="新細明體"/>
                <w:bCs/>
                <w:szCs w:val="24"/>
              </w:rPr>
              <w:t>任期由20</w:t>
            </w:r>
            <w:r w:rsidRPr="00D21AD5">
              <w:rPr>
                <w:rFonts w:ascii="新細明體" w:hAnsi="新細明體" w:hint="eastAsia"/>
                <w:bCs/>
                <w:szCs w:val="24"/>
              </w:rPr>
              <w:t>13</w:t>
            </w:r>
            <w:r w:rsidRPr="00D21AD5">
              <w:rPr>
                <w:rFonts w:ascii="新細明體" w:hAnsi="新細明體"/>
                <w:bCs/>
                <w:szCs w:val="24"/>
              </w:rPr>
              <w:t>年</w:t>
            </w:r>
            <w:r w:rsidRPr="00D21AD5">
              <w:rPr>
                <w:rFonts w:ascii="新細明體" w:hAnsi="新細明體" w:hint="eastAsia"/>
                <w:bCs/>
                <w:szCs w:val="24"/>
              </w:rPr>
              <w:t>6</w:t>
            </w:r>
            <w:r w:rsidRPr="00D21AD5">
              <w:rPr>
                <w:rFonts w:ascii="新細明體" w:hAnsi="新細明體"/>
                <w:bCs/>
                <w:szCs w:val="24"/>
              </w:rPr>
              <w:t>月</w:t>
            </w:r>
            <w:r w:rsidRPr="00D21AD5">
              <w:rPr>
                <w:rFonts w:ascii="新細明體" w:hAnsi="新細明體" w:hint="eastAsia"/>
                <w:bCs/>
                <w:szCs w:val="24"/>
              </w:rPr>
              <w:t>19</w:t>
            </w:r>
            <w:r w:rsidRPr="00D21AD5">
              <w:rPr>
                <w:rFonts w:ascii="新細明體" w:hAnsi="新細明體"/>
                <w:bCs/>
                <w:szCs w:val="24"/>
              </w:rPr>
              <w:t>日起(目前任期至</w:t>
            </w:r>
            <w:r w:rsidRPr="00D21AD5">
              <w:rPr>
                <w:rFonts w:ascii="新細明體" w:hAnsi="新細明體" w:hint="eastAsia"/>
                <w:bCs/>
                <w:szCs w:val="24"/>
              </w:rPr>
              <w:t>2016年6月18日</w:t>
            </w:r>
            <w:r w:rsidRPr="00D21AD5">
              <w:rPr>
                <w:rFonts w:ascii="新細明體" w:hAnsi="新細明體"/>
                <w:bCs/>
                <w:szCs w:val="24"/>
              </w:rPr>
              <w:t>止)</w:t>
            </w:r>
            <w:r w:rsidRPr="00D21AD5">
              <w:rPr>
                <w:rFonts w:ascii="新細明體" w:hAnsi="新細明體" w:hint="eastAsia"/>
                <w:bCs/>
                <w:szCs w:val="24"/>
              </w:rPr>
              <w:t>。</w:t>
            </w:r>
          </w:p>
          <w:p w:rsidR="00A22407" w:rsidRPr="00D21AD5" w:rsidRDefault="00A22407" w:rsidP="00A22407">
            <w:pPr>
              <w:numPr>
                <w:ilvl w:val="0"/>
                <w:numId w:val="20"/>
              </w:numPr>
              <w:spacing w:line="420" w:lineRule="exact"/>
              <w:ind w:left="477" w:hanging="284"/>
              <w:jc w:val="both"/>
              <w:rPr>
                <w:rFonts w:ascii="新細明體" w:hAnsi="新細明體"/>
                <w:bCs/>
                <w:szCs w:val="24"/>
              </w:rPr>
            </w:pPr>
            <w:r w:rsidRPr="00D21AD5">
              <w:rPr>
                <w:rFonts w:ascii="新細明體" w:hAnsi="新細明體"/>
                <w:bCs/>
                <w:szCs w:val="24"/>
              </w:rPr>
              <w:t>施哲宏先生是證券及期貨事務監察委員會委員，並擔任中介機構部的執行董事。該部門由中介機構監察科及發牌科組成，主要負責制訂和執行發牌規定，並對持牌公司進行持續監管，重點監察其業務操守和財政健全狀況。</w:t>
            </w:r>
          </w:p>
          <w:p w:rsidR="00A22407" w:rsidRPr="000B1136" w:rsidRDefault="00A22407" w:rsidP="00A22407">
            <w:pPr>
              <w:numPr>
                <w:ilvl w:val="0"/>
                <w:numId w:val="20"/>
              </w:numPr>
              <w:spacing w:line="420" w:lineRule="exact"/>
              <w:ind w:left="477" w:hanging="284"/>
              <w:jc w:val="both"/>
              <w:rPr>
                <w:rFonts w:ascii="標楷體" w:eastAsia="標楷體" w:hAnsi="標楷體"/>
                <w:bCs/>
                <w:szCs w:val="24"/>
              </w:rPr>
            </w:pPr>
            <w:r w:rsidRPr="00D21AD5">
              <w:rPr>
                <w:rFonts w:ascii="新細明體" w:hAnsi="新細明體"/>
                <w:bCs/>
                <w:szCs w:val="24"/>
              </w:rPr>
              <w:t>在加入證監會前，施哲宏先生曾經在高盛亞洲的行政辦事處及證券部出掌多項要職，而他最後擔任的職位是高盛亞洲區行政辦事處董事總經理、高盛亞太區政府及監管事務主管。在此之前，施哲宏先生是多家專業顧問公司的合夥人，向國際及亞洲資產管理公司提供關於監管事宜的意見。此前他曾加入一家具領導地位的歐洲投資銀行，在其香港及倫敦的企業融資、法律和合規等多個部門工作，亦曾效力一家首要的國際律師事務所，在香港和泰國擁有關於基金和證券法律的執業經驗。</w:t>
            </w:r>
          </w:p>
        </w:tc>
      </w:tr>
      <w:tr w:rsidR="00A22407" w:rsidRPr="00320151" w:rsidTr="00A22407">
        <w:trPr>
          <w:cantSplit/>
          <w:trHeight w:val="6505"/>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E0358E" w:rsidRDefault="00A22407" w:rsidP="00A22407">
            <w:pPr>
              <w:jc w:val="center"/>
              <w:rPr>
                <w:rFonts w:ascii="標楷體" w:eastAsia="標楷體" w:hAnsi="標楷體"/>
                <w:szCs w:val="24"/>
              </w:rPr>
            </w:pPr>
            <w:r>
              <w:rPr>
                <w:rFonts w:ascii="標楷體" w:eastAsia="標楷體" w:hAnsi="標楷體"/>
                <w:noProof/>
                <w:szCs w:val="24"/>
              </w:rPr>
              <w:lastRenderedPageBreak/>
              <w:drawing>
                <wp:inline distT="0" distB="0" distL="0" distR="0" wp14:anchorId="79EAA66D" wp14:editId="39FF926B">
                  <wp:extent cx="1263015" cy="1502410"/>
                  <wp:effectExtent l="0" t="0" r="0" b="2540"/>
                  <wp:docPr id="26" name="圖片 26" descr="鄭國漢教授，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鄭國漢教授，J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3015" cy="15024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鄭國漢教授</w:t>
            </w:r>
          </w:p>
          <w:p w:rsidR="00A22407" w:rsidRPr="00E0358E" w:rsidRDefault="00A22407" w:rsidP="00A22407">
            <w:pPr>
              <w:jc w:val="center"/>
              <w:rPr>
                <w:rFonts w:ascii="標楷體" w:eastAsia="標楷體" w:hAnsi="標楷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295" w:hanging="284"/>
              <w:jc w:val="both"/>
              <w:rPr>
                <w:rFonts w:ascii="新細明體" w:hAnsi="新細明體"/>
                <w:bCs/>
                <w:szCs w:val="24"/>
              </w:rPr>
            </w:pPr>
            <w:r w:rsidRPr="00D21AD5">
              <w:rPr>
                <w:rFonts w:ascii="新細明體" w:hAnsi="新細明體" w:hint="eastAsia"/>
                <w:bCs/>
                <w:szCs w:val="24"/>
              </w:rPr>
              <w:t>由 2011年1月 1日起，現時任期將於 2014年12月31日屆滿</w:t>
            </w:r>
          </w:p>
          <w:p w:rsidR="00A22407" w:rsidRPr="00D21AD5" w:rsidRDefault="00A22407" w:rsidP="00A22407">
            <w:pPr>
              <w:numPr>
                <w:ilvl w:val="0"/>
                <w:numId w:val="18"/>
              </w:numPr>
              <w:spacing w:line="400" w:lineRule="atLeast"/>
              <w:ind w:left="295" w:hanging="284"/>
              <w:jc w:val="both"/>
              <w:rPr>
                <w:rFonts w:ascii="新細明體" w:hAnsi="新細明體"/>
                <w:bCs/>
                <w:szCs w:val="24"/>
              </w:rPr>
            </w:pPr>
            <w:r w:rsidRPr="00D21AD5">
              <w:rPr>
                <w:rFonts w:ascii="新細明體" w:hAnsi="新細明體" w:hint="eastAsia"/>
                <w:bCs/>
                <w:szCs w:val="24"/>
              </w:rPr>
              <w:t>嶺南大學校長兼經濟學講座教授；投資者教育中心主席；競爭事務委員會委員；經濟發展委員會委員；香港金融研究中心董事(2010-2013)；統計諮詢委員會委員(2010-2013)；香港港口發展局成員(2011-2012)；臨時最低工資委員會成員(2009-2010)；廣播事務管理局成員(2003-2009)；人力發展委員會委員(2002-2006)；淨化海港計劃試驗及研究監察小組成員(2001-2003)；投資推廣策略小組成員(2000-2001)；新稅項事宜諮詢委員會成員(2000-2001)；策略性污水排放計劃國際專家小組成員(2000-2001)；太平洋經濟合作香港委員會成員(1998-2004)；經濟諮詢委員會委員(1996-2001)；長江開發滬港促進會成員(1998-2002)。</w:t>
            </w:r>
          </w:p>
          <w:p w:rsidR="00A22407" w:rsidRPr="00D21AD5" w:rsidRDefault="00A22407" w:rsidP="00A22407">
            <w:pPr>
              <w:numPr>
                <w:ilvl w:val="0"/>
                <w:numId w:val="18"/>
              </w:numPr>
              <w:spacing w:line="400" w:lineRule="atLeast"/>
              <w:ind w:left="295" w:hanging="284"/>
              <w:jc w:val="both"/>
              <w:rPr>
                <w:rFonts w:ascii="新細明體" w:hAnsi="新細明體"/>
                <w:bCs/>
                <w:szCs w:val="24"/>
              </w:rPr>
            </w:pPr>
            <w:r w:rsidRPr="00D21AD5">
              <w:rPr>
                <w:rFonts w:ascii="新細明體" w:hAnsi="新細明體" w:hint="eastAsia"/>
                <w:bCs/>
                <w:szCs w:val="24"/>
              </w:rPr>
              <w:t>薪酬委員會及財政預算委員會副主席。</w:t>
            </w:r>
          </w:p>
          <w:p w:rsidR="00A22407" w:rsidRPr="00E0358E" w:rsidRDefault="00A22407" w:rsidP="00A22407">
            <w:pPr>
              <w:numPr>
                <w:ilvl w:val="0"/>
                <w:numId w:val="18"/>
              </w:numPr>
              <w:spacing w:line="400" w:lineRule="atLeast"/>
              <w:ind w:left="295" w:hanging="284"/>
              <w:jc w:val="both"/>
              <w:rPr>
                <w:rFonts w:ascii="標楷體" w:eastAsia="標楷體" w:hAnsi="標楷體"/>
                <w:bCs/>
                <w:szCs w:val="24"/>
              </w:rPr>
            </w:pPr>
            <w:r w:rsidRPr="00D21AD5">
              <w:rPr>
                <w:rFonts w:ascii="新細明體" w:hAnsi="新細明體" w:hint="eastAsia"/>
                <w:bCs/>
                <w:szCs w:val="24"/>
              </w:rPr>
              <w:t>證監會（香港交易所上市）上訴委員會委員。</w:t>
            </w:r>
          </w:p>
        </w:tc>
      </w:tr>
      <w:tr w:rsidR="00A22407" w:rsidRPr="00320151" w:rsidTr="00A22407">
        <w:trPr>
          <w:cantSplit/>
          <w:trHeight w:val="6505"/>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E0358E" w:rsidRDefault="00A22407" w:rsidP="00A22407">
            <w:pPr>
              <w:jc w:val="center"/>
              <w:rPr>
                <w:rFonts w:ascii="標楷體" w:eastAsia="標楷體" w:hAnsi="標楷體"/>
                <w:szCs w:val="24"/>
              </w:rPr>
            </w:pPr>
            <w:r>
              <w:rPr>
                <w:rFonts w:ascii="標楷體" w:eastAsia="標楷體" w:hAnsi="標楷體"/>
                <w:noProof/>
                <w:szCs w:val="24"/>
              </w:rPr>
              <w:drawing>
                <wp:inline distT="0" distB="0" distL="0" distR="0" wp14:anchorId="1CA0DF3A" wp14:editId="62A06B11">
                  <wp:extent cx="1295400" cy="1534795"/>
                  <wp:effectExtent l="0" t="0" r="0" b="8255"/>
                  <wp:docPr id="27" name="圖片 27" descr="高育賢，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高育賢，J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534795"/>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高育賢</w:t>
            </w:r>
          </w:p>
          <w:p w:rsidR="00A22407" w:rsidRPr="00E0358E" w:rsidRDefault="00A22407" w:rsidP="00A22407">
            <w:pPr>
              <w:jc w:val="center"/>
              <w:rPr>
                <w:rFonts w:ascii="標楷體" w:eastAsia="標楷體" w:hAnsi="標楷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由 2012年8月 1日起，現時任期將於 2016年7月31日屆滿</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富而德律師事務所中國區主席、合夥人；執業律師；香港外匯基金諮詢委員會委員；中國證券監督管理委員會上市公司併購重組專家咨詢委員會委員；紀律人員薪俸及服務條件常務委員會委員；香港聯合交易所有限公司上市委員會主席（2009 – 2012）及上市委員會副主席（2006 – 2009）；香港旅遊業議會獨立董事（2005 – 2010）；公司法改革常務委員會委員（2005 – 2011）。</w:t>
            </w:r>
          </w:p>
          <w:p w:rsidR="00A22407" w:rsidRPr="00E0358E" w:rsidRDefault="00A22407" w:rsidP="00A22407">
            <w:pPr>
              <w:numPr>
                <w:ilvl w:val="0"/>
                <w:numId w:val="18"/>
              </w:numPr>
              <w:spacing w:line="400" w:lineRule="atLeast"/>
              <w:ind w:left="270" w:hanging="283"/>
              <w:jc w:val="both"/>
              <w:rPr>
                <w:rFonts w:ascii="標楷體" w:eastAsia="標楷體" w:hAnsi="標楷體"/>
                <w:bCs/>
                <w:szCs w:val="24"/>
              </w:rPr>
            </w:pPr>
            <w:r w:rsidRPr="00D21AD5">
              <w:rPr>
                <w:rFonts w:ascii="新細明體" w:hAnsi="新細明體" w:hint="eastAsia"/>
                <w:bCs/>
                <w:szCs w:val="24"/>
              </w:rPr>
              <w:t>收購及合併委員會副主席；稽核委員會、財政預算委員會、薪酬委員會、收購上訴委員會及證監會（香港交易所上市）上訴委員會委員。</w:t>
            </w:r>
          </w:p>
        </w:tc>
      </w:tr>
      <w:tr w:rsidR="00A22407" w:rsidRPr="00320151" w:rsidTr="00A22407">
        <w:trPr>
          <w:cantSplit/>
          <w:trHeight w:val="6505"/>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E0358E" w:rsidRDefault="00A22407" w:rsidP="00A22407">
            <w:pPr>
              <w:jc w:val="center"/>
              <w:rPr>
                <w:rFonts w:ascii="標楷體" w:eastAsia="標楷體" w:hAnsi="標楷體"/>
                <w:szCs w:val="24"/>
              </w:rPr>
            </w:pPr>
            <w:r>
              <w:rPr>
                <w:rFonts w:ascii="標楷體" w:eastAsia="標楷體" w:hAnsi="標楷體"/>
                <w:noProof/>
                <w:szCs w:val="24"/>
              </w:rPr>
              <w:lastRenderedPageBreak/>
              <w:drawing>
                <wp:inline distT="0" distB="0" distL="0" distR="0" wp14:anchorId="3F385174" wp14:editId="6E99A6A8">
                  <wp:extent cx="1273810" cy="1524000"/>
                  <wp:effectExtent l="0" t="0" r="2540" b="0"/>
                  <wp:docPr id="28" name="圖片 28" descr="李金鴻，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李金鴻，J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3810" cy="152400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李金鴻</w:t>
            </w:r>
          </w:p>
          <w:p w:rsidR="00A22407" w:rsidRPr="00E0358E" w:rsidRDefault="00A22407" w:rsidP="00A22407">
            <w:pPr>
              <w:jc w:val="center"/>
              <w:rPr>
                <w:rFonts w:ascii="標楷體" w:eastAsia="標楷體" w:hAnsi="標楷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由 2009年11月15日起，現時任期將於 2015年11月14日屆滿</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貝克‧麥堅時律師事務所香港、中國、越南及韓國辦事處主席；貝克‧麥堅時律師事務所商業和證券部成員；貝克‧麥堅時律師事務所亞太區域委員會主席(1999-2000)；貝克‧麥堅時律師事務所全球執行委員會成員(1997-2000)；東區尤德夫人那打素醫院管治委員會主席；香港證券專業學會資深會員；香港房屋協會監事委員會委員(2000-2004)。</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薪酬委員會主席、稽核委員會及證監會（香港交易所上市）上訴委員會委員。</w:t>
            </w:r>
          </w:p>
        </w:tc>
      </w:tr>
      <w:tr w:rsidR="00A22407" w:rsidRPr="00320151" w:rsidTr="00A22407">
        <w:trPr>
          <w:cantSplit/>
          <w:trHeight w:val="6505"/>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E0358E" w:rsidRDefault="00A22407" w:rsidP="00A22407">
            <w:pPr>
              <w:jc w:val="center"/>
              <w:rPr>
                <w:rFonts w:ascii="標楷體" w:eastAsia="標楷體" w:hAnsi="標楷體"/>
                <w:szCs w:val="24"/>
              </w:rPr>
            </w:pPr>
            <w:r>
              <w:rPr>
                <w:rFonts w:ascii="標楷體" w:eastAsia="標楷體" w:hAnsi="標楷體"/>
                <w:noProof/>
                <w:szCs w:val="24"/>
              </w:rPr>
              <w:drawing>
                <wp:inline distT="0" distB="0" distL="0" distR="0" wp14:anchorId="179B5ADE" wp14:editId="3DF9B66A">
                  <wp:extent cx="1339215" cy="1600200"/>
                  <wp:effectExtent l="0" t="0" r="0" b="0"/>
                  <wp:docPr id="29" name="圖片 29" descr="馬雪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descr="馬雪征"/>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9215" cy="160020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馬雪征</w:t>
            </w:r>
          </w:p>
          <w:p w:rsidR="00A22407" w:rsidRPr="00E0358E" w:rsidRDefault="00A22407" w:rsidP="00A22407">
            <w:pPr>
              <w:jc w:val="center"/>
              <w:rPr>
                <w:rFonts w:ascii="標楷體" w:eastAsia="標楷體" w:hAnsi="標楷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由 2013年11月15日起，現時任期將於 2015年11月14日屆滿</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博裕資本董事長；聯想集團有限公司獨立非執行董事；聯想集團有限公司高級副總裁及首席財務官 (1990-2007)；Unilever PLC、Unilever N.V.、寶光實業（國際）有限公司及物美商業集團非執行董事；香港董事學會會員；美國德太投資有限公司合夥人兼中國區聯席主席 (2007-2011)；哈佛大學肯尼迪政府學院院長委員會委員 (2002-2007)；達芙妮國際控股有限公司非執行董事 (2009-2011)；深圳發展銀行股份有限公司董事 (2007-2010)；渣打銀行（香港）有限公司獨立非執行董事 (2004-2013)；中國科學院國際合作局處長 (1978-1990)；香港交易及結算所有限公司上市委員會成員 (2009-2013)。</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薪酬委員會及投資委員會委員。</w:t>
            </w:r>
          </w:p>
        </w:tc>
      </w:tr>
      <w:tr w:rsidR="00A22407" w:rsidRPr="00320151" w:rsidTr="00A22407">
        <w:trPr>
          <w:cantSplit/>
          <w:trHeight w:val="6505"/>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jc w:val="center"/>
              <w:rPr>
                <w:rFonts w:ascii="新細明體" w:hAnsi="新細明體"/>
                <w:szCs w:val="24"/>
              </w:rPr>
            </w:pPr>
            <w:r>
              <w:rPr>
                <w:rFonts w:ascii="新細明體" w:hAnsi="新細明體"/>
                <w:noProof/>
                <w:szCs w:val="24"/>
              </w:rPr>
              <w:lastRenderedPageBreak/>
              <w:drawing>
                <wp:inline distT="0" distB="0" distL="0" distR="0" wp14:anchorId="2FD7CA17" wp14:editId="04709612">
                  <wp:extent cx="1350010" cy="1610995"/>
                  <wp:effectExtent l="0" t="0" r="2540" b="8255"/>
                  <wp:docPr id="30" name="圖片 30" descr="黃天祐博士，JP，FHK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descr="黃天祐博士，JP，FHKIo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0010" cy="1610995"/>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黃天祐博士</w:t>
            </w:r>
          </w:p>
          <w:p w:rsidR="00A22407" w:rsidRPr="00D21AD5" w:rsidRDefault="00A22407" w:rsidP="00A22407">
            <w:pPr>
              <w:jc w:val="center"/>
              <w:rPr>
                <w:rFonts w:ascii="新細明體" w:hAnsi="新細明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由 2012年10月20日起，現時任期將於 2016年10月19日屆滿</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中遠太平洋有限公司執行董事兼董事副總經理；香港董事學會理事會主席(2009-2014年7月)；香港聯合交易所有限公司主板及創業板上市委員會成員(2007-2013)；財務匯報檢討委員團召集人兼成員；公司法改革常務委員會委員；廉政公署防止貪污諮詢委員會委員；上訴委員會（城市規劃）成員；香港體育學院有限公司董事；香港管理專業協會理事會委員；香港中樂團有限公司主席(2006-2008)及理事會顧問；經濟合作組織(OECD)企業管治圓桌會議核心成員。</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財政預算委員會主席；稽核委員會副主席；證監會（香港交易所上市）上訴委員會，投資委員會及薪酬委員會委員。</w:t>
            </w:r>
          </w:p>
        </w:tc>
      </w:tr>
      <w:tr w:rsidR="00A22407" w:rsidRPr="00320151" w:rsidTr="00A22407">
        <w:trPr>
          <w:cantSplit/>
          <w:trHeight w:val="6505"/>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jc w:val="center"/>
              <w:rPr>
                <w:rFonts w:ascii="新細明體" w:hAnsi="新細明體"/>
                <w:szCs w:val="24"/>
              </w:rPr>
            </w:pPr>
            <w:r>
              <w:rPr>
                <w:rFonts w:ascii="新細明體" w:hAnsi="新細明體"/>
                <w:noProof/>
                <w:szCs w:val="24"/>
              </w:rPr>
              <w:drawing>
                <wp:inline distT="0" distB="0" distL="0" distR="0" wp14:anchorId="6E39EF7A" wp14:editId="3FA50B57">
                  <wp:extent cx="1295400" cy="1545590"/>
                  <wp:effectExtent l="0" t="0" r="0" b="0"/>
                  <wp:docPr id="31" name="圖片 31" descr="黃啟民，BBS，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黃啟民，BBS，J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154559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黃啟民</w:t>
            </w:r>
          </w:p>
          <w:p w:rsidR="00A22407" w:rsidRPr="00D21AD5" w:rsidRDefault="00A22407" w:rsidP="00A22407">
            <w:pPr>
              <w:jc w:val="center"/>
              <w:rPr>
                <w:rFonts w:ascii="新細明體" w:hAnsi="新細明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由 2009年5月26日起，現時任期將於 2015年5月25日屆滿</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馮氏(1906)慈善基金有限公司董事；經綸慈善基金有限公司董事；香格里拉（亞洲）有限公司獨立非執行董事；新意網集團有限公司獨立非執行董事；南華早報集團有限公司獨立非執行董事；中國建設銀行股份有限公司獨立非執行董事；偉易達集團有限公司獨立非執行董事；香港大學商學院名譽副教授；香港聯合交易所有限公司創業板上市委員會委員(1999-2003)；靈實醫院醫院管治委員會委員；香港大學校董會及校務委員會成員；香港大學專業進修學院董事局委員；香港城市大學顧問委員會成員；基督教靈實協會董事；香港世界宣明會董事。</w:t>
            </w:r>
          </w:p>
          <w:p w:rsidR="00A22407" w:rsidRPr="00D21AD5" w:rsidRDefault="00A22407" w:rsidP="00A22407">
            <w:pPr>
              <w:numPr>
                <w:ilvl w:val="0"/>
                <w:numId w:val="18"/>
              </w:numPr>
              <w:spacing w:line="400" w:lineRule="atLeast"/>
              <w:ind w:left="270" w:hanging="283"/>
              <w:jc w:val="both"/>
              <w:rPr>
                <w:rFonts w:ascii="新細明體" w:hAnsi="新細明體"/>
                <w:bCs/>
                <w:szCs w:val="24"/>
              </w:rPr>
            </w:pPr>
            <w:r w:rsidRPr="00D21AD5">
              <w:rPr>
                <w:rFonts w:ascii="新細明體" w:hAnsi="新細明體" w:hint="eastAsia"/>
                <w:bCs/>
                <w:szCs w:val="24"/>
              </w:rPr>
              <w:t>稽核委員會主席；投資委員會副主席；財政預算委員會、薪酬委員會及證監會（香港交易所上市）上訴委員會委員。</w:t>
            </w:r>
          </w:p>
        </w:tc>
      </w:tr>
      <w:tr w:rsidR="00A22407" w:rsidRPr="00320151" w:rsidTr="00A22407">
        <w:trPr>
          <w:cantSplit/>
          <w:trHeight w:val="4101"/>
          <w:jc w:val="center"/>
        </w:trPr>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Default="00A22407" w:rsidP="00A22407">
            <w:pPr>
              <w:jc w:val="center"/>
              <w:rPr>
                <w:rFonts w:ascii="標楷體" w:eastAsia="標楷體" w:hAnsi="標楷體"/>
                <w:szCs w:val="24"/>
              </w:rPr>
            </w:pPr>
            <w:r>
              <w:rPr>
                <w:rFonts w:ascii="標楷體" w:eastAsia="標楷體" w:hAnsi="標楷體"/>
                <w:noProof/>
                <w:szCs w:val="24"/>
              </w:rPr>
              <w:lastRenderedPageBreak/>
              <w:drawing>
                <wp:inline distT="0" distB="0" distL="0" distR="0" wp14:anchorId="39B0D15D" wp14:editId="4F5C9E92">
                  <wp:extent cx="1327785" cy="1578610"/>
                  <wp:effectExtent l="0" t="0" r="5715" b="2540"/>
                  <wp:docPr id="32" name="圖片 32" descr="王鳴峰博士，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descr="王鳴峰博士，S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7785" cy="1578610"/>
                          </a:xfrm>
                          <a:prstGeom prst="rect">
                            <a:avLst/>
                          </a:prstGeom>
                          <a:noFill/>
                          <a:ln>
                            <a:noFill/>
                          </a:ln>
                        </pic:spPr>
                      </pic:pic>
                    </a:graphicData>
                  </a:graphic>
                </wp:inline>
              </w:drawing>
            </w:r>
          </w:p>
          <w:p w:rsidR="00A22407" w:rsidRPr="00D21AD5" w:rsidRDefault="00A22407" w:rsidP="00A22407">
            <w:pPr>
              <w:jc w:val="center"/>
              <w:rPr>
                <w:rFonts w:ascii="新細明體" w:hAnsi="新細明體"/>
                <w:bCs/>
                <w:szCs w:val="24"/>
              </w:rPr>
            </w:pPr>
            <w:r w:rsidRPr="00D21AD5">
              <w:rPr>
                <w:rFonts w:ascii="新細明體" w:hAnsi="新細明體" w:hint="eastAsia"/>
                <w:bCs/>
                <w:szCs w:val="24"/>
              </w:rPr>
              <w:t>王鳴峰博士</w:t>
            </w:r>
          </w:p>
          <w:p w:rsidR="00A22407" w:rsidRPr="00E0358E" w:rsidRDefault="00A22407" w:rsidP="00A22407">
            <w:pPr>
              <w:jc w:val="center"/>
              <w:rPr>
                <w:rFonts w:ascii="標楷體" w:eastAsia="標楷體" w:hAnsi="標楷體"/>
                <w:szCs w:val="24"/>
              </w:rPr>
            </w:pPr>
            <w:r w:rsidRPr="00D21AD5">
              <w:rPr>
                <w:rFonts w:ascii="新細明體" w:hAnsi="新細明體" w:hint="eastAsia"/>
                <w:bCs/>
                <w:szCs w:val="24"/>
              </w:rPr>
              <w:t>證監會非執行董事</w:t>
            </w:r>
          </w:p>
        </w:tc>
        <w:tc>
          <w:tcPr>
            <w:tcW w:w="6519"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D21AD5" w:rsidRDefault="00A22407" w:rsidP="00A22407">
            <w:pPr>
              <w:numPr>
                <w:ilvl w:val="0"/>
                <w:numId w:val="18"/>
              </w:numPr>
              <w:spacing w:line="400" w:lineRule="atLeast"/>
              <w:ind w:left="344" w:hanging="344"/>
              <w:jc w:val="both"/>
              <w:rPr>
                <w:rFonts w:ascii="新細明體" w:hAnsi="新細明體"/>
                <w:bCs/>
                <w:szCs w:val="24"/>
              </w:rPr>
            </w:pPr>
            <w:r w:rsidRPr="00D21AD5">
              <w:rPr>
                <w:rFonts w:ascii="新細明體" w:hAnsi="新細明體" w:hint="eastAsia"/>
                <w:bCs/>
                <w:szCs w:val="24"/>
              </w:rPr>
              <w:t>由 2014年8月 1日起，現時任期將於 2016年7月31日屆滿</w:t>
            </w:r>
          </w:p>
          <w:p w:rsidR="00A22407" w:rsidRPr="00D21AD5" w:rsidRDefault="00A22407" w:rsidP="00A22407">
            <w:pPr>
              <w:numPr>
                <w:ilvl w:val="0"/>
                <w:numId w:val="18"/>
              </w:numPr>
              <w:spacing w:line="400" w:lineRule="atLeast"/>
              <w:ind w:left="344" w:hanging="344"/>
              <w:jc w:val="both"/>
              <w:rPr>
                <w:rFonts w:ascii="新細明體" w:hAnsi="新細明體"/>
                <w:bCs/>
                <w:szCs w:val="24"/>
              </w:rPr>
            </w:pPr>
            <w:r w:rsidRPr="00D21AD5">
              <w:rPr>
                <w:rFonts w:ascii="新細明體" w:hAnsi="新細明體" w:hint="eastAsia"/>
                <w:bCs/>
                <w:szCs w:val="24"/>
              </w:rPr>
              <w:t>香港德輔大律師事務所資深大律師; 英國特許仲裁學會院士; 香港保險業聯會上訴委員會委員(自2014年); 香港大律師公會大律師資格考試委員會委員(自2006年); 香港大律師公會大中華事務委員會委員(自2005年); 香港中殿法律學會董事 (自1999年)。</w:t>
            </w:r>
          </w:p>
          <w:p w:rsidR="00A22407" w:rsidRPr="00E0358E" w:rsidRDefault="00A22407" w:rsidP="00A22407">
            <w:pPr>
              <w:numPr>
                <w:ilvl w:val="0"/>
                <w:numId w:val="18"/>
              </w:numPr>
              <w:spacing w:line="400" w:lineRule="atLeast"/>
              <w:ind w:left="344" w:hanging="344"/>
              <w:jc w:val="both"/>
              <w:rPr>
                <w:rFonts w:ascii="標楷體" w:eastAsia="標楷體" w:hAnsi="標楷體"/>
                <w:bCs/>
                <w:szCs w:val="24"/>
              </w:rPr>
            </w:pPr>
            <w:r w:rsidRPr="00D21AD5">
              <w:rPr>
                <w:rFonts w:ascii="新細明體" w:hAnsi="新細明體" w:hint="eastAsia"/>
                <w:bCs/>
                <w:szCs w:val="24"/>
              </w:rPr>
              <w:t>薪酬委員會及稽核委員會委員。</w:t>
            </w:r>
          </w:p>
        </w:tc>
      </w:tr>
    </w:tbl>
    <w:p w:rsidR="00A22407" w:rsidRDefault="00A22407" w:rsidP="00A22407"/>
    <w:p w:rsidR="00A22407" w:rsidRDefault="00A22407" w:rsidP="00A22407"/>
    <w:p w:rsidR="00A22407" w:rsidRPr="00A22407" w:rsidRDefault="00A22407" w:rsidP="00A22407">
      <w:pPr>
        <w:rPr>
          <w:b/>
          <w:sz w:val="26"/>
          <w:szCs w:val="26"/>
        </w:rPr>
      </w:pPr>
      <w:r>
        <w:rPr>
          <w:rFonts w:hint="eastAsia"/>
          <w:b/>
          <w:sz w:val="26"/>
          <w:szCs w:val="26"/>
        </w:rPr>
        <w:t>外界人士委員會</w:t>
      </w:r>
    </w:p>
    <w:p w:rsidR="00A22407" w:rsidRPr="00170CC6" w:rsidRDefault="00A22407" w:rsidP="00D87576">
      <w:pPr>
        <w:widowControl/>
        <w:spacing w:before="100" w:beforeAutospacing="1" w:after="100" w:afterAutospacing="1" w:line="460" w:lineRule="exact"/>
        <w:ind w:firstLine="539"/>
        <w:jc w:val="both"/>
        <w:textAlignment w:val="baseline"/>
        <w:rPr>
          <w:rFonts w:eastAsia="細明體" w:hAnsi="細明體" w:cs="細明體"/>
          <w:kern w:val="0"/>
          <w:szCs w:val="24"/>
        </w:rPr>
      </w:pPr>
      <w:r w:rsidRPr="00320151">
        <w:rPr>
          <w:rFonts w:eastAsia="細明體" w:hAnsi="細明體" w:cs="細明體" w:hint="eastAsia"/>
          <w:kern w:val="0"/>
          <w:szCs w:val="24"/>
        </w:rPr>
        <w:t>證監會的工作與不同的市場參與者息息相關，因此該會設立了多個主要由外界人士組成的委員會，成員包括香港市場各方面的相關人士。這些委員會可分為“諮詢委員會”和“監管事務委員會”兩大類別，各委員會均在機構管治方面擔當重要角色。</w:t>
      </w:r>
    </w:p>
    <w:p w:rsidR="00A22407" w:rsidRPr="00D1618E" w:rsidRDefault="00A22407" w:rsidP="00D87576">
      <w:pPr>
        <w:spacing w:line="460" w:lineRule="exact"/>
        <w:rPr>
          <w:b/>
        </w:rPr>
      </w:pPr>
      <w:r w:rsidRPr="00D1618E">
        <w:rPr>
          <w:rFonts w:hint="eastAsia"/>
          <w:b/>
        </w:rPr>
        <w:t xml:space="preserve">     </w:t>
      </w:r>
      <w:r w:rsidRPr="00A22407">
        <w:rPr>
          <w:rFonts w:hint="eastAsia"/>
          <w:b/>
          <w:sz w:val="26"/>
          <w:szCs w:val="26"/>
        </w:rPr>
        <w:t xml:space="preserve"> </w:t>
      </w:r>
      <w:r w:rsidRPr="00A22407">
        <w:rPr>
          <w:rFonts w:hint="eastAsia"/>
          <w:b/>
          <w:sz w:val="26"/>
          <w:szCs w:val="26"/>
        </w:rPr>
        <w:t>諮詢委員會</w:t>
      </w:r>
    </w:p>
    <w:p w:rsidR="00A22407" w:rsidRPr="00170CC6" w:rsidRDefault="00A22407" w:rsidP="00D87576">
      <w:pPr>
        <w:widowControl/>
        <w:spacing w:before="100" w:beforeAutospacing="1" w:after="100" w:afterAutospacing="1" w:line="460" w:lineRule="exact"/>
        <w:ind w:leftChars="295" w:left="708"/>
        <w:jc w:val="both"/>
        <w:textAlignment w:val="baseline"/>
        <w:rPr>
          <w:rFonts w:eastAsia="細明體" w:hAnsi="細明體" w:cs="細明體"/>
          <w:kern w:val="0"/>
          <w:szCs w:val="24"/>
        </w:rPr>
      </w:pPr>
      <w:r>
        <w:rPr>
          <w:rFonts w:eastAsia="細明體" w:hAnsi="細明體" w:cs="細明體" w:hint="eastAsia"/>
          <w:kern w:val="0"/>
          <w:szCs w:val="24"/>
        </w:rPr>
        <w:t xml:space="preserve">    </w:t>
      </w:r>
      <w:r w:rsidRPr="00170CC6">
        <w:rPr>
          <w:rFonts w:eastAsia="細明體" w:hAnsi="細明體" w:cs="細明體" w:hint="eastAsia"/>
          <w:kern w:val="0"/>
          <w:szCs w:val="24"/>
        </w:rPr>
        <w:t>根據《證券及期貨條例》成立，就各項政策事宜提供精闢分析、意見及建議，由本會主席領導，成員包括行政總裁及另外不多於兩名執行董事，其餘大多數成員是由香港特區行政長官授權財政司司長委任。</w:t>
      </w:r>
    </w:p>
    <w:p w:rsidR="00A22407" w:rsidRPr="00A22407" w:rsidRDefault="00A22407" w:rsidP="00D87576">
      <w:pPr>
        <w:spacing w:line="460" w:lineRule="exact"/>
        <w:rPr>
          <w:b/>
        </w:rPr>
      </w:pPr>
      <w:r>
        <w:rPr>
          <w:rFonts w:hint="eastAsia"/>
          <w:lang w:val="zh-CN"/>
        </w:rPr>
        <w:t xml:space="preserve">   </w:t>
      </w:r>
      <w:r w:rsidRPr="00D1618E">
        <w:rPr>
          <w:rFonts w:hint="eastAsia"/>
          <w:b/>
          <w:lang w:val="zh-CN"/>
        </w:rPr>
        <w:t xml:space="preserve">   </w:t>
      </w:r>
      <w:r w:rsidRPr="00A22407">
        <w:rPr>
          <w:rFonts w:hint="eastAsia"/>
          <w:b/>
        </w:rPr>
        <w:t>各監管事務委員會及提名委員會</w:t>
      </w:r>
    </w:p>
    <w:p w:rsidR="00A22407" w:rsidRDefault="00A22407" w:rsidP="00D87576">
      <w:pPr>
        <w:widowControl/>
        <w:spacing w:before="100" w:beforeAutospacing="1" w:after="100" w:afterAutospacing="1" w:line="460" w:lineRule="exact"/>
        <w:ind w:leftChars="295" w:left="708" w:firstLine="539"/>
        <w:jc w:val="both"/>
        <w:textAlignment w:val="baseline"/>
        <w:rPr>
          <w:rFonts w:eastAsia="細明體" w:hAnsi="細明體" w:cs="細明體"/>
          <w:kern w:val="0"/>
          <w:szCs w:val="24"/>
        </w:rPr>
      </w:pPr>
      <w:r w:rsidRPr="00170CC6">
        <w:rPr>
          <w:rFonts w:eastAsia="細明體" w:hAnsi="細明體" w:cs="細明體" w:hint="eastAsia"/>
          <w:kern w:val="0"/>
          <w:szCs w:val="24"/>
        </w:rPr>
        <w:t>同樣根據《證券及期貨條例》成立，每個委員會專責特定的監管範疇，例如市場監察、投資產品及股東的權益。委員會成員由董事局委任，包括非執行董事、執行董事，而外界代表則佔大多數。</w:t>
      </w:r>
    </w:p>
    <w:p w:rsidR="00A22407" w:rsidRDefault="00A22407" w:rsidP="00A22407">
      <w:pPr>
        <w:rPr>
          <w:rFonts w:hint="eastAsia"/>
        </w:rPr>
      </w:pPr>
    </w:p>
    <w:p w:rsidR="00137057" w:rsidRDefault="00137057" w:rsidP="00A22407">
      <w:pPr>
        <w:rPr>
          <w:rFonts w:hint="eastAsia"/>
        </w:rPr>
      </w:pPr>
    </w:p>
    <w:p w:rsidR="00137057" w:rsidRDefault="00137057" w:rsidP="00A22407">
      <w:pPr>
        <w:rPr>
          <w:rFonts w:hint="eastAsia"/>
        </w:rPr>
      </w:pPr>
    </w:p>
    <w:p w:rsidR="00137057" w:rsidRDefault="00137057" w:rsidP="00A22407">
      <w:pPr>
        <w:rPr>
          <w:rFonts w:hint="eastAsia"/>
        </w:rPr>
      </w:pPr>
    </w:p>
    <w:p w:rsidR="00137057" w:rsidRDefault="00137057" w:rsidP="00A22407"/>
    <w:p w:rsidR="00A22407" w:rsidRPr="00A22407" w:rsidRDefault="00A22407" w:rsidP="00A22407">
      <w:pPr>
        <w:rPr>
          <w:b/>
          <w:sz w:val="26"/>
          <w:szCs w:val="26"/>
        </w:rPr>
      </w:pPr>
      <w:r w:rsidRPr="00A22407">
        <w:rPr>
          <w:rFonts w:hint="eastAsia"/>
          <w:b/>
          <w:sz w:val="26"/>
          <w:szCs w:val="26"/>
        </w:rPr>
        <w:lastRenderedPageBreak/>
        <w:t>內部委員會</w:t>
      </w:r>
    </w:p>
    <w:p w:rsidR="00A22407" w:rsidRDefault="00A22407" w:rsidP="00A22407">
      <w:pPr>
        <w:widowControl/>
        <w:spacing w:before="100" w:beforeAutospacing="1" w:after="100" w:afterAutospacing="1" w:line="440" w:lineRule="atLeast"/>
        <w:ind w:firstLine="539"/>
        <w:jc w:val="both"/>
        <w:textAlignment w:val="baseline"/>
        <w:rPr>
          <w:rFonts w:eastAsia="細明體" w:hAnsi="細明體" w:cs="細明體"/>
          <w:kern w:val="0"/>
          <w:szCs w:val="24"/>
        </w:rPr>
      </w:pPr>
      <w:r w:rsidRPr="00320151">
        <w:rPr>
          <w:rFonts w:eastAsia="細明體" w:hAnsi="細明體" w:cs="細明體" w:hint="eastAsia"/>
          <w:kern w:val="0"/>
          <w:szCs w:val="24"/>
        </w:rPr>
        <w:t>內部委員會由執行董事及</w:t>
      </w:r>
      <w:r w:rsidRPr="00320151">
        <w:rPr>
          <w:rFonts w:eastAsia="細明體" w:hAnsi="細明體" w:cs="細明體"/>
          <w:kern w:val="0"/>
          <w:szCs w:val="24"/>
        </w:rPr>
        <w:t>/</w:t>
      </w:r>
      <w:r w:rsidRPr="00320151">
        <w:rPr>
          <w:rFonts w:eastAsia="細明體" w:hAnsi="細明體" w:cs="細明體" w:hint="eastAsia"/>
          <w:kern w:val="0"/>
          <w:szCs w:val="24"/>
        </w:rPr>
        <w:t>或非執行董事組成</w:t>
      </w:r>
      <w:r w:rsidRPr="00320151">
        <w:rPr>
          <w:rFonts w:eastAsia="細明體" w:hAnsi="細明體" w:cs="細明體"/>
          <w:kern w:val="0"/>
          <w:szCs w:val="24"/>
        </w:rPr>
        <w:t>,</w:t>
      </w:r>
      <w:r w:rsidRPr="00320151">
        <w:rPr>
          <w:rFonts w:eastAsia="細明體" w:hAnsi="細明體" w:cs="細明體" w:hint="eastAsia"/>
          <w:kern w:val="0"/>
          <w:szCs w:val="24"/>
        </w:rPr>
        <w:t>負責研究特定的內部營運事宜。包括：稽核委員會</w:t>
      </w:r>
      <w:r>
        <w:rPr>
          <w:rFonts w:eastAsia="細明體" w:hAnsi="細明體" w:cs="細明體" w:hint="eastAsia"/>
          <w:kern w:val="0"/>
          <w:szCs w:val="24"/>
        </w:rPr>
        <w:t>、</w:t>
      </w:r>
      <w:r w:rsidRPr="00320151">
        <w:rPr>
          <w:rFonts w:eastAsia="細明體" w:hAnsi="細明體" w:cs="細明體" w:hint="eastAsia"/>
          <w:kern w:val="0"/>
          <w:szCs w:val="24"/>
        </w:rPr>
        <w:t>薪酬委員會</w:t>
      </w:r>
      <w:r>
        <w:rPr>
          <w:rFonts w:eastAsia="細明體" w:hAnsi="細明體" w:cs="細明體" w:hint="eastAsia"/>
          <w:kern w:val="0"/>
          <w:szCs w:val="24"/>
        </w:rPr>
        <w:t>、</w:t>
      </w:r>
      <w:r w:rsidRPr="00320151">
        <w:rPr>
          <w:rFonts w:eastAsia="細明體" w:hAnsi="細明體" w:cs="細明體" w:hint="eastAsia"/>
          <w:kern w:val="0"/>
          <w:szCs w:val="24"/>
        </w:rPr>
        <w:t>財政預算委員會</w:t>
      </w:r>
      <w:r>
        <w:rPr>
          <w:rFonts w:eastAsia="細明體" w:hAnsi="細明體" w:cs="細明體" w:hint="eastAsia"/>
          <w:kern w:val="0"/>
          <w:szCs w:val="24"/>
        </w:rPr>
        <w:t>、執行委員會</w:t>
      </w:r>
      <w:r w:rsidRPr="00320151">
        <w:rPr>
          <w:rFonts w:eastAsia="細明體" w:hAnsi="細明體" w:cs="細明體" w:hint="eastAsia"/>
          <w:kern w:val="0"/>
          <w:szCs w:val="24"/>
        </w:rPr>
        <w:t>及</w:t>
      </w:r>
      <w:r>
        <w:rPr>
          <w:rFonts w:eastAsia="細明體" w:hAnsi="細明體" w:cs="細明體" w:hint="eastAsia"/>
          <w:kern w:val="0"/>
          <w:szCs w:val="24"/>
        </w:rPr>
        <w:t>投資委員會</w:t>
      </w:r>
      <w:r w:rsidRPr="00320151">
        <w:rPr>
          <w:rFonts w:eastAsia="細明體" w:hAnsi="細明體" w:cs="細明體" w:hint="eastAsia"/>
          <w:kern w:val="0"/>
          <w:szCs w:val="24"/>
        </w:rPr>
        <w:t>。</w:t>
      </w:r>
    </w:p>
    <w:tbl>
      <w:tblPr>
        <w:tblW w:w="0" w:type="auto"/>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6742"/>
      </w:tblGrid>
      <w:tr w:rsidR="00A22407" w:rsidRPr="000B1136" w:rsidTr="00A22407">
        <w:trPr>
          <w:trHeight w:val="326"/>
          <w:jc w:val="center"/>
        </w:trPr>
        <w:tc>
          <w:tcPr>
            <w:tcW w:w="1994" w:type="dxa"/>
            <w:shd w:val="clear" w:color="auto" w:fill="auto"/>
          </w:tcPr>
          <w:p w:rsidR="00A22407" w:rsidRPr="00D21AD5" w:rsidRDefault="00A22407" w:rsidP="00A22407">
            <w:pPr>
              <w:jc w:val="center"/>
              <w:rPr>
                <w:rFonts w:ascii="新細明體" w:hAnsi="新細明體"/>
                <w:b/>
                <w:bCs/>
                <w:szCs w:val="24"/>
              </w:rPr>
            </w:pPr>
            <w:r w:rsidRPr="00D21AD5">
              <w:rPr>
                <w:rFonts w:ascii="新細明體" w:hAnsi="新細明體"/>
                <w:b/>
                <w:bCs/>
                <w:szCs w:val="24"/>
              </w:rPr>
              <w:t>委員會</w:t>
            </w:r>
          </w:p>
        </w:tc>
        <w:tc>
          <w:tcPr>
            <w:tcW w:w="6742" w:type="dxa"/>
            <w:shd w:val="clear" w:color="auto" w:fill="auto"/>
          </w:tcPr>
          <w:p w:rsidR="00A22407" w:rsidRPr="00D21AD5" w:rsidRDefault="00A22407" w:rsidP="00A22407">
            <w:pPr>
              <w:jc w:val="center"/>
              <w:rPr>
                <w:rFonts w:ascii="新細明體" w:hAnsi="新細明體"/>
                <w:b/>
                <w:bCs/>
                <w:szCs w:val="24"/>
              </w:rPr>
            </w:pPr>
            <w:r w:rsidRPr="00D21AD5">
              <w:rPr>
                <w:rFonts w:ascii="新細明體" w:hAnsi="新細明體" w:hint="eastAsia"/>
                <w:b/>
                <w:bCs/>
                <w:szCs w:val="24"/>
              </w:rPr>
              <w:t>職責</w:t>
            </w:r>
          </w:p>
        </w:tc>
      </w:tr>
      <w:tr w:rsidR="00A22407" w:rsidRPr="000B1136" w:rsidTr="00A22407">
        <w:trPr>
          <w:trHeight w:val="2707"/>
          <w:jc w:val="center"/>
        </w:trPr>
        <w:tc>
          <w:tcPr>
            <w:tcW w:w="1994" w:type="dxa"/>
            <w:shd w:val="clear" w:color="auto" w:fill="auto"/>
            <w:vAlign w:val="center"/>
          </w:tcPr>
          <w:p w:rsidR="00A22407" w:rsidRPr="00D21AD5" w:rsidRDefault="00A22407" w:rsidP="00A22407">
            <w:pPr>
              <w:jc w:val="center"/>
              <w:rPr>
                <w:rFonts w:ascii="新細明體" w:hAnsi="新細明體"/>
                <w:bCs/>
                <w:szCs w:val="24"/>
              </w:rPr>
            </w:pPr>
            <w:r w:rsidRPr="00D21AD5">
              <w:rPr>
                <w:rFonts w:ascii="新細明體" w:hAnsi="新細明體"/>
                <w:szCs w:val="24"/>
              </w:rPr>
              <w:t>稽核委員會</w:t>
            </w:r>
          </w:p>
        </w:tc>
        <w:tc>
          <w:tcPr>
            <w:tcW w:w="6742" w:type="dxa"/>
            <w:shd w:val="clear" w:color="auto" w:fill="auto"/>
            <w:vAlign w:val="center"/>
          </w:tcPr>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覆核年度財務報表</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審查管理程序，以確保有效的財務及內部監控運作</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就外聘核數師向證監會董事局提供建議</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考慮外部稽核的範疇及計劃，以及覆核稽核結果</w:t>
            </w:r>
          </w:p>
          <w:p w:rsidR="00A22407" w:rsidRPr="00D21AD5" w:rsidRDefault="00A22407" w:rsidP="00A22407">
            <w:pPr>
              <w:widowControl/>
              <w:numPr>
                <w:ilvl w:val="0"/>
                <w:numId w:val="19"/>
              </w:numPr>
              <w:tabs>
                <w:tab w:val="num" w:pos="307"/>
              </w:tabs>
              <w:spacing w:line="440" w:lineRule="exact"/>
              <w:ind w:leftChars="70" w:left="319" w:hanging="151"/>
              <w:textAlignment w:val="baseline"/>
              <w:rPr>
                <w:rFonts w:ascii="新細明體" w:hAnsi="新細明體"/>
                <w:color w:val="222222"/>
                <w:szCs w:val="24"/>
              </w:rPr>
            </w:pPr>
            <w:r w:rsidRPr="00D21AD5">
              <w:rPr>
                <w:rFonts w:ascii="新細明體" w:hAnsi="新細明體"/>
                <w:color w:val="222222"/>
                <w:szCs w:val="24"/>
              </w:rPr>
              <w:t>審議由證監會董事局轉介的事宜，包括針對證監會職員的投訴</w:t>
            </w:r>
          </w:p>
        </w:tc>
      </w:tr>
      <w:tr w:rsidR="00A22407" w:rsidRPr="000B1136" w:rsidTr="00A22407">
        <w:trPr>
          <w:trHeight w:val="1894"/>
          <w:jc w:val="center"/>
        </w:trPr>
        <w:tc>
          <w:tcPr>
            <w:tcW w:w="1994" w:type="dxa"/>
            <w:shd w:val="clear" w:color="auto" w:fill="auto"/>
            <w:vAlign w:val="center"/>
          </w:tcPr>
          <w:p w:rsidR="00A22407" w:rsidRPr="00D21AD5" w:rsidRDefault="00A22407" w:rsidP="00A22407">
            <w:pPr>
              <w:jc w:val="center"/>
              <w:rPr>
                <w:rFonts w:ascii="新細明體" w:hAnsi="新細明體"/>
                <w:bCs/>
                <w:szCs w:val="24"/>
              </w:rPr>
            </w:pPr>
            <w:r w:rsidRPr="00D21AD5">
              <w:rPr>
                <w:rFonts w:ascii="新細明體" w:hAnsi="新細明體"/>
                <w:szCs w:val="24"/>
              </w:rPr>
              <w:t>薪酬委員會</w:t>
            </w:r>
          </w:p>
        </w:tc>
        <w:tc>
          <w:tcPr>
            <w:tcW w:w="6742" w:type="dxa"/>
            <w:shd w:val="clear" w:color="auto" w:fill="auto"/>
            <w:vAlign w:val="center"/>
          </w:tcPr>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檢討員工的薪酬架構及水平</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檢討薪酬待遇的趨勢，並就薪酬調整提供建議</w:t>
            </w:r>
          </w:p>
          <w:p w:rsidR="00A22407" w:rsidRPr="00D21AD5" w:rsidRDefault="00A22407" w:rsidP="00A22407">
            <w:pPr>
              <w:widowControl/>
              <w:numPr>
                <w:ilvl w:val="0"/>
                <w:numId w:val="19"/>
              </w:numPr>
              <w:tabs>
                <w:tab w:val="num" w:pos="307"/>
              </w:tabs>
              <w:spacing w:line="440" w:lineRule="exact"/>
              <w:ind w:leftChars="70" w:left="309" w:hanging="141"/>
              <w:textAlignment w:val="baseline"/>
              <w:rPr>
                <w:rFonts w:ascii="新細明體" w:hAnsi="新細明體"/>
                <w:color w:val="222222"/>
                <w:szCs w:val="24"/>
              </w:rPr>
            </w:pPr>
            <w:r w:rsidRPr="00D21AD5">
              <w:rPr>
                <w:rFonts w:ascii="新細明體" w:hAnsi="新細明體"/>
                <w:color w:val="222222"/>
                <w:szCs w:val="24"/>
              </w:rPr>
              <w:t>按需要審議其他事項，包括就執行董事的薪酬及再委任若干執行董事向政府提供建議</w:t>
            </w:r>
          </w:p>
        </w:tc>
      </w:tr>
      <w:tr w:rsidR="00A22407" w:rsidRPr="000B1136" w:rsidTr="00A22407">
        <w:trPr>
          <w:trHeight w:val="2401"/>
          <w:jc w:val="center"/>
        </w:trPr>
        <w:tc>
          <w:tcPr>
            <w:tcW w:w="1994" w:type="dxa"/>
            <w:shd w:val="clear" w:color="auto" w:fill="auto"/>
            <w:vAlign w:val="center"/>
          </w:tcPr>
          <w:p w:rsidR="00A22407" w:rsidRPr="00D21AD5" w:rsidRDefault="00A22407" w:rsidP="00A22407">
            <w:pPr>
              <w:jc w:val="center"/>
              <w:rPr>
                <w:rFonts w:ascii="新細明體" w:hAnsi="新細明體"/>
                <w:bCs/>
                <w:szCs w:val="24"/>
              </w:rPr>
            </w:pPr>
            <w:r w:rsidRPr="00D21AD5">
              <w:rPr>
                <w:rFonts w:ascii="新細明體" w:hAnsi="新細明體"/>
                <w:szCs w:val="24"/>
              </w:rPr>
              <w:t>財政預算委員會</w:t>
            </w:r>
          </w:p>
        </w:tc>
        <w:tc>
          <w:tcPr>
            <w:tcW w:w="6742" w:type="dxa"/>
            <w:shd w:val="clear" w:color="auto" w:fill="auto"/>
            <w:vAlign w:val="center"/>
          </w:tcPr>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審議及核准年度財政預算所採用的編製規範及基準</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審議年度財政預算</w:t>
            </w:r>
          </w:p>
          <w:p w:rsidR="00A22407" w:rsidRPr="00D21AD5" w:rsidRDefault="00A22407" w:rsidP="00A22407">
            <w:pPr>
              <w:widowControl/>
              <w:numPr>
                <w:ilvl w:val="0"/>
                <w:numId w:val="19"/>
              </w:numPr>
              <w:tabs>
                <w:tab w:val="num" w:pos="307"/>
              </w:tabs>
              <w:spacing w:line="440" w:lineRule="exact"/>
              <w:ind w:leftChars="80" w:left="310" w:hanging="118"/>
              <w:textAlignment w:val="baseline"/>
              <w:rPr>
                <w:rFonts w:ascii="新細明體" w:hAnsi="新細明體"/>
                <w:color w:val="222222"/>
                <w:szCs w:val="24"/>
              </w:rPr>
            </w:pPr>
            <w:r w:rsidRPr="00D21AD5">
              <w:rPr>
                <w:rFonts w:ascii="新細明體" w:hAnsi="新細明體"/>
                <w:color w:val="222222"/>
                <w:szCs w:val="24"/>
              </w:rPr>
              <w:t>審議半年的財政預算檢討，並就任何需要作出的修訂或採取的行動向證監會提出建議</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考慮由證監會轉介的任何其他事宜</w:t>
            </w:r>
          </w:p>
        </w:tc>
      </w:tr>
      <w:tr w:rsidR="00A22407" w:rsidRPr="000B1136" w:rsidTr="00A22407">
        <w:trPr>
          <w:trHeight w:val="1465"/>
          <w:jc w:val="center"/>
        </w:trPr>
        <w:tc>
          <w:tcPr>
            <w:tcW w:w="1994" w:type="dxa"/>
            <w:shd w:val="clear" w:color="auto" w:fill="auto"/>
            <w:vAlign w:val="center"/>
          </w:tcPr>
          <w:p w:rsidR="00A22407" w:rsidRPr="00D21AD5" w:rsidRDefault="00A22407" w:rsidP="00A22407">
            <w:pPr>
              <w:jc w:val="center"/>
              <w:rPr>
                <w:rFonts w:ascii="新細明體" w:hAnsi="新細明體"/>
                <w:bCs/>
                <w:szCs w:val="24"/>
              </w:rPr>
            </w:pPr>
            <w:r w:rsidRPr="00D21AD5">
              <w:rPr>
                <w:rFonts w:ascii="新細明體" w:hAnsi="新細明體"/>
                <w:szCs w:val="24"/>
              </w:rPr>
              <w:t>執行委員會</w:t>
            </w:r>
          </w:p>
        </w:tc>
        <w:tc>
          <w:tcPr>
            <w:tcW w:w="6742" w:type="dxa"/>
            <w:shd w:val="clear" w:color="auto" w:fill="auto"/>
            <w:vAlign w:val="center"/>
          </w:tcPr>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執行董事局所訂定的目標，並確保證監會有效運作</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審議所有部門提交的建議和撥款要求</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在周會討論備受關注的議題</w:t>
            </w:r>
          </w:p>
        </w:tc>
      </w:tr>
      <w:tr w:rsidR="00A22407" w:rsidRPr="000B1136" w:rsidTr="00A22407">
        <w:trPr>
          <w:trHeight w:val="2397"/>
          <w:jc w:val="center"/>
        </w:trPr>
        <w:tc>
          <w:tcPr>
            <w:tcW w:w="1994" w:type="dxa"/>
            <w:shd w:val="clear" w:color="auto" w:fill="auto"/>
            <w:vAlign w:val="center"/>
          </w:tcPr>
          <w:p w:rsidR="00A22407" w:rsidRPr="00D21AD5" w:rsidRDefault="00A22407" w:rsidP="00A22407">
            <w:pPr>
              <w:jc w:val="center"/>
              <w:rPr>
                <w:rFonts w:ascii="新細明體" w:hAnsi="新細明體"/>
                <w:szCs w:val="24"/>
              </w:rPr>
            </w:pPr>
            <w:r w:rsidRPr="00D21AD5">
              <w:rPr>
                <w:rFonts w:ascii="新細明體" w:hAnsi="新細明體" w:hint="eastAsia"/>
                <w:szCs w:val="24"/>
              </w:rPr>
              <w:t>投資</w:t>
            </w:r>
            <w:r w:rsidRPr="00D21AD5">
              <w:rPr>
                <w:rFonts w:ascii="新細明體" w:hAnsi="新細明體"/>
                <w:szCs w:val="24"/>
              </w:rPr>
              <w:t>委員會</w:t>
            </w:r>
          </w:p>
        </w:tc>
        <w:tc>
          <w:tcPr>
            <w:tcW w:w="6742" w:type="dxa"/>
            <w:shd w:val="clear" w:color="auto" w:fill="auto"/>
            <w:vAlign w:val="center"/>
          </w:tcPr>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就證監會的基金管理政策、策略及投資指引提出建議</w:t>
            </w:r>
          </w:p>
          <w:p w:rsidR="00A22407" w:rsidRPr="00D21AD5" w:rsidRDefault="00A22407" w:rsidP="00A22407">
            <w:pPr>
              <w:widowControl/>
              <w:numPr>
                <w:ilvl w:val="0"/>
                <w:numId w:val="19"/>
              </w:numPr>
              <w:tabs>
                <w:tab w:val="num" w:pos="307"/>
              </w:tabs>
              <w:spacing w:line="440" w:lineRule="exact"/>
              <w:ind w:leftChars="70" w:left="257" w:hanging="89"/>
              <w:textAlignment w:val="baseline"/>
              <w:rPr>
                <w:rFonts w:ascii="新細明體" w:hAnsi="新細明體"/>
                <w:color w:val="222222"/>
                <w:szCs w:val="24"/>
              </w:rPr>
            </w:pPr>
            <w:r w:rsidRPr="00D21AD5">
              <w:rPr>
                <w:rFonts w:ascii="新細明體" w:hAnsi="新細明體"/>
                <w:color w:val="222222"/>
                <w:szCs w:val="24"/>
              </w:rPr>
              <w:t>就投資經理及顧問的委任作出建議，並監察其表現包括有否遵守投資指引</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就投資風險管理及資產分配提出建議，並監察投資表現</w:t>
            </w:r>
          </w:p>
          <w:p w:rsidR="00A22407" w:rsidRPr="00D21AD5"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D21AD5">
              <w:rPr>
                <w:rFonts w:ascii="新細明體" w:hAnsi="新細明體"/>
                <w:color w:val="222222"/>
                <w:szCs w:val="24"/>
              </w:rPr>
              <w:t>考慮由證監會轉介的任何其他事宜</w:t>
            </w:r>
          </w:p>
        </w:tc>
      </w:tr>
    </w:tbl>
    <w:p w:rsidR="00A22407" w:rsidRDefault="00A22407" w:rsidP="00A22407"/>
    <w:p w:rsidR="00A22407" w:rsidRDefault="00A22407" w:rsidP="00A22407"/>
    <w:p w:rsidR="00137057" w:rsidRDefault="00137057" w:rsidP="00A22407">
      <w:pPr>
        <w:rPr>
          <w:rFonts w:hint="eastAsia"/>
          <w:b/>
          <w:sz w:val="26"/>
          <w:szCs w:val="26"/>
        </w:rPr>
      </w:pPr>
    </w:p>
    <w:p w:rsidR="00A22407" w:rsidRDefault="00A22407" w:rsidP="00A22407">
      <w:pPr>
        <w:rPr>
          <w:b/>
          <w:sz w:val="26"/>
          <w:szCs w:val="26"/>
        </w:rPr>
      </w:pPr>
      <w:r w:rsidRPr="00A22407">
        <w:rPr>
          <w:rFonts w:hint="eastAsia"/>
          <w:b/>
          <w:sz w:val="26"/>
          <w:szCs w:val="26"/>
        </w:rPr>
        <w:lastRenderedPageBreak/>
        <w:t>營運部門</w:t>
      </w: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335"/>
      </w:tblGrid>
      <w:tr w:rsidR="00A22407" w:rsidRPr="00B03B2C" w:rsidTr="00A22407">
        <w:trPr>
          <w:trHeight w:val="547"/>
          <w:jc w:val="center"/>
        </w:trPr>
        <w:tc>
          <w:tcPr>
            <w:tcW w:w="1454" w:type="dxa"/>
            <w:shd w:val="clear" w:color="auto" w:fill="auto"/>
            <w:vAlign w:val="center"/>
          </w:tcPr>
          <w:p w:rsidR="00A22407" w:rsidRPr="00B03B2C" w:rsidRDefault="00A22407" w:rsidP="00A22407">
            <w:pPr>
              <w:jc w:val="center"/>
              <w:rPr>
                <w:rFonts w:ascii="新細明體" w:hAnsi="新細明體"/>
                <w:b/>
                <w:szCs w:val="24"/>
              </w:rPr>
            </w:pPr>
            <w:r w:rsidRPr="00B03B2C">
              <w:rPr>
                <w:rFonts w:ascii="新細明體" w:hAnsi="新細明體"/>
                <w:b/>
                <w:szCs w:val="24"/>
              </w:rPr>
              <w:t>部門</w:t>
            </w:r>
          </w:p>
        </w:tc>
        <w:tc>
          <w:tcPr>
            <w:tcW w:w="7335" w:type="dxa"/>
            <w:shd w:val="clear" w:color="auto" w:fill="auto"/>
            <w:vAlign w:val="center"/>
          </w:tcPr>
          <w:p w:rsidR="00A22407" w:rsidRPr="00B03B2C" w:rsidRDefault="00A22407" w:rsidP="00A22407">
            <w:pPr>
              <w:jc w:val="center"/>
              <w:rPr>
                <w:rFonts w:ascii="新細明體" w:hAnsi="新細明體"/>
                <w:b/>
                <w:szCs w:val="24"/>
              </w:rPr>
            </w:pPr>
            <w:r w:rsidRPr="00B03B2C">
              <w:rPr>
                <w:rFonts w:ascii="新細明體" w:hAnsi="新細明體" w:hint="eastAsia"/>
                <w:b/>
                <w:szCs w:val="24"/>
              </w:rPr>
              <w:t>主要</w:t>
            </w:r>
            <w:r w:rsidRPr="00B03B2C">
              <w:rPr>
                <w:rFonts w:ascii="新細明體" w:hAnsi="新細明體"/>
                <w:b/>
                <w:szCs w:val="24"/>
              </w:rPr>
              <w:t>職責</w:t>
            </w:r>
          </w:p>
        </w:tc>
      </w:tr>
      <w:tr w:rsidR="00A22407" w:rsidRPr="00B03B2C" w:rsidTr="00A22407">
        <w:trPr>
          <w:trHeight w:val="4948"/>
          <w:jc w:val="center"/>
        </w:trPr>
        <w:tc>
          <w:tcPr>
            <w:tcW w:w="1454" w:type="dxa"/>
            <w:shd w:val="clear" w:color="auto" w:fill="auto"/>
            <w:vAlign w:val="center"/>
          </w:tcPr>
          <w:p w:rsidR="00A22407" w:rsidRPr="00B03B2C" w:rsidRDefault="00A22407" w:rsidP="00A22407">
            <w:pPr>
              <w:rPr>
                <w:rFonts w:ascii="新細明體" w:hAnsi="新細明體"/>
                <w:szCs w:val="24"/>
              </w:rPr>
            </w:pPr>
            <w:r w:rsidRPr="00B03B2C">
              <w:rPr>
                <w:rFonts w:ascii="新細明體" w:hAnsi="新細明體"/>
                <w:szCs w:val="24"/>
              </w:rPr>
              <w:t>企業融資部</w:t>
            </w:r>
          </w:p>
        </w:tc>
        <w:tc>
          <w:tcPr>
            <w:tcW w:w="7335" w:type="dxa"/>
            <w:shd w:val="clear" w:color="auto" w:fill="auto"/>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主要工作包括監察聯交所與上市事務有關的職能、監管非上市股份及債權證的要約，及就其他相關事宜制訂政策。</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執行《證券及期貨條例》下的雙重存檔制度，以提高上市申請人及上市公司在資料披露方面的質素和表現</w:t>
            </w:r>
          </w:p>
          <w:p w:rsidR="00A22407" w:rsidRPr="00B03B2C" w:rsidRDefault="00A22407" w:rsidP="00A22407">
            <w:pPr>
              <w:widowControl/>
              <w:numPr>
                <w:ilvl w:val="0"/>
                <w:numId w:val="19"/>
              </w:numPr>
              <w:tabs>
                <w:tab w:val="clear" w:pos="786"/>
              </w:tabs>
              <w:spacing w:line="440" w:lineRule="exact"/>
              <w:ind w:leftChars="70" w:left="309" w:hanging="141"/>
              <w:textAlignment w:val="baseline"/>
              <w:rPr>
                <w:rFonts w:ascii="新細明體" w:hAnsi="新細明體"/>
                <w:color w:val="222222"/>
                <w:szCs w:val="24"/>
              </w:rPr>
            </w:pPr>
            <w:r w:rsidRPr="00B03B2C">
              <w:rPr>
                <w:rFonts w:ascii="新細明體" w:hAnsi="新細明體"/>
                <w:color w:val="222222"/>
                <w:szCs w:val="24"/>
              </w:rPr>
              <w:t>執行《公司收購、合併及股份購回守則》，以確保股東享有公平對待，並為香港的收購及股份回購交易提供有秩序的架構</w:t>
            </w:r>
          </w:p>
          <w:p w:rsidR="00A22407" w:rsidRPr="00B03B2C" w:rsidRDefault="00A22407" w:rsidP="00A22407">
            <w:pPr>
              <w:widowControl/>
              <w:numPr>
                <w:ilvl w:val="0"/>
                <w:numId w:val="19"/>
              </w:numPr>
              <w:tabs>
                <w:tab w:val="clear" w:pos="786"/>
              </w:tabs>
              <w:spacing w:line="440" w:lineRule="exact"/>
              <w:ind w:leftChars="73" w:left="318" w:hanging="143"/>
              <w:textAlignment w:val="baseline"/>
              <w:rPr>
                <w:rFonts w:ascii="新細明體" w:hAnsi="新細明體"/>
                <w:color w:val="222222"/>
                <w:szCs w:val="24"/>
              </w:rPr>
            </w:pPr>
            <w:r w:rsidRPr="00B03B2C">
              <w:rPr>
                <w:rFonts w:ascii="新細明體" w:hAnsi="新細明體"/>
                <w:color w:val="222222"/>
                <w:szCs w:val="24"/>
              </w:rPr>
              <w:t>監察香港聯合交易所有限公司（聯交所）與上市有關的職能及職責</w:t>
            </w:r>
          </w:p>
          <w:p w:rsidR="00A22407" w:rsidRPr="00B03B2C" w:rsidRDefault="00A22407" w:rsidP="00A22407">
            <w:pPr>
              <w:widowControl/>
              <w:numPr>
                <w:ilvl w:val="0"/>
                <w:numId w:val="19"/>
              </w:numPr>
              <w:tabs>
                <w:tab w:val="num" w:pos="307"/>
              </w:tabs>
              <w:spacing w:line="440" w:lineRule="exact"/>
              <w:ind w:leftChars="69" w:left="710" w:hanging="544"/>
              <w:textAlignment w:val="baseline"/>
              <w:rPr>
                <w:rFonts w:ascii="新細明體" w:hAnsi="新細明體"/>
                <w:color w:val="222222"/>
                <w:szCs w:val="24"/>
              </w:rPr>
            </w:pPr>
            <w:r w:rsidRPr="00B03B2C">
              <w:rPr>
                <w:rFonts w:ascii="新細明體" w:hAnsi="新細明體"/>
                <w:color w:val="222222"/>
                <w:szCs w:val="24"/>
              </w:rPr>
              <w:t>檢討由聯交所負責執行的《上市規則》及提出修訂建議</w:t>
            </w:r>
          </w:p>
          <w:p w:rsidR="00A22407" w:rsidRPr="00B03B2C" w:rsidRDefault="00A22407" w:rsidP="00A22407">
            <w:pPr>
              <w:widowControl/>
              <w:numPr>
                <w:ilvl w:val="0"/>
                <w:numId w:val="19"/>
              </w:numPr>
              <w:tabs>
                <w:tab w:val="clear" w:pos="786"/>
              </w:tabs>
              <w:spacing w:line="440" w:lineRule="exact"/>
              <w:ind w:leftChars="69" w:left="307" w:hanging="141"/>
              <w:textAlignment w:val="baseline"/>
              <w:rPr>
                <w:rFonts w:ascii="新細明體" w:hAnsi="新細明體"/>
                <w:color w:val="222222"/>
                <w:szCs w:val="24"/>
              </w:rPr>
            </w:pPr>
            <w:r w:rsidRPr="00B03B2C">
              <w:rPr>
                <w:rFonts w:ascii="新細明體" w:hAnsi="新細明體"/>
                <w:color w:val="222222"/>
                <w:szCs w:val="24"/>
              </w:rPr>
              <w:t>審核及認可非上市股份或債權證（不包括結構性產品）的招股章程及推廣材料</w:t>
            </w:r>
          </w:p>
        </w:tc>
      </w:tr>
      <w:tr w:rsidR="00A22407" w:rsidRPr="00B03B2C" w:rsidTr="00A22407">
        <w:trPr>
          <w:trHeight w:val="4081"/>
          <w:jc w:val="center"/>
        </w:trPr>
        <w:tc>
          <w:tcPr>
            <w:tcW w:w="1454" w:type="dxa"/>
            <w:shd w:val="clear" w:color="auto" w:fill="auto"/>
            <w:vAlign w:val="center"/>
          </w:tcPr>
          <w:p w:rsidR="00A22407" w:rsidRPr="00B03B2C" w:rsidRDefault="00A22407" w:rsidP="00A22407">
            <w:pPr>
              <w:rPr>
                <w:rFonts w:ascii="新細明體" w:hAnsi="新細明體"/>
                <w:szCs w:val="24"/>
              </w:rPr>
            </w:pPr>
            <w:r w:rsidRPr="00B03B2C">
              <w:rPr>
                <w:rFonts w:ascii="新細明體" w:hAnsi="新細明體"/>
                <w:szCs w:val="24"/>
              </w:rPr>
              <w:t>法規執行部</w:t>
            </w:r>
          </w:p>
        </w:tc>
        <w:tc>
          <w:tcPr>
            <w:tcW w:w="7335" w:type="dxa"/>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負責採取有效的監察及執法行動，以遏止市場的非法或失當行為，從而維持香港市場的廉潔穩健。</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依據《證券及期貨條例》執法</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對不誠實或違反規則的受規管中介人採取紀律處分</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監察香港的證券及衍生工具市場的交易活動，以及調查違規或失當行為</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查閱涉及失當行為的上市公司的簿冊和紀錄</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向財政司司長報告市場上涉嫌失當的行為</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與本地及海外監管機構合作進行本地及海外的調查工作</w:t>
            </w:r>
          </w:p>
        </w:tc>
      </w:tr>
      <w:tr w:rsidR="00A22407" w:rsidRPr="00B03B2C" w:rsidTr="00A22407">
        <w:trPr>
          <w:trHeight w:val="3655"/>
          <w:jc w:val="center"/>
        </w:trPr>
        <w:tc>
          <w:tcPr>
            <w:tcW w:w="1454" w:type="dxa"/>
            <w:shd w:val="clear" w:color="auto" w:fill="auto"/>
            <w:vAlign w:val="center"/>
          </w:tcPr>
          <w:p w:rsidR="00A22407" w:rsidRPr="00B03B2C" w:rsidRDefault="00A22407" w:rsidP="00A22407">
            <w:pPr>
              <w:rPr>
                <w:rFonts w:ascii="新細明體" w:hAnsi="新細明體"/>
                <w:szCs w:val="24"/>
              </w:rPr>
            </w:pPr>
            <w:r w:rsidRPr="00B03B2C">
              <w:rPr>
                <w:rFonts w:ascii="新細明體" w:hAnsi="新細明體"/>
                <w:szCs w:val="24"/>
              </w:rPr>
              <w:t>投資產品部</w:t>
            </w:r>
          </w:p>
        </w:tc>
        <w:tc>
          <w:tcPr>
            <w:tcW w:w="7335" w:type="dxa"/>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制定認可程序，要求所有售予香港公眾的投資產品作出妥善的資料披露，遵從《證監會有關單位信託及互惠基金、與投資有關的人壽保險計劃及非上市結構性投資產品的手冊》的規定。部門亦致力促進產品的多元化發展，以及推動內地的離岸集資活動。</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制訂並執行守則與指引，建立投資產品認可申請的平台，以促進市場發展及產品創新</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規管及審核向公眾發售的投資產品</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監察認可投資產品的資料披露和持續合規事宜</w:t>
            </w:r>
          </w:p>
        </w:tc>
      </w:tr>
      <w:tr w:rsidR="00A22407" w:rsidRPr="00B03B2C" w:rsidTr="00A22407">
        <w:trPr>
          <w:trHeight w:val="4946"/>
          <w:jc w:val="center"/>
        </w:trPr>
        <w:tc>
          <w:tcPr>
            <w:tcW w:w="1454" w:type="dxa"/>
            <w:shd w:val="clear" w:color="auto" w:fill="auto"/>
            <w:vAlign w:val="center"/>
          </w:tcPr>
          <w:p w:rsidR="00A22407" w:rsidRPr="00B03B2C" w:rsidRDefault="00A22407" w:rsidP="00A22407">
            <w:pPr>
              <w:rPr>
                <w:rFonts w:ascii="新細明體" w:hAnsi="新細明體"/>
                <w:szCs w:val="24"/>
              </w:rPr>
            </w:pPr>
            <w:r w:rsidRPr="00B03B2C">
              <w:rPr>
                <w:rFonts w:ascii="新細明體" w:hAnsi="新細明體"/>
                <w:szCs w:val="24"/>
              </w:rPr>
              <w:lastRenderedPageBreak/>
              <w:t>市場監察部</w:t>
            </w:r>
          </w:p>
        </w:tc>
        <w:tc>
          <w:tcPr>
            <w:tcW w:w="7335" w:type="dxa"/>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負責監管主要市場營運機構，並致力確保香港證券及期貨市場的發展與國際標準看齊。</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與本地及海外的市場參與者溝通聯繫，以鼓勵他們參與香港市場，促進市場發展</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強化香港的市場基礎設施</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監管和監察交易所控制人，交易所及結算所的活動</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認可自動化交易服務提供者</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規管獲認可的股份登記機構</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協調市場的緊急應變計劃</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監管投資者賠償有限公司及管理投資者賠償基金</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進行與市場有關的研究，協助制訂政策</w:t>
            </w:r>
          </w:p>
        </w:tc>
      </w:tr>
      <w:tr w:rsidR="00A22407" w:rsidRPr="00B03B2C" w:rsidTr="00A22407">
        <w:trPr>
          <w:trHeight w:val="1827"/>
          <w:jc w:val="center"/>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B03B2C" w:rsidRDefault="00A22407" w:rsidP="00A22407">
            <w:pPr>
              <w:rPr>
                <w:rFonts w:ascii="新細明體" w:hAnsi="新細明體"/>
                <w:bCs/>
                <w:szCs w:val="24"/>
              </w:rPr>
            </w:pPr>
            <w:r w:rsidRPr="00B03B2C">
              <w:rPr>
                <w:rFonts w:ascii="新細明體" w:hAnsi="新細明體" w:hint="eastAsia"/>
                <w:bCs/>
                <w:szCs w:val="24"/>
              </w:rPr>
              <w:t>中介機構部</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為確保香港的證券及期貨業秉持最高標準，規定只有符合相關資格準則的人士及公司，方可晉身業界，</w:t>
            </w:r>
            <w:r w:rsidRPr="00B03B2C">
              <w:rPr>
                <w:rFonts w:ascii="新細明體" w:hAnsi="新細明體" w:hint="eastAsia"/>
                <w:szCs w:val="24"/>
              </w:rPr>
              <w:t>且</w:t>
            </w:r>
            <w:r w:rsidRPr="00B03B2C">
              <w:rPr>
                <w:rFonts w:ascii="新細明體" w:hAnsi="新細明體"/>
                <w:szCs w:val="24"/>
              </w:rPr>
              <w:t>須遵守適用於中介人的相關法例及規管規定。此外，不時檢討本會就發牌及合規事宜所訂立的政策措施，務求緊貼市場發展。</w:t>
            </w:r>
          </w:p>
        </w:tc>
      </w:tr>
      <w:tr w:rsidR="00A22407" w:rsidRPr="00B03B2C" w:rsidTr="00A22407">
        <w:trPr>
          <w:trHeight w:val="2758"/>
          <w:jc w:val="center"/>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B03B2C" w:rsidRDefault="00A22407" w:rsidP="00A22407">
            <w:pPr>
              <w:rPr>
                <w:rFonts w:ascii="新細明體" w:hAnsi="新細明體"/>
                <w:bCs/>
                <w:szCs w:val="24"/>
              </w:rPr>
            </w:pPr>
            <w:r w:rsidRPr="00B03B2C">
              <w:rPr>
                <w:rFonts w:ascii="新細明體" w:hAnsi="新細明體" w:hint="eastAsia"/>
                <w:bCs/>
                <w:szCs w:val="24"/>
              </w:rPr>
              <w:t>中</w:t>
            </w:r>
            <w:r w:rsidRPr="00B03B2C">
              <w:rPr>
                <w:rFonts w:ascii="新細明體" w:hAnsi="新細明體"/>
                <w:bCs/>
                <w:szCs w:val="24"/>
              </w:rPr>
              <w:t>介團體</w:t>
            </w:r>
          </w:p>
          <w:p w:rsidR="00A22407" w:rsidRPr="00B03B2C" w:rsidRDefault="00A22407" w:rsidP="00A22407">
            <w:pPr>
              <w:rPr>
                <w:rFonts w:ascii="新細明體" w:hAnsi="新細明體"/>
                <w:bCs/>
                <w:szCs w:val="24"/>
              </w:rPr>
            </w:pPr>
            <w:r w:rsidRPr="00B03B2C">
              <w:rPr>
                <w:rFonts w:ascii="新細明體" w:hAnsi="新細明體"/>
                <w:bCs/>
                <w:szCs w:val="24"/>
              </w:rPr>
              <w:t>監察科</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負責監管中介人，以業務操守及財政穩健程度為監察重點。</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szCs w:val="24"/>
              </w:rPr>
            </w:pPr>
            <w:r w:rsidRPr="00B03B2C">
              <w:rPr>
                <w:rFonts w:ascii="新細明體" w:hAnsi="新細明體"/>
                <w:szCs w:val="24"/>
              </w:rPr>
              <w:t>進行現場審查及非現場監察，從而： </w:t>
            </w:r>
          </w:p>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-監察中介人的業務操守，確定其遵守相關的規管規定 </w:t>
            </w:r>
          </w:p>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-評估及監察中介人的財政穩健程度</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szCs w:val="24"/>
              </w:rPr>
            </w:pPr>
            <w:r w:rsidRPr="00B03B2C">
              <w:rPr>
                <w:rFonts w:ascii="新細明體" w:hAnsi="新細明體"/>
                <w:szCs w:val="24"/>
              </w:rPr>
              <w:t>處理中介人就各項相關規定核准，寬免或修改所提出的申請</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szCs w:val="24"/>
              </w:rPr>
            </w:pPr>
            <w:r w:rsidRPr="00B03B2C">
              <w:rPr>
                <w:rFonts w:ascii="新細明體" w:hAnsi="新細明體"/>
                <w:szCs w:val="24"/>
              </w:rPr>
              <w:t>就相關政策及監管事宜與中介人及業界保持溝通</w:t>
            </w:r>
          </w:p>
        </w:tc>
      </w:tr>
      <w:tr w:rsidR="00A22407" w:rsidRPr="00B03B2C" w:rsidTr="00A22407">
        <w:trPr>
          <w:trHeight w:val="3324"/>
          <w:jc w:val="center"/>
        </w:trPr>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B03B2C" w:rsidRDefault="00A22407" w:rsidP="00A22407">
            <w:pPr>
              <w:rPr>
                <w:rFonts w:ascii="新細明體" w:hAnsi="新細明體"/>
                <w:bCs/>
                <w:szCs w:val="24"/>
              </w:rPr>
            </w:pPr>
            <w:r w:rsidRPr="00B03B2C">
              <w:rPr>
                <w:rFonts w:ascii="新細明體" w:hAnsi="新細明體"/>
                <w:bCs/>
                <w:szCs w:val="24"/>
              </w:rPr>
              <w:t>發牌科</w:t>
            </w:r>
          </w:p>
        </w:tc>
        <w:tc>
          <w:tcPr>
            <w:tcW w:w="7335" w:type="dxa"/>
            <w:tcBorders>
              <w:top w:val="single" w:sz="4" w:space="0" w:color="auto"/>
              <w:left w:val="single" w:sz="4" w:space="0" w:color="auto"/>
              <w:bottom w:val="single" w:sz="4" w:space="0" w:color="auto"/>
              <w:right w:val="single" w:sz="4" w:space="0" w:color="auto"/>
            </w:tcBorders>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擔當把關者的角色，負責確保有意進入香港證券及期貨市場的法團及個人符合既定的標準。</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szCs w:val="24"/>
              </w:rPr>
            </w:pPr>
            <w:r w:rsidRPr="00B03B2C">
              <w:rPr>
                <w:rFonts w:ascii="新細明體" w:hAnsi="新細明體"/>
                <w:szCs w:val="24"/>
              </w:rPr>
              <w:t>向有意在香港經營受規管業務，因而須按照《證券及期貨條例》申領牌照的法團及個人發出牌照</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szCs w:val="24"/>
              </w:rPr>
            </w:pPr>
            <w:r w:rsidRPr="00B03B2C">
              <w:rPr>
                <w:rFonts w:ascii="新細明體" w:hAnsi="新細明體"/>
                <w:szCs w:val="24"/>
              </w:rPr>
              <w:t>發出守則及指引，說明公司及個人應具備甚麼能力和哪些條件才適合獲發牌</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szCs w:val="24"/>
              </w:rPr>
            </w:pPr>
            <w:r w:rsidRPr="00B03B2C">
              <w:rPr>
                <w:rFonts w:ascii="新細明體" w:hAnsi="新細明體"/>
                <w:szCs w:val="24"/>
              </w:rPr>
              <w:t>監察持牌人及相關人士是否持續遵守發牌規定</w:t>
            </w:r>
          </w:p>
        </w:tc>
      </w:tr>
    </w:tbl>
    <w:p w:rsidR="00A22407" w:rsidRDefault="00A22407" w:rsidP="00A22407">
      <w:pPr>
        <w:rPr>
          <w:b/>
          <w:sz w:val="26"/>
          <w:szCs w:val="26"/>
        </w:rPr>
      </w:pPr>
    </w:p>
    <w:p w:rsidR="00A22407" w:rsidRDefault="00A22407" w:rsidP="00A22407">
      <w:pPr>
        <w:rPr>
          <w:rFonts w:hint="eastAsia"/>
          <w:b/>
          <w:sz w:val="26"/>
          <w:szCs w:val="26"/>
        </w:rPr>
      </w:pPr>
    </w:p>
    <w:p w:rsidR="00137057" w:rsidRDefault="00137057" w:rsidP="00A22407">
      <w:pPr>
        <w:rPr>
          <w:b/>
          <w:sz w:val="26"/>
          <w:szCs w:val="26"/>
        </w:rPr>
      </w:pPr>
      <w:bookmarkStart w:id="2" w:name="_GoBack"/>
      <w:bookmarkEnd w:id="2"/>
    </w:p>
    <w:p w:rsidR="00A22407" w:rsidRDefault="00A22407" w:rsidP="00A22407">
      <w:pPr>
        <w:rPr>
          <w:b/>
          <w:sz w:val="26"/>
          <w:szCs w:val="26"/>
        </w:rPr>
      </w:pPr>
      <w:r>
        <w:rPr>
          <w:rFonts w:hint="eastAsia"/>
          <w:b/>
          <w:sz w:val="26"/>
          <w:szCs w:val="26"/>
        </w:rPr>
        <w:lastRenderedPageBreak/>
        <w:t>支援部門</w:t>
      </w:r>
    </w:p>
    <w:tbl>
      <w:tblPr>
        <w:tblW w:w="0" w:type="auto"/>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335"/>
      </w:tblGrid>
      <w:tr w:rsidR="00A22407" w:rsidRPr="000B1136" w:rsidTr="00A22407">
        <w:trPr>
          <w:trHeight w:val="547"/>
          <w:jc w:val="center"/>
        </w:trPr>
        <w:tc>
          <w:tcPr>
            <w:tcW w:w="1454" w:type="dxa"/>
            <w:shd w:val="clear" w:color="auto" w:fill="auto"/>
            <w:vAlign w:val="center"/>
          </w:tcPr>
          <w:p w:rsidR="00A22407" w:rsidRPr="00B03B2C" w:rsidRDefault="00A22407" w:rsidP="00A22407">
            <w:pPr>
              <w:jc w:val="center"/>
              <w:rPr>
                <w:rFonts w:ascii="新細明體" w:hAnsi="新細明體"/>
                <w:b/>
                <w:szCs w:val="24"/>
              </w:rPr>
            </w:pPr>
            <w:r w:rsidRPr="00B03B2C">
              <w:rPr>
                <w:rFonts w:ascii="新細明體" w:hAnsi="新細明體"/>
                <w:b/>
                <w:szCs w:val="24"/>
              </w:rPr>
              <w:t>部門</w:t>
            </w:r>
          </w:p>
        </w:tc>
        <w:tc>
          <w:tcPr>
            <w:tcW w:w="7335" w:type="dxa"/>
            <w:shd w:val="clear" w:color="auto" w:fill="auto"/>
            <w:vAlign w:val="center"/>
          </w:tcPr>
          <w:p w:rsidR="00A22407" w:rsidRPr="00B03B2C" w:rsidRDefault="00A22407" w:rsidP="00A22407">
            <w:pPr>
              <w:jc w:val="center"/>
              <w:rPr>
                <w:rFonts w:ascii="新細明體" w:hAnsi="新細明體"/>
                <w:b/>
                <w:szCs w:val="24"/>
              </w:rPr>
            </w:pPr>
            <w:r w:rsidRPr="00B03B2C">
              <w:rPr>
                <w:rFonts w:ascii="新細明體" w:hAnsi="新細明體" w:hint="eastAsia"/>
                <w:b/>
                <w:szCs w:val="24"/>
              </w:rPr>
              <w:t>主要</w:t>
            </w:r>
            <w:r w:rsidRPr="00B03B2C">
              <w:rPr>
                <w:rFonts w:ascii="新細明體" w:hAnsi="新細明體"/>
                <w:b/>
                <w:szCs w:val="24"/>
              </w:rPr>
              <w:t>職責</w:t>
            </w:r>
          </w:p>
        </w:tc>
      </w:tr>
      <w:tr w:rsidR="00A22407" w:rsidRPr="000B1136" w:rsidTr="00A22407">
        <w:trPr>
          <w:trHeight w:val="3244"/>
          <w:jc w:val="center"/>
        </w:trPr>
        <w:tc>
          <w:tcPr>
            <w:tcW w:w="1454" w:type="dxa"/>
            <w:shd w:val="clear" w:color="auto" w:fill="auto"/>
            <w:vAlign w:val="center"/>
          </w:tcPr>
          <w:p w:rsidR="00A22407" w:rsidRPr="00B03B2C" w:rsidRDefault="00A22407" w:rsidP="00A22407">
            <w:pPr>
              <w:rPr>
                <w:rFonts w:ascii="新細明體" w:hAnsi="新細明體"/>
                <w:bCs/>
                <w:szCs w:val="24"/>
              </w:rPr>
            </w:pPr>
            <w:r w:rsidRPr="00B03B2C">
              <w:rPr>
                <w:rFonts w:ascii="新細明體" w:hAnsi="新細明體" w:hint="eastAsia"/>
                <w:bCs/>
                <w:szCs w:val="24"/>
              </w:rPr>
              <w:t>機構事務部</w:t>
            </w:r>
          </w:p>
        </w:tc>
        <w:tc>
          <w:tcPr>
            <w:tcW w:w="7335" w:type="dxa"/>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機構事務部涵括：規劃及行政科</w:t>
            </w:r>
            <w:r w:rsidRPr="00B03B2C">
              <w:rPr>
                <w:rFonts w:ascii="新細明體" w:hAnsi="新細明體" w:hint="eastAsia"/>
                <w:szCs w:val="24"/>
              </w:rPr>
              <w:t>、</w:t>
            </w:r>
            <w:r w:rsidRPr="00B03B2C">
              <w:rPr>
                <w:rFonts w:ascii="新細明體" w:hAnsi="新細明體"/>
                <w:szCs w:val="24"/>
              </w:rPr>
              <w:t>對外事務科</w:t>
            </w:r>
            <w:r w:rsidRPr="00B03B2C">
              <w:rPr>
                <w:rFonts w:ascii="新細明體" w:hAnsi="新細明體" w:hint="eastAsia"/>
                <w:szCs w:val="24"/>
              </w:rPr>
              <w:t>、</w:t>
            </w:r>
            <w:r w:rsidRPr="00B03B2C">
              <w:rPr>
                <w:rFonts w:ascii="新細明體" w:hAnsi="新細明體"/>
                <w:szCs w:val="24"/>
              </w:rPr>
              <w:t>財務科</w:t>
            </w:r>
            <w:r w:rsidRPr="00B03B2C">
              <w:rPr>
                <w:rFonts w:ascii="新細明體" w:hAnsi="新細明體" w:hint="eastAsia"/>
                <w:szCs w:val="24"/>
              </w:rPr>
              <w:t>、</w:t>
            </w:r>
            <w:r w:rsidRPr="00B03B2C">
              <w:rPr>
                <w:rFonts w:ascii="新細明體" w:hAnsi="新細明體"/>
                <w:szCs w:val="24"/>
              </w:rPr>
              <w:t>人力資源科</w:t>
            </w:r>
            <w:r w:rsidRPr="00B03B2C">
              <w:rPr>
                <w:rFonts w:ascii="新細明體" w:hAnsi="新細明體" w:hint="eastAsia"/>
                <w:szCs w:val="24"/>
              </w:rPr>
              <w:t>及</w:t>
            </w:r>
            <w:r w:rsidRPr="00B03B2C">
              <w:rPr>
                <w:rFonts w:ascii="新細明體" w:hAnsi="新細明體"/>
                <w:szCs w:val="24"/>
              </w:rPr>
              <w:t>資訊科技科</w:t>
            </w:r>
            <w:r w:rsidRPr="00B03B2C">
              <w:rPr>
                <w:rFonts w:ascii="新細明體" w:hAnsi="新細明體" w:hint="eastAsia"/>
                <w:szCs w:val="24"/>
              </w:rPr>
              <w:t>。</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提供整體的後勤支援，包括員工招聘與人力資源發展、資訊科技、項目管理，以及財務及行政工作</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與外界的相關人士溝通</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接收有關金融市場的失當行為的投訴及公眾的諮詢</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協助投資者了解投資風險與市場運作</w:t>
            </w:r>
          </w:p>
        </w:tc>
      </w:tr>
      <w:tr w:rsidR="00A22407" w:rsidRPr="000B1136" w:rsidTr="00A22407">
        <w:trPr>
          <w:trHeight w:val="4551"/>
          <w:jc w:val="center"/>
        </w:trPr>
        <w:tc>
          <w:tcPr>
            <w:tcW w:w="1454" w:type="dxa"/>
            <w:shd w:val="clear" w:color="auto" w:fill="auto"/>
            <w:vAlign w:val="center"/>
          </w:tcPr>
          <w:p w:rsidR="00A22407" w:rsidRPr="00B03B2C" w:rsidRDefault="00A22407" w:rsidP="00A22407">
            <w:pPr>
              <w:rPr>
                <w:rFonts w:ascii="新細明體" w:hAnsi="新細明體"/>
                <w:bCs/>
                <w:szCs w:val="24"/>
              </w:rPr>
            </w:pPr>
            <w:r w:rsidRPr="00B03B2C">
              <w:rPr>
                <w:rFonts w:ascii="新細明體" w:hAnsi="新細明體" w:hint="eastAsia"/>
                <w:bCs/>
                <w:szCs w:val="24"/>
              </w:rPr>
              <w:t>法律服務部</w:t>
            </w:r>
          </w:p>
        </w:tc>
        <w:tc>
          <w:tcPr>
            <w:tcW w:w="7335" w:type="dxa"/>
            <w:shd w:val="clear" w:color="auto" w:fill="auto"/>
            <w:vAlign w:val="center"/>
          </w:tcPr>
          <w:p w:rsidR="00A22407" w:rsidRPr="00B03B2C" w:rsidRDefault="00A22407" w:rsidP="00A22407">
            <w:pPr>
              <w:widowControl/>
              <w:spacing w:line="440" w:lineRule="exact"/>
              <w:jc w:val="both"/>
              <w:rPr>
                <w:rFonts w:ascii="新細明體" w:hAnsi="新細明體"/>
                <w:szCs w:val="24"/>
              </w:rPr>
            </w:pPr>
            <w:r w:rsidRPr="00B03B2C">
              <w:rPr>
                <w:rFonts w:ascii="新細明體" w:hAnsi="新細明體"/>
                <w:szCs w:val="24"/>
              </w:rPr>
              <w:t>負責為各部門提供法律意見及支援服務。</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處理涉及證監會的民事及刑事訴訟，包括就證據的充分程度、提出檢控所涉及的公眾利益，以及就個別個案援引不同條文的可行性提供意見；委託大律師代表證監會出庭、為法院擬備案件資料及在法院聆訊期間擔任本會的律師</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就各類事宜提供法律意見,包括法例詮釋、行政法、採購合約、僱員事務、雙重存檔個案、收購紀律處分個案、高風險經紀行情況、修訂守則指引，以及諒解備忘錄等事宜</w:t>
            </w:r>
          </w:p>
          <w:p w:rsidR="00A22407" w:rsidRPr="00B03B2C" w:rsidRDefault="00A22407" w:rsidP="00A22407">
            <w:pPr>
              <w:widowControl/>
              <w:numPr>
                <w:ilvl w:val="0"/>
                <w:numId w:val="19"/>
              </w:numPr>
              <w:tabs>
                <w:tab w:val="num" w:pos="307"/>
              </w:tabs>
              <w:spacing w:line="440" w:lineRule="exact"/>
              <w:ind w:leftChars="69" w:left="330" w:hanging="164"/>
              <w:textAlignment w:val="baseline"/>
              <w:rPr>
                <w:rFonts w:ascii="新細明體" w:hAnsi="新細明體"/>
                <w:color w:val="222222"/>
                <w:szCs w:val="24"/>
              </w:rPr>
            </w:pPr>
            <w:r w:rsidRPr="00B03B2C">
              <w:rPr>
                <w:rFonts w:ascii="新細明體" w:hAnsi="新細明體"/>
                <w:color w:val="222222"/>
                <w:szCs w:val="24"/>
              </w:rPr>
              <w:t>處理立法工作，包括修訂《證券及期貨條例》，以及草擬《證券及期貨條例》及《公司條例》的附屬法例</w:t>
            </w:r>
          </w:p>
        </w:tc>
      </w:tr>
    </w:tbl>
    <w:p w:rsidR="00A22407" w:rsidRDefault="00A22407" w:rsidP="00A22407">
      <w:pPr>
        <w:rPr>
          <w:b/>
          <w:sz w:val="26"/>
          <w:szCs w:val="26"/>
        </w:rPr>
      </w:pPr>
    </w:p>
    <w:sectPr w:rsidR="00A22407" w:rsidSect="00137057">
      <w:footerReference w:type="default" r:id="rId23"/>
      <w:pgSz w:w="11906" w:h="16838"/>
      <w:pgMar w:top="1134" w:right="1416"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05" w:rsidRDefault="00316105" w:rsidP="00CE0B2F">
      <w:r>
        <w:separator/>
      </w:r>
    </w:p>
  </w:endnote>
  <w:endnote w:type="continuationSeparator" w:id="0">
    <w:p w:rsidR="00316105" w:rsidRDefault="00316105" w:rsidP="00CE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22021"/>
      <w:docPartObj>
        <w:docPartGallery w:val="Page Numbers (Bottom of Page)"/>
        <w:docPartUnique/>
      </w:docPartObj>
    </w:sdtPr>
    <w:sdtEndPr/>
    <w:sdtContent>
      <w:p w:rsidR="00736108" w:rsidRDefault="00736108">
        <w:pPr>
          <w:pStyle w:val="af1"/>
          <w:jc w:val="center"/>
        </w:pPr>
        <w:r>
          <w:fldChar w:fldCharType="begin"/>
        </w:r>
        <w:r>
          <w:instrText>PAGE   \* MERGEFORMAT</w:instrText>
        </w:r>
        <w:r>
          <w:fldChar w:fldCharType="separate"/>
        </w:r>
        <w:r w:rsidR="00137057" w:rsidRPr="00137057">
          <w:rPr>
            <w:noProof/>
            <w:lang w:val="zh-TW"/>
          </w:rPr>
          <w:t>8</w:t>
        </w:r>
        <w:r>
          <w:fldChar w:fldCharType="end"/>
        </w:r>
      </w:p>
    </w:sdtContent>
  </w:sdt>
  <w:p w:rsidR="00736108" w:rsidRDefault="0073610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05" w:rsidRDefault="00316105" w:rsidP="00CE0B2F">
      <w:r>
        <w:separator/>
      </w:r>
    </w:p>
  </w:footnote>
  <w:footnote w:type="continuationSeparator" w:id="0">
    <w:p w:rsidR="00316105" w:rsidRDefault="00316105" w:rsidP="00CE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3FF"/>
    <w:multiLevelType w:val="multilevel"/>
    <w:tmpl w:val="373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C705F"/>
    <w:multiLevelType w:val="hybridMultilevel"/>
    <w:tmpl w:val="72AA41DE"/>
    <w:lvl w:ilvl="0" w:tplc="04090001">
      <w:start w:val="1"/>
      <w:numFmt w:val="bullet"/>
      <w:lvlText w:val=""/>
      <w:lvlJc w:val="left"/>
      <w:pPr>
        <w:ind w:left="1331" w:hanging="480"/>
      </w:pPr>
      <w:rPr>
        <w:rFonts w:ascii="Symbol"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
    <w:nsid w:val="054F52D2"/>
    <w:multiLevelType w:val="hybridMultilevel"/>
    <w:tmpl w:val="2D3CBC60"/>
    <w:lvl w:ilvl="0" w:tplc="1F0EA512">
      <w:start w:val="1"/>
      <w:numFmt w:val="decimal"/>
      <w:lvlText w:val="%1."/>
      <w:lvlJc w:val="left"/>
      <w:pPr>
        <w:ind w:left="927" w:hanging="360"/>
      </w:pPr>
      <w:rPr>
        <w:rFonts w:cs="ZWAdobeF" w:hint="default"/>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
    <w:nsid w:val="05CF18B5"/>
    <w:multiLevelType w:val="hybridMultilevel"/>
    <w:tmpl w:val="F806B46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0A187B5C"/>
    <w:multiLevelType w:val="hybridMultilevel"/>
    <w:tmpl w:val="8C10E5A4"/>
    <w:lvl w:ilvl="0" w:tplc="53D8E732">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0C246BEB"/>
    <w:multiLevelType w:val="hybridMultilevel"/>
    <w:tmpl w:val="8C10E5A4"/>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CC34CF4"/>
    <w:multiLevelType w:val="hybridMultilevel"/>
    <w:tmpl w:val="AA2258BC"/>
    <w:lvl w:ilvl="0" w:tplc="0409000F">
      <w:start w:val="1"/>
      <w:numFmt w:val="decimal"/>
      <w:lvlText w:val="%1."/>
      <w:lvlJc w:val="left"/>
      <w:pPr>
        <w:ind w:left="1614"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0D5534B3"/>
    <w:multiLevelType w:val="multilevel"/>
    <w:tmpl w:val="F492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E3C46"/>
    <w:multiLevelType w:val="hybridMultilevel"/>
    <w:tmpl w:val="D81EB80A"/>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0E9763AC"/>
    <w:multiLevelType w:val="hybridMultilevel"/>
    <w:tmpl w:val="AC188B7E"/>
    <w:lvl w:ilvl="0" w:tplc="8C2840A6">
      <w:start w:val="1"/>
      <w:numFmt w:val="taiwaneseCountingThousand"/>
      <w:lvlText w:val="第%1節"/>
      <w:lvlJc w:val="left"/>
      <w:pPr>
        <w:ind w:left="1128" w:hanging="11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714E46"/>
    <w:multiLevelType w:val="hybridMultilevel"/>
    <w:tmpl w:val="17A80BE4"/>
    <w:lvl w:ilvl="0" w:tplc="A1C6B930">
      <w:start w:val="1"/>
      <w:numFmt w:val="taiwaneseCountingThousand"/>
      <w:pStyle w:val="1"/>
      <w:lvlText w:val="第%1章"/>
      <w:lvlJc w:val="left"/>
      <w:pPr>
        <w:ind w:left="1284" w:hanging="1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8E0537"/>
    <w:multiLevelType w:val="hybridMultilevel"/>
    <w:tmpl w:val="56243A6C"/>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3F0050A"/>
    <w:multiLevelType w:val="hybridMultilevel"/>
    <w:tmpl w:val="F5320A22"/>
    <w:lvl w:ilvl="0" w:tplc="0409001B">
      <w:start w:val="1"/>
      <w:numFmt w:val="lowerRoman"/>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40A6CD2"/>
    <w:multiLevelType w:val="hybridMultilevel"/>
    <w:tmpl w:val="FBD24810"/>
    <w:lvl w:ilvl="0" w:tplc="0409001B">
      <w:start w:val="1"/>
      <w:numFmt w:val="lowerRoman"/>
      <w:lvlText w:val="%1."/>
      <w:lvlJc w:val="righ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15692097"/>
    <w:multiLevelType w:val="hybridMultilevel"/>
    <w:tmpl w:val="340C2632"/>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16F56E57"/>
    <w:multiLevelType w:val="hybridMultilevel"/>
    <w:tmpl w:val="216E027C"/>
    <w:lvl w:ilvl="0" w:tplc="53D8E732">
      <w:start w:val="1"/>
      <w:numFmt w:val="taiwaneseCountingThousand"/>
      <w:lvlText w:val="(%1)"/>
      <w:lvlJc w:val="left"/>
      <w:pPr>
        <w:ind w:left="1331" w:hanging="480"/>
      </w:pPr>
      <w:rPr>
        <w:rFonts w:hint="eastAsia"/>
      </w:rPr>
    </w:lvl>
    <w:lvl w:ilvl="1" w:tplc="472001C8">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nsid w:val="18745182"/>
    <w:multiLevelType w:val="hybridMultilevel"/>
    <w:tmpl w:val="F26264D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C4021B"/>
    <w:multiLevelType w:val="multilevel"/>
    <w:tmpl w:val="E15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D20FE5"/>
    <w:multiLevelType w:val="multilevel"/>
    <w:tmpl w:val="F2F8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902B56"/>
    <w:multiLevelType w:val="multilevel"/>
    <w:tmpl w:val="7066932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EFB3D59"/>
    <w:multiLevelType w:val="hybridMultilevel"/>
    <w:tmpl w:val="A23C4EEC"/>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1">
    <w:nsid w:val="1F8734C6"/>
    <w:multiLevelType w:val="hybridMultilevel"/>
    <w:tmpl w:val="7C7041FC"/>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24212FC5"/>
    <w:multiLevelType w:val="hybridMultilevel"/>
    <w:tmpl w:val="923A378C"/>
    <w:lvl w:ilvl="0" w:tplc="53D8E732">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5C40191"/>
    <w:multiLevelType w:val="hybridMultilevel"/>
    <w:tmpl w:val="6DB2DEE2"/>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4">
    <w:nsid w:val="261645C1"/>
    <w:multiLevelType w:val="hybridMultilevel"/>
    <w:tmpl w:val="EB9EACE0"/>
    <w:lvl w:ilvl="0" w:tplc="0409000F">
      <w:start w:val="1"/>
      <w:numFmt w:val="decimal"/>
      <w:lvlText w:val="%1."/>
      <w:lvlJc w:val="left"/>
      <w:pPr>
        <w:ind w:left="133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6555582"/>
    <w:multiLevelType w:val="hybridMultilevel"/>
    <w:tmpl w:val="CE948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A430A4F"/>
    <w:multiLevelType w:val="hybridMultilevel"/>
    <w:tmpl w:val="D81EB80A"/>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2B307B4C"/>
    <w:multiLevelType w:val="hybridMultilevel"/>
    <w:tmpl w:val="D33C22CC"/>
    <w:lvl w:ilvl="0" w:tplc="CC4C04A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2B5528ED"/>
    <w:multiLevelType w:val="hybridMultilevel"/>
    <w:tmpl w:val="7F1CF0E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2C0914CD"/>
    <w:multiLevelType w:val="hybridMultilevel"/>
    <w:tmpl w:val="3D3C9464"/>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0">
    <w:nsid w:val="2CA86323"/>
    <w:multiLevelType w:val="hybridMultilevel"/>
    <w:tmpl w:val="01A8FE06"/>
    <w:lvl w:ilvl="0" w:tplc="DB62F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5E67BB9"/>
    <w:multiLevelType w:val="multilevel"/>
    <w:tmpl w:val="20A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DE3C8C"/>
    <w:multiLevelType w:val="hybridMultilevel"/>
    <w:tmpl w:val="3C2858F4"/>
    <w:lvl w:ilvl="0" w:tplc="AA587D1A">
      <w:start w:val="1"/>
      <w:numFmt w:val="decimal"/>
      <w:lvlText w:val="(%1)"/>
      <w:lvlJc w:val="left"/>
      <w:pPr>
        <w:ind w:left="1440" w:hanging="480"/>
      </w:pPr>
      <w:rPr>
        <w:rFonts w:cs="Times New Roman" w:hint="default"/>
      </w:rPr>
    </w:lvl>
    <w:lvl w:ilvl="1" w:tplc="AA587D1A">
      <w:start w:val="1"/>
      <w:numFmt w:val="decimal"/>
      <w:lvlText w:val="(%2)"/>
      <w:lvlJc w:val="left"/>
      <w:pPr>
        <w:ind w:left="1920" w:hanging="480"/>
      </w:pPr>
      <w:rPr>
        <w:rFonts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3AF16DF3"/>
    <w:multiLevelType w:val="hybridMultilevel"/>
    <w:tmpl w:val="3C2858F4"/>
    <w:lvl w:ilvl="0" w:tplc="AA587D1A">
      <w:start w:val="1"/>
      <w:numFmt w:val="decimal"/>
      <w:lvlText w:val="(%1)"/>
      <w:lvlJc w:val="left"/>
      <w:pPr>
        <w:ind w:left="1440" w:hanging="480"/>
      </w:pPr>
      <w:rPr>
        <w:rFonts w:cs="Times New Roman" w:hint="default"/>
      </w:rPr>
    </w:lvl>
    <w:lvl w:ilvl="1" w:tplc="AA587D1A">
      <w:start w:val="1"/>
      <w:numFmt w:val="decimal"/>
      <w:lvlText w:val="(%2)"/>
      <w:lvlJc w:val="left"/>
      <w:pPr>
        <w:ind w:left="1920" w:hanging="480"/>
      </w:pPr>
      <w:rPr>
        <w:rFonts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3B1973CC"/>
    <w:multiLevelType w:val="hybridMultilevel"/>
    <w:tmpl w:val="FE7C8E36"/>
    <w:lvl w:ilvl="0" w:tplc="0409000F">
      <w:start w:val="1"/>
      <w:numFmt w:val="decimal"/>
      <w:lvlText w:val="%1."/>
      <w:lvlJc w:val="left"/>
      <w:pPr>
        <w:ind w:left="1473" w:hanging="480"/>
      </w:pPr>
    </w:lvl>
    <w:lvl w:ilvl="1" w:tplc="457ABA0C">
      <w:start w:val="1"/>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nsid w:val="3B5444B1"/>
    <w:multiLevelType w:val="hybridMultilevel"/>
    <w:tmpl w:val="7F1CF0E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3BFD274E"/>
    <w:multiLevelType w:val="hybridMultilevel"/>
    <w:tmpl w:val="D1647F0A"/>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3C66663D"/>
    <w:multiLevelType w:val="hybridMultilevel"/>
    <w:tmpl w:val="0728E20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CA24CA5"/>
    <w:multiLevelType w:val="hybridMultilevel"/>
    <w:tmpl w:val="21FAFD8C"/>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401D50C0"/>
    <w:multiLevelType w:val="hybridMultilevel"/>
    <w:tmpl w:val="D3AE3BC4"/>
    <w:lvl w:ilvl="0" w:tplc="CC4C04A6">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41C43BFC"/>
    <w:multiLevelType w:val="hybridMultilevel"/>
    <w:tmpl w:val="F9A03B2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29638F6"/>
    <w:multiLevelType w:val="multilevel"/>
    <w:tmpl w:val="D64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3961A05"/>
    <w:multiLevelType w:val="hybridMultilevel"/>
    <w:tmpl w:val="E51A99A2"/>
    <w:lvl w:ilvl="0" w:tplc="04090001">
      <w:start w:val="1"/>
      <w:numFmt w:val="bullet"/>
      <w:lvlText w:val=""/>
      <w:lvlJc w:val="left"/>
      <w:pPr>
        <w:ind w:left="1331" w:hanging="480"/>
      </w:pPr>
      <w:rPr>
        <w:rFonts w:ascii="Symbol" w:hAnsi="Symbol"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3">
    <w:nsid w:val="43E97752"/>
    <w:multiLevelType w:val="hybridMultilevel"/>
    <w:tmpl w:val="8DE616E8"/>
    <w:lvl w:ilvl="0" w:tplc="04090015">
      <w:start w:val="1"/>
      <w:numFmt w:val="taiwaneseCountingThousand"/>
      <w:lvlText w:val="%1、"/>
      <w:lvlJc w:val="left"/>
      <w:pPr>
        <w:tabs>
          <w:tab w:val="num" w:pos="622"/>
        </w:tabs>
        <w:ind w:left="622" w:hanging="480"/>
      </w:pPr>
      <w:rPr>
        <w:rFonts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44">
    <w:nsid w:val="458A1190"/>
    <w:multiLevelType w:val="hybridMultilevel"/>
    <w:tmpl w:val="216E027C"/>
    <w:lvl w:ilvl="0" w:tplc="53D8E732">
      <w:start w:val="1"/>
      <w:numFmt w:val="taiwaneseCountingThousand"/>
      <w:lvlText w:val="(%1)"/>
      <w:lvlJc w:val="left"/>
      <w:pPr>
        <w:ind w:left="1331" w:hanging="480"/>
      </w:pPr>
      <w:rPr>
        <w:rFonts w:hint="eastAsia"/>
      </w:rPr>
    </w:lvl>
    <w:lvl w:ilvl="1" w:tplc="472001C8">
      <w:start w:val="1"/>
      <w:numFmt w:val="decimal"/>
      <w:lvlText w:val="%2."/>
      <w:lvlJc w:val="left"/>
      <w:pPr>
        <w:ind w:left="1691" w:hanging="36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nsid w:val="46B711EF"/>
    <w:multiLevelType w:val="hybridMultilevel"/>
    <w:tmpl w:val="6BEC96AE"/>
    <w:lvl w:ilvl="0" w:tplc="CC4C04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A154674"/>
    <w:multiLevelType w:val="hybridMultilevel"/>
    <w:tmpl w:val="2D3CBC60"/>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7">
    <w:nsid w:val="4C2B50DE"/>
    <w:multiLevelType w:val="hybridMultilevel"/>
    <w:tmpl w:val="22CA03E6"/>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8">
    <w:nsid w:val="4E6A08E4"/>
    <w:multiLevelType w:val="hybridMultilevel"/>
    <w:tmpl w:val="8DBE32D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9">
    <w:nsid w:val="4F041B1F"/>
    <w:multiLevelType w:val="hybridMultilevel"/>
    <w:tmpl w:val="CEE22BCA"/>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nsid w:val="53E71077"/>
    <w:multiLevelType w:val="multilevel"/>
    <w:tmpl w:val="C308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5F61367"/>
    <w:multiLevelType w:val="multilevel"/>
    <w:tmpl w:val="2D90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483B71"/>
    <w:multiLevelType w:val="hybridMultilevel"/>
    <w:tmpl w:val="29C83AF6"/>
    <w:lvl w:ilvl="0" w:tplc="55122958">
      <w:start w:val="1"/>
      <w:numFmt w:val="taiwaneseCountingThousand"/>
      <w:lvlText w:val="%1、"/>
      <w:lvlJc w:val="left"/>
      <w:pPr>
        <w:tabs>
          <w:tab w:val="num" w:pos="764"/>
        </w:tabs>
        <w:ind w:left="764" w:hanging="480"/>
      </w:pPr>
      <w:rPr>
        <w:rFonts w:hint="default"/>
        <w:b/>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53">
    <w:nsid w:val="57FF11E1"/>
    <w:multiLevelType w:val="hybridMultilevel"/>
    <w:tmpl w:val="43D6D872"/>
    <w:lvl w:ilvl="0" w:tplc="1F0EA512">
      <w:start w:val="1"/>
      <w:numFmt w:val="decimal"/>
      <w:lvlText w:val="%1."/>
      <w:lvlJc w:val="left"/>
      <w:pPr>
        <w:ind w:left="840" w:hanging="360"/>
      </w:pPr>
      <w:rPr>
        <w:rFonts w:cs="ZWAdobeF"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4">
    <w:nsid w:val="614134EA"/>
    <w:multiLevelType w:val="hybridMultilevel"/>
    <w:tmpl w:val="231A26DE"/>
    <w:lvl w:ilvl="0" w:tplc="04090015">
      <w:start w:val="1"/>
      <w:numFmt w:val="taiwaneseCountingThousand"/>
      <w:lvlText w:val="%1、"/>
      <w:lvlJc w:val="left"/>
      <w:pPr>
        <w:tabs>
          <w:tab w:val="num" w:pos="1380"/>
        </w:tabs>
        <w:ind w:left="1380" w:hanging="480"/>
      </w:pPr>
      <w:rPr>
        <w:rFonts w:hint="default"/>
      </w:rPr>
    </w:lvl>
    <w:lvl w:ilvl="1" w:tplc="0409000F">
      <w:start w:val="1"/>
      <w:numFmt w:val="decimal"/>
      <w:lvlText w:val="%2."/>
      <w:lvlJc w:val="left"/>
      <w:pPr>
        <w:tabs>
          <w:tab w:val="num" w:pos="2100"/>
        </w:tabs>
        <w:ind w:left="2100" w:hanging="720"/>
      </w:pPr>
      <w:rPr>
        <w:rFonts w:hint="eastAsia"/>
      </w:rPr>
    </w:lvl>
    <w:lvl w:ilvl="2" w:tplc="0409000F">
      <w:start w:val="1"/>
      <w:numFmt w:val="decimal"/>
      <w:lvlText w:val="%3."/>
      <w:lvlJc w:val="lef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55">
    <w:nsid w:val="651C2C27"/>
    <w:multiLevelType w:val="hybridMultilevel"/>
    <w:tmpl w:val="2E96BC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6C01C6D"/>
    <w:multiLevelType w:val="hybridMultilevel"/>
    <w:tmpl w:val="F26264D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685541FD"/>
    <w:multiLevelType w:val="hybridMultilevel"/>
    <w:tmpl w:val="2E96BC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8C06B1F"/>
    <w:multiLevelType w:val="hybridMultilevel"/>
    <w:tmpl w:val="D33C22CC"/>
    <w:lvl w:ilvl="0" w:tplc="CC4C04A6">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9">
    <w:nsid w:val="69C90D1E"/>
    <w:multiLevelType w:val="multilevel"/>
    <w:tmpl w:val="BCB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FE2039"/>
    <w:multiLevelType w:val="hybridMultilevel"/>
    <w:tmpl w:val="A25E863C"/>
    <w:lvl w:ilvl="0" w:tplc="0409001B">
      <w:start w:val="1"/>
      <w:numFmt w:val="lowerRoman"/>
      <w:lvlText w:val="%1."/>
      <w:lvlJc w:val="right"/>
      <w:pPr>
        <w:ind w:left="1660" w:hanging="480"/>
      </w:pPr>
    </w:lvl>
    <w:lvl w:ilvl="1" w:tplc="04090019" w:tentative="1">
      <w:start w:val="1"/>
      <w:numFmt w:val="ideographTraditional"/>
      <w:lvlText w:val="%2、"/>
      <w:lvlJc w:val="left"/>
      <w:pPr>
        <w:ind w:left="2140" w:hanging="480"/>
      </w:pPr>
    </w:lvl>
    <w:lvl w:ilvl="2" w:tplc="0409001B" w:tentative="1">
      <w:start w:val="1"/>
      <w:numFmt w:val="lowerRoman"/>
      <w:lvlText w:val="%3."/>
      <w:lvlJc w:val="right"/>
      <w:pPr>
        <w:ind w:left="2620" w:hanging="480"/>
      </w:pPr>
    </w:lvl>
    <w:lvl w:ilvl="3" w:tplc="0409000F" w:tentative="1">
      <w:start w:val="1"/>
      <w:numFmt w:val="decimal"/>
      <w:lvlText w:val="%4."/>
      <w:lvlJc w:val="left"/>
      <w:pPr>
        <w:ind w:left="3100" w:hanging="480"/>
      </w:pPr>
    </w:lvl>
    <w:lvl w:ilvl="4" w:tplc="04090019" w:tentative="1">
      <w:start w:val="1"/>
      <w:numFmt w:val="ideographTraditional"/>
      <w:lvlText w:val="%5、"/>
      <w:lvlJc w:val="left"/>
      <w:pPr>
        <w:ind w:left="3580" w:hanging="480"/>
      </w:pPr>
    </w:lvl>
    <w:lvl w:ilvl="5" w:tplc="0409001B" w:tentative="1">
      <w:start w:val="1"/>
      <w:numFmt w:val="lowerRoman"/>
      <w:lvlText w:val="%6."/>
      <w:lvlJc w:val="right"/>
      <w:pPr>
        <w:ind w:left="4060" w:hanging="480"/>
      </w:pPr>
    </w:lvl>
    <w:lvl w:ilvl="6" w:tplc="0409000F" w:tentative="1">
      <w:start w:val="1"/>
      <w:numFmt w:val="decimal"/>
      <w:lvlText w:val="%7."/>
      <w:lvlJc w:val="left"/>
      <w:pPr>
        <w:ind w:left="4540" w:hanging="480"/>
      </w:pPr>
    </w:lvl>
    <w:lvl w:ilvl="7" w:tplc="04090019" w:tentative="1">
      <w:start w:val="1"/>
      <w:numFmt w:val="ideographTraditional"/>
      <w:lvlText w:val="%8、"/>
      <w:lvlJc w:val="left"/>
      <w:pPr>
        <w:ind w:left="5020" w:hanging="480"/>
      </w:pPr>
    </w:lvl>
    <w:lvl w:ilvl="8" w:tplc="0409001B" w:tentative="1">
      <w:start w:val="1"/>
      <w:numFmt w:val="lowerRoman"/>
      <w:lvlText w:val="%9."/>
      <w:lvlJc w:val="right"/>
      <w:pPr>
        <w:ind w:left="5500" w:hanging="480"/>
      </w:pPr>
    </w:lvl>
  </w:abstractNum>
  <w:abstractNum w:abstractNumId="61">
    <w:nsid w:val="70D73106"/>
    <w:multiLevelType w:val="hybridMultilevel"/>
    <w:tmpl w:val="D6925046"/>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791605CD"/>
    <w:multiLevelType w:val="hybridMultilevel"/>
    <w:tmpl w:val="88BAC3E4"/>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7D3121B7"/>
    <w:multiLevelType w:val="hybridMultilevel"/>
    <w:tmpl w:val="8EC83314"/>
    <w:lvl w:ilvl="0" w:tplc="53D8E73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nsid w:val="7E1C3B2A"/>
    <w:multiLevelType w:val="hybridMultilevel"/>
    <w:tmpl w:val="4D204ECE"/>
    <w:lvl w:ilvl="0" w:tplc="254E888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4"/>
  </w:num>
  <w:num w:numId="2">
    <w:abstractNumId w:val="10"/>
  </w:num>
  <w:num w:numId="3">
    <w:abstractNumId w:val="31"/>
  </w:num>
  <w:num w:numId="4">
    <w:abstractNumId w:val="51"/>
  </w:num>
  <w:num w:numId="5">
    <w:abstractNumId w:val="7"/>
  </w:num>
  <w:num w:numId="6">
    <w:abstractNumId w:val="17"/>
  </w:num>
  <w:num w:numId="7">
    <w:abstractNumId w:val="18"/>
  </w:num>
  <w:num w:numId="8">
    <w:abstractNumId w:val="50"/>
  </w:num>
  <w:num w:numId="9">
    <w:abstractNumId w:val="0"/>
  </w:num>
  <w:num w:numId="10">
    <w:abstractNumId w:val="59"/>
  </w:num>
  <w:num w:numId="11">
    <w:abstractNumId w:val="41"/>
  </w:num>
  <w:num w:numId="12">
    <w:abstractNumId w:val="53"/>
  </w:num>
  <w:num w:numId="13">
    <w:abstractNumId w:val="47"/>
  </w:num>
  <w:num w:numId="14">
    <w:abstractNumId w:val="23"/>
  </w:num>
  <w:num w:numId="15">
    <w:abstractNumId w:val="20"/>
  </w:num>
  <w:num w:numId="16">
    <w:abstractNumId w:val="29"/>
  </w:num>
  <w:num w:numId="17">
    <w:abstractNumId w:val="46"/>
  </w:num>
  <w:num w:numId="18">
    <w:abstractNumId w:val="3"/>
  </w:num>
  <w:num w:numId="19">
    <w:abstractNumId w:val="19"/>
  </w:num>
  <w:num w:numId="20">
    <w:abstractNumId w:val="2"/>
  </w:num>
  <w:num w:numId="21">
    <w:abstractNumId w:val="42"/>
  </w:num>
  <w:num w:numId="22">
    <w:abstractNumId w:val="1"/>
  </w:num>
  <w:num w:numId="23">
    <w:abstractNumId w:val="43"/>
  </w:num>
  <w:num w:numId="24">
    <w:abstractNumId w:val="9"/>
  </w:num>
  <w:num w:numId="25">
    <w:abstractNumId w:val="49"/>
  </w:num>
  <w:num w:numId="26">
    <w:abstractNumId w:val="52"/>
  </w:num>
  <w:num w:numId="27">
    <w:abstractNumId w:val="61"/>
  </w:num>
  <w:num w:numId="28">
    <w:abstractNumId w:val="24"/>
  </w:num>
  <w:num w:numId="29">
    <w:abstractNumId w:val="35"/>
  </w:num>
  <w:num w:numId="30">
    <w:abstractNumId w:val="36"/>
  </w:num>
  <w:num w:numId="31">
    <w:abstractNumId w:val="60"/>
  </w:num>
  <w:num w:numId="32">
    <w:abstractNumId w:val="13"/>
  </w:num>
  <w:num w:numId="33">
    <w:abstractNumId w:val="34"/>
  </w:num>
  <w:num w:numId="34">
    <w:abstractNumId w:val="12"/>
  </w:num>
  <w:num w:numId="35">
    <w:abstractNumId w:val="63"/>
  </w:num>
  <w:num w:numId="36">
    <w:abstractNumId w:val="25"/>
  </w:num>
  <w:num w:numId="37">
    <w:abstractNumId w:val="57"/>
  </w:num>
  <w:num w:numId="38">
    <w:abstractNumId w:val="5"/>
  </w:num>
  <w:num w:numId="39">
    <w:abstractNumId w:val="28"/>
  </w:num>
  <w:num w:numId="40">
    <w:abstractNumId w:val="11"/>
  </w:num>
  <w:num w:numId="41">
    <w:abstractNumId w:val="37"/>
  </w:num>
  <w:num w:numId="42">
    <w:abstractNumId w:val="56"/>
  </w:num>
  <w:num w:numId="43">
    <w:abstractNumId w:val="14"/>
  </w:num>
  <w:num w:numId="44">
    <w:abstractNumId w:val="54"/>
  </w:num>
  <w:num w:numId="45">
    <w:abstractNumId w:val="55"/>
  </w:num>
  <w:num w:numId="46">
    <w:abstractNumId w:val="4"/>
  </w:num>
  <w:num w:numId="47">
    <w:abstractNumId w:val="40"/>
  </w:num>
  <w:num w:numId="48">
    <w:abstractNumId w:val="62"/>
  </w:num>
  <w:num w:numId="49">
    <w:abstractNumId w:val="21"/>
  </w:num>
  <w:num w:numId="50">
    <w:abstractNumId w:val="39"/>
  </w:num>
  <w:num w:numId="51">
    <w:abstractNumId w:val="8"/>
  </w:num>
  <w:num w:numId="52">
    <w:abstractNumId w:val="26"/>
  </w:num>
  <w:num w:numId="53">
    <w:abstractNumId w:val="45"/>
  </w:num>
  <w:num w:numId="54">
    <w:abstractNumId w:val="16"/>
  </w:num>
  <w:num w:numId="55">
    <w:abstractNumId w:val="38"/>
  </w:num>
  <w:num w:numId="56">
    <w:abstractNumId w:val="30"/>
  </w:num>
  <w:num w:numId="57">
    <w:abstractNumId w:val="15"/>
  </w:num>
  <w:num w:numId="58">
    <w:abstractNumId w:val="48"/>
  </w:num>
  <w:num w:numId="59">
    <w:abstractNumId w:val="6"/>
  </w:num>
  <w:num w:numId="60">
    <w:abstractNumId w:val="27"/>
  </w:num>
  <w:num w:numId="61">
    <w:abstractNumId w:val="58"/>
  </w:num>
  <w:num w:numId="62">
    <w:abstractNumId w:val="33"/>
  </w:num>
  <w:num w:numId="63">
    <w:abstractNumId w:val="32"/>
  </w:num>
  <w:num w:numId="64">
    <w:abstractNumId w:val="44"/>
  </w:num>
  <w:num w:numId="65">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8A"/>
    <w:rsid w:val="0000160E"/>
    <w:rsid w:val="000130AD"/>
    <w:rsid w:val="000310EE"/>
    <w:rsid w:val="00042520"/>
    <w:rsid w:val="000468C5"/>
    <w:rsid w:val="0005372B"/>
    <w:rsid w:val="000667AA"/>
    <w:rsid w:val="00066BB9"/>
    <w:rsid w:val="000755D9"/>
    <w:rsid w:val="000811E4"/>
    <w:rsid w:val="000843D4"/>
    <w:rsid w:val="0008694B"/>
    <w:rsid w:val="00093C20"/>
    <w:rsid w:val="000D2732"/>
    <w:rsid w:val="000D2ABD"/>
    <w:rsid w:val="00103979"/>
    <w:rsid w:val="00104AEE"/>
    <w:rsid w:val="00113F6F"/>
    <w:rsid w:val="00115143"/>
    <w:rsid w:val="00137057"/>
    <w:rsid w:val="00141FE6"/>
    <w:rsid w:val="00146F90"/>
    <w:rsid w:val="00166027"/>
    <w:rsid w:val="0017032D"/>
    <w:rsid w:val="001724BA"/>
    <w:rsid w:val="001744B8"/>
    <w:rsid w:val="001A1452"/>
    <w:rsid w:val="001A6636"/>
    <w:rsid w:val="001A7743"/>
    <w:rsid w:val="001C0B3E"/>
    <w:rsid w:val="001D0DCB"/>
    <w:rsid w:val="001E1018"/>
    <w:rsid w:val="001E66D3"/>
    <w:rsid w:val="001F382A"/>
    <w:rsid w:val="001F4E2B"/>
    <w:rsid w:val="001F5506"/>
    <w:rsid w:val="00201FBC"/>
    <w:rsid w:val="00204CCF"/>
    <w:rsid w:val="00206821"/>
    <w:rsid w:val="00226BEF"/>
    <w:rsid w:val="00227894"/>
    <w:rsid w:val="00241B42"/>
    <w:rsid w:val="002421A1"/>
    <w:rsid w:val="00243334"/>
    <w:rsid w:val="002520BB"/>
    <w:rsid w:val="0025575E"/>
    <w:rsid w:val="002577F3"/>
    <w:rsid w:val="002618A4"/>
    <w:rsid w:val="00267FBF"/>
    <w:rsid w:val="002707AE"/>
    <w:rsid w:val="00273E7B"/>
    <w:rsid w:val="00294E7B"/>
    <w:rsid w:val="002A717D"/>
    <w:rsid w:val="002C3EEF"/>
    <w:rsid w:val="002C7A95"/>
    <w:rsid w:val="002D403E"/>
    <w:rsid w:val="002E1A03"/>
    <w:rsid w:val="002E2BD2"/>
    <w:rsid w:val="002F34C4"/>
    <w:rsid w:val="003002E4"/>
    <w:rsid w:val="00312D89"/>
    <w:rsid w:val="00316105"/>
    <w:rsid w:val="003230DA"/>
    <w:rsid w:val="0033577E"/>
    <w:rsid w:val="00336AC7"/>
    <w:rsid w:val="00342C69"/>
    <w:rsid w:val="003744CE"/>
    <w:rsid w:val="00380AB7"/>
    <w:rsid w:val="00383905"/>
    <w:rsid w:val="00385CBB"/>
    <w:rsid w:val="00393170"/>
    <w:rsid w:val="00397647"/>
    <w:rsid w:val="003A4400"/>
    <w:rsid w:val="003A76B1"/>
    <w:rsid w:val="003B39CD"/>
    <w:rsid w:val="003D4A48"/>
    <w:rsid w:val="003D56EE"/>
    <w:rsid w:val="003E29FF"/>
    <w:rsid w:val="003F5DFD"/>
    <w:rsid w:val="00400FAA"/>
    <w:rsid w:val="00401986"/>
    <w:rsid w:val="00414686"/>
    <w:rsid w:val="004203E3"/>
    <w:rsid w:val="004363CB"/>
    <w:rsid w:val="00440BF3"/>
    <w:rsid w:val="004516EF"/>
    <w:rsid w:val="00453059"/>
    <w:rsid w:val="004555F5"/>
    <w:rsid w:val="00467FD2"/>
    <w:rsid w:val="00495E57"/>
    <w:rsid w:val="004A2C51"/>
    <w:rsid w:val="004A658C"/>
    <w:rsid w:val="004B35DC"/>
    <w:rsid w:val="004F3677"/>
    <w:rsid w:val="004F7F35"/>
    <w:rsid w:val="0051054B"/>
    <w:rsid w:val="0051356D"/>
    <w:rsid w:val="00514980"/>
    <w:rsid w:val="005229EC"/>
    <w:rsid w:val="00523777"/>
    <w:rsid w:val="00526CA7"/>
    <w:rsid w:val="00537F9C"/>
    <w:rsid w:val="00540FD6"/>
    <w:rsid w:val="00566BAB"/>
    <w:rsid w:val="005745A3"/>
    <w:rsid w:val="00587DB0"/>
    <w:rsid w:val="005A503C"/>
    <w:rsid w:val="005C2E43"/>
    <w:rsid w:val="005D146E"/>
    <w:rsid w:val="005D46EB"/>
    <w:rsid w:val="005E176C"/>
    <w:rsid w:val="005F1934"/>
    <w:rsid w:val="00621569"/>
    <w:rsid w:val="00623AEE"/>
    <w:rsid w:val="00626BC6"/>
    <w:rsid w:val="00632DA9"/>
    <w:rsid w:val="00650B63"/>
    <w:rsid w:val="006541D1"/>
    <w:rsid w:val="006606AD"/>
    <w:rsid w:val="0067620E"/>
    <w:rsid w:val="00677D33"/>
    <w:rsid w:val="0069078A"/>
    <w:rsid w:val="006920D1"/>
    <w:rsid w:val="006B5A1C"/>
    <w:rsid w:val="006C706C"/>
    <w:rsid w:val="006E02C1"/>
    <w:rsid w:val="007131BD"/>
    <w:rsid w:val="00716FA5"/>
    <w:rsid w:val="00717DD4"/>
    <w:rsid w:val="00736108"/>
    <w:rsid w:val="00737A4D"/>
    <w:rsid w:val="00742897"/>
    <w:rsid w:val="00745A8B"/>
    <w:rsid w:val="0074601E"/>
    <w:rsid w:val="0075114D"/>
    <w:rsid w:val="00755124"/>
    <w:rsid w:val="00762F8D"/>
    <w:rsid w:val="0076505C"/>
    <w:rsid w:val="00770533"/>
    <w:rsid w:val="0078456D"/>
    <w:rsid w:val="00795583"/>
    <w:rsid w:val="007A06E3"/>
    <w:rsid w:val="007A49F2"/>
    <w:rsid w:val="007B64FC"/>
    <w:rsid w:val="007E1A52"/>
    <w:rsid w:val="007E4B40"/>
    <w:rsid w:val="00804DB5"/>
    <w:rsid w:val="00840A7B"/>
    <w:rsid w:val="00842747"/>
    <w:rsid w:val="00861790"/>
    <w:rsid w:val="0087609B"/>
    <w:rsid w:val="0088178D"/>
    <w:rsid w:val="00883ED0"/>
    <w:rsid w:val="00890624"/>
    <w:rsid w:val="008A37E2"/>
    <w:rsid w:val="008A5BCB"/>
    <w:rsid w:val="008B5DE7"/>
    <w:rsid w:val="008B6F83"/>
    <w:rsid w:val="008C00BB"/>
    <w:rsid w:val="008C7C8C"/>
    <w:rsid w:val="008D38CC"/>
    <w:rsid w:val="008D7065"/>
    <w:rsid w:val="008E46E6"/>
    <w:rsid w:val="008F4338"/>
    <w:rsid w:val="00915CDF"/>
    <w:rsid w:val="00927578"/>
    <w:rsid w:val="00940669"/>
    <w:rsid w:val="009446DD"/>
    <w:rsid w:val="009516D3"/>
    <w:rsid w:val="00955810"/>
    <w:rsid w:val="00976104"/>
    <w:rsid w:val="00994304"/>
    <w:rsid w:val="009B21D0"/>
    <w:rsid w:val="009C213A"/>
    <w:rsid w:val="009C6045"/>
    <w:rsid w:val="009D3025"/>
    <w:rsid w:val="009E118F"/>
    <w:rsid w:val="009E70EC"/>
    <w:rsid w:val="00A000E6"/>
    <w:rsid w:val="00A04BC4"/>
    <w:rsid w:val="00A13DD3"/>
    <w:rsid w:val="00A144B8"/>
    <w:rsid w:val="00A17698"/>
    <w:rsid w:val="00A17E94"/>
    <w:rsid w:val="00A201A4"/>
    <w:rsid w:val="00A22407"/>
    <w:rsid w:val="00A32A9A"/>
    <w:rsid w:val="00A40B17"/>
    <w:rsid w:val="00A70787"/>
    <w:rsid w:val="00A86714"/>
    <w:rsid w:val="00A971AA"/>
    <w:rsid w:val="00A97357"/>
    <w:rsid w:val="00AA695E"/>
    <w:rsid w:val="00AB74E1"/>
    <w:rsid w:val="00AD2641"/>
    <w:rsid w:val="00AD7B85"/>
    <w:rsid w:val="00AE0727"/>
    <w:rsid w:val="00AF2358"/>
    <w:rsid w:val="00AF7E92"/>
    <w:rsid w:val="00B01330"/>
    <w:rsid w:val="00B038E2"/>
    <w:rsid w:val="00B04850"/>
    <w:rsid w:val="00B1019A"/>
    <w:rsid w:val="00B14328"/>
    <w:rsid w:val="00B579A0"/>
    <w:rsid w:val="00B6733D"/>
    <w:rsid w:val="00B7574E"/>
    <w:rsid w:val="00B768CE"/>
    <w:rsid w:val="00B84C8C"/>
    <w:rsid w:val="00B93ADC"/>
    <w:rsid w:val="00B95BB1"/>
    <w:rsid w:val="00BB51AF"/>
    <w:rsid w:val="00BC5838"/>
    <w:rsid w:val="00BD2211"/>
    <w:rsid w:val="00BF1385"/>
    <w:rsid w:val="00BF5DA0"/>
    <w:rsid w:val="00C005DC"/>
    <w:rsid w:val="00C12326"/>
    <w:rsid w:val="00C4669D"/>
    <w:rsid w:val="00C610E5"/>
    <w:rsid w:val="00C63A01"/>
    <w:rsid w:val="00C67C61"/>
    <w:rsid w:val="00C67F54"/>
    <w:rsid w:val="00C7119B"/>
    <w:rsid w:val="00C77635"/>
    <w:rsid w:val="00C92A68"/>
    <w:rsid w:val="00CA0593"/>
    <w:rsid w:val="00CA48CA"/>
    <w:rsid w:val="00CB38A9"/>
    <w:rsid w:val="00CB6C11"/>
    <w:rsid w:val="00CC126D"/>
    <w:rsid w:val="00CC359E"/>
    <w:rsid w:val="00CC4D20"/>
    <w:rsid w:val="00CD4306"/>
    <w:rsid w:val="00CE0B2F"/>
    <w:rsid w:val="00CF0912"/>
    <w:rsid w:val="00CF5740"/>
    <w:rsid w:val="00D00F3C"/>
    <w:rsid w:val="00D03EE4"/>
    <w:rsid w:val="00D106CE"/>
    <w:rsid w:val="00D1618E"/>
    <w:rsid w:val="00D20D5D"/>
    <w:rsid w:val="00D250BD"/>
    <w:rsid w:val="00D25D34"/>
    <w:rsid w:val="00D27ED0"/>
    <w:rsid w:val="00D376CE"/>
    <w:rsid w:val="00D4227D"/>
    <w:rsid w:val="00D44B2D"/>
    <w:rsid w:val="00D576FB"/>
    <w:rsid w:val="00D6229B"/>
    <w:rsid w:val="00D80A62"/>
    <w:rsid w:val="00D86796"/>
    <w:rsid w:val="00D87576"/>
    <w:rsid w:val="00DA23D3"/>
    <w:rsid w:val="00DC370D"/>
    <w:rsid w:val="00DE53A1"/>
    <w:rsid w:val="00DE5404"/>
    <w:rsid w:val="00E01530"/>
    <w:rsid w:val="00E028D5"/>
    <w:rsid w:val="00E11061"/>
    <w:rsid w:val="00E21DED"/>
    <w:rsid w:val="00E2531C"/>
    <w:rsid w:val="00E37467"/>
    <w:rsid w:val="00E44561"/>
    <w:rsid w:val="00E83BC2"/>
    <w:rsid w:val="00E92467"/>
    <w:rsid w:val="00E94B9A"/>
    <w:rsid w:val="00EA68E1"/>
    <w:rsid w:val="00EB32E7"/>
    <w:rsid w:val="00EB7110"/>
    <w:rsid w:val="00EC1B00"/>
    <w:rsid w:val="00EC548A"/>
    <w:rsid w:val="00ED21EE"/>
    <w:rsid w:val="00EE5A2E"/>
    <w:rsid w:val="00EF3A26"/>
    <w:rsid w:val="00F06737"/>
    <w:rsid w:val="00F15AFB"/>
    <w:rsid w:val="00F3058F"/>
    <w:rsid w:val="00F31632"/>
    <w:rsid w:val="00F44EAD"/>
    <w:rsid w:val="00F5401C"/>
    <w:rsid w:val="00F543A2"/>
    <w:rsid w:val="00F60043"/>
    <w:rsid w:val="00F61091"/>
    <w:rsid w:val="00F75C38"/>
    <w:rsid w:val="00F8322F"/>
    <w:rsid w:val="00F83F5D"/>
    <w:rsid w:val="00F86ECE"/>
    <w:rsid w:val="00F94312"/>
    <w:rsid w:val="00FC14B6"/>
    <w:rsid w:val="00FD418C"/>
    <w:rsid w:val="00FE24D3"/>
    <w:rsid w:val="00FE372C"/>
    <w:rsid w:val="00FE7154"/>
    <w:rsid w:val="00FF3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8A"/>
    <w:pPr>
      <w:widowControl w:val="0"/>
    </w:pPr>
    <w:rPr>
      <w:rFonts w:ascii="Times New Roman" w:eastAsia="新細明體" w:hAnsi="Times New Roman" w:cs="Times New Roman"/>
      <w:szCs w:val="20"/>
    </w:rPr>
  </w:style>
  <w:style w:type="paragraph" w:styleId="10">
    <w:name w:val="heading 1"/>
    <w:basedOn w:val="a"/>
    <w:next w:val="a"/>
    <w:link w:val="11"/>
    <w:uiPriority w:val="9"/>
    <w:qFormat/>
    <w:rsid w:val="00CC126D"/>
    <w:pPr>
      <w:keepNext/>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4B35DC"/>
    <w:pPr>
      <w:keepNext/>
      <w:spacing w:line="720" w:lineRule="auto"/>
      <w:outlineLvl w:val="1"/>
    </w:pPr>
    <w:rPr>
      <w:rFonts w:asciiTheme="majorHAnsi" w:hAnsiTheme="majorHAnsi" w:cstheme="majorBidi"/>
      <w:b/>
      <w:bCs/>
      <w:sz w:val="28"/>
      <w:szCs w:val="48"/>
    </w:rPr>
  </w:style>
  <w:style w:type="paragraph" w:styleId="3">
    <w:name w:val="heading 3"/>
    <w:basedOn w:val="a"/>
    <w:next w:val="a"/>
    <w:link w:val="30"/>
    <w:qFormat/>
    <w:rsid w:val="00E2531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C548A"/>
    <w:rPr>
      <w:rFonts w:eastAsia="標楷體"/>
      <w:sz w:val="32"/>
    </w:rPr>
  </w:style>
  <w:style w:type="character" w:customStyle="1" w:styleId="a4">
    <w:name w:val="問候 字元"/>
    <w:basedOn w:val="a0"/>
    <w:link w:val="a3"/>
    <w:rsid w:val="00EC548A"/>
    <w:rPr>
      <w:rFonts w:ascii="Times New Roman" w:eastAsia="標楷體" w:hAnsi="Times New Roman" w:cs="Times New Roman"/>
      <w:sz w:val="32"/>
      <w:szCs w:val="20"/>
    </w:rPr>
  </w:style>
  <w:style w:type="paragraph" w:styleId="21">
    <w:name w:val="Body Text 2"/>
    <w:basedOn w:val="a"/>
    <w:link w:val="22"/>
    <w:rsid w:val="00EC548A"/>
    <w:pPr>
      <w:jc w:val="center"/>
    </w:pPr>
    <w:rPr>
      <w:rFonts w:eastAsia="標楷體"/>
      <w:sz w:val="48"/>
    </w:rPr>
  </w:style>
  <w:style w:type="character" w:customStyle="1" w:styleId="22">
    <w:name w:val="本文 2 字元"/>
    <w:basedOn w:val="a0"/>
    <w:link w:val="21"/>
    <w:rsid w:val="00EC548A"/>
    <w:rPr>
      <w:rFonts w:ascii="Times New Roman" w:eastAsia="標楷體" w:hAnsi="Times New Roman" w:cs="Times New Roman"/>
      <w:sz w:val="48"/>
      <w:szCs w:val="20"/>
    </w:rPr>
  </w:style>
  <w:style w:type="character" w:styleId="a5">
    <w:name w:val="Hyperlink"/>
    <w:uiPriority w:val="99"/>
    <w:rsid w:val="00EC548A"/>
    <w:rPr>
      <w:rFonts w:cs="Times New Roman"/>
      <w:color w:val="0000FF"/>
      <w:u w:val="single"/>
    </w:rPr>
  </w:style>
  <w:style w:type="paragraph" w:customStyle="1" w:styleId="a6">
    <w:name w:val="標題一"/>
    <w:basedOn w:val="10"/>
    <w:link w:val="a7"/>
    <w:rsid w:val="00EC548A"/>
    <w:rPr>
      <w:rFonts w:ascii="Arial" w:eastAsia="標楷體" w:hAnsi="Arial" w:cs="Times New Roman"/>
      <w:sz w:val="28"/>
    </w:rPr>
  </w:style>
  <w:style w:type="character" w:customStyle="1" w:styleId="a7">
    <w:name w:val="標題一 字元"/>
    <w:link w:val="a6"/>
    <w:locked/>
    <w:rsid w:val="00EC548A"/>
    <w:rPr>
      <w:rFonts w:ascii="Arial" w:eastAsia="標楷體" w:hAnsi="Arial" w:cs="Times New Roman"/>
      <w:b/>
      <w:bCs/>
      <w:kern w:val="52"/>
      <w:sz w:val="28"/>
      <w:szCs w:val="52"/>
    </w:rPr>
  </w:style>
  <w:style w:type="character" w:customStyle="1" w:styleId="11">
    <w:name w:val="標題 1 字元"/>
    <w:basedOn w:val="a0"/>
    <w:link w:val="10"/>
    <w:uiPriority w:val="9"/>
    <w:rsid w:val="00CC126D"/>
    <w:rPr>
      <w:rFonts w:asciiTheme="majorHAnsi" w:eastAsiaTheme="majorEastAsia" w:hAnsiTheme="majorHAnsi" w:cstheme="majorBidi"/>
      <w:b/>
      <w:bCs/>
      <w:kern w:val="52"/>
      <w:sz w:val="32"/>
      <w:szCs w:val="52"/>
    </w:rPr>
  </w:style>
  <w:style w:type="paragraph" w:styleId="a8">
    <w:name w:val="List Paragraph"/>
    <w:basedOn w:val="a"/>
    <w:uiPriority w:val="34"/>
    <w:qFormat/>
    <w:rsid w:val="00EC548A"/>
    <w:pPr>
      <w:ind w:leftChars="200" w:left="480"/>
    </w:pPr>
  </w:style>
  <w:style w:type="paragraph" w:styleId="a9">
    <w:name w:val="Body Text"/>
    <w:basedOn w:val="a"/>
    <w:link w:val="aa"/>
    <w:uiPriority w:val="99"/>
    <w:semiHidden/>
    <w:unhideWhenUsed/>
    <w:rsid w:val="00EC548A"/>
    <w:pPr>
      <w:spacing w:after="120"/>
    </w:pPr>
  </w:style>
  <w:style w:type="character" w:customStyle="1" w:styleId="aa">
    <w:name w:val="本文 字元"/>
    <w:basedOn w:val="a0"/>
    <w:link w:val="a9"/>
    <w:uiPriority w:val="99"/>
    <w:semiHidden/>
    <w:rsid w:val="00EC548A"/>
    <w:rPr>
      <w:rFonts w:ascii="Times New Roman" w:eastAsia="新細明體" w:hAnsi="Times New Roman" w:cs="Times New Roman"/>
      <w:szCs w:val="20"/>
    </w:rPr>
  </w:style>
  <w:style w:type="paragraph" w:styleId="Web">
    <w:name w:val="Normal (Web)"/>
    <w:basedOn w:val="a"/>
    <w:link w:val="Web0"/>
    <w:uiPriority w:val="99"/>
    <w:rsid w:val="00D376CE"/>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locked/>
    <w:rsid w:val="00D376CE"/>
    <w:rPr>
      <w:rFonts w:ascii="新細明體" w:eastAsia="新細明體" w:hAnsi="新細明體" w:cs="新細明體"/>
      <w:kern w:val="0"/>
      <w:szCs w:val="24"/>
    </w:rPr>
  </w:style>
  <w:style w:type="paragraph" w:customStyle="1" w:styleId="p1">
    <w:name w:val="p1"/>
    <w:basedOn w:val="a"/>
    <w:rsid w:val="00D376CE"/>
    <w:pPr>
      <w:widowControl/>
      <w:spacing w:before="100" w:beforeAutospacing="1" w:after="100" w:afterAutospacing="1"/>
    </w:pPr>
    <w:rPr>
      <w:kern w:val="0"/>
      <w:szCs w:val="24"/>
    </w:rPr>
  </w:style>
  <w:style w:type="paragraph" w:styleId="ab">
    <w:name w:val="Balloon Text"/>
    <w:basedOn w:val="a"/>
    <w:link w:val="ac"/>
    <w:uiPriority w:val="99"/>
    <w:semiHidden/>
    <w:unhideWhenUsed/>
    <w:rsid w:val="00D376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376CE"/>
    <w:rPr>
      <w:rFonts w:asciiTheme="majorHAnsi" w:eastAsiaTheme="majorEastAsia" w:hAnsiTheme="majorHAnsi" w:cstheme="majorBidi"/>
      <w:sz w:val="18"/>
      <w:szCs w:val="18"/>
    </w:rPr>
  </w:style>
  <w:style w:type="character" w:customStyle="1" w:styleId="apple-converted-space">
    <w:name w:val="apple-converted-space"/>
    <w:basedOn w:val="a0"/>
    <w:rsid w:val="008D7065"/>
  </w:style>
  <w:style w:type="paragraph" w:customStyle="1" w:styleId="1">
    <w:name w:val="標題1"/>
    <w:basedOn w:val="a8"/>
    <w:qFormat/>
    <w:rsid w:val="00717DD4"/>
    <w:pPr>
      <w:numPr>
        <w:numId w:val="2"/>
      </w:numPr>
      <w:snapToGrid w:val="0"/>
      <w:ind w:leftChars="0" w:left="0"/>
      <w:outlineLvl w:val="0"/>
    </w:pPr>
    <w:rPr>
      <w:b/>
      <w:sz w:val="32"/>
      <w:szCs w:val="32"/>
    </w:rPr>
  </w:style>
  <w:style w:type="character" w:styleId="ad">
    <w:name w:val="Emphasis"/>
    <w:uiPriority w:val="99"/>
    <w:qFormat/>
    <w:rsid w:val="00385CBB"/>
    <w:rPr>
      <w:rFonts w:cs="Times New Roman"/>
      <w:i/>
      <w:iCs/>
    </w:rPr>
  </w:style>
  <w:style w:type="character" w:customStyle="1" w:styleId="20">
    <w:name w:val="標題 2 字元"/>
    <w:basedOn w:val="a0"/>
    <w:link w:val="2"/>
    <w:uiPriority w:val="9"/>
    <w:semiHidden/>
    <w:rsid w:val="004B35DC"/>
    <w:rPr>
      <w:rFonts w:asciiTheme="majorHAnsi" w:eastAsia="新細明體" w:hAnsiTheme="majorHAnsi" w:cstheme="majorBidi"/>
      <w:b/>
      <w:bCs/>
      <w:sz w:val="28"/>
      <w:szCs w:val="48"/>
    </w:rPr>
  </w:style>
  <w:style w:type="paragraph" w:customStyle="1" w:styleId="23">
    <w:name w:val="標題2"/>
    <w:basedOn w:val="a"/>
    <w:qFormat/>
    <w:rsid w:val="004B35DC"/>
    <w:pPr>
      <w:snapToGrid w:val="0"/>
      <w:outlineLvl w:val="1"/>
    </w:pPr>
    <w:rPr>
      <w:rFonts w:eastAsia="細明體" w:hAnsi="細明體"/>
      <w:b/>
      <w:bCs/>
      <w:noProof/>
      <w:kern w:val="52"/>
      <w:sz w:val="28"/>
      <w:szCs w:val="28"/>
    </w:rPr>
  </w:style>
  <w:style w:type="paragraph" w:customStyle="1" w:styleId="31">
    <w:name w:val="標題3"/>
    <w:basedOn w:val="a"/>
    <w:qFormat/>
    <w:rsid w:val="004B35DC"/>
    <w:pPr>
      <w:snapToGrid w:val="0"/>
      <w:outlineLvl w:val="2"/>
    </w:pPr>
    <w:rPr>
      <w:rFonts w:eastAsia="細明體" w:hAnsi="細明體"/>
      <w:b/>
      <w:bCs/>
      <w:kern w:val="52"/>
      <w:szCs w:val="24"/>
    </w:rPr>
  </w:style>
  <w:style w:type="paragraph" w:styleId="ae">
    <w:name w:val="TOC Heading"/>
    <w:basedOn w:val="10"/>
    <w:next w:val="a"/>
    <w:uiPriority w:val="39"/>
    <w:semiHidden/>
    <w:unhideWhenUsed/>
    <w:qFormat/>
    <w:rsid w:val="001C0B3E"/>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A04BC4"/>
    <w:pPr>
      <w:tabs>
        <w:tab w:val="left" w:pos="984"/>
        <w:tab w:val="right" w:leader="dot" w:pos="8680"/>
      </w:tabs>
    </w:pPr>
  </w:style>
  <w:style w:type="paragraph" w:styleId="24">
    <w:name w:val="toc 2"/>
    <w:basedOn w:val="a"/>
    <w:next w:val="a"/>
    <w:autoRedefine/>
    <w:uiPriority w:val="39"/>
    <w:unhideWhenUsed/>
    <w:rsid w:val="00FF3F51"/>
    <w:pPr>
      <w:tabs>
        <w:tab w:val="left" w:pos="1680"/>
        <w:tab w:val="left" w:pos="1843"/>
        <w:tab w:val="left" w:pos="2234"/>
        <w:tab w:val="right" w:leader="dot" w:pos="8680"/>
      </w:tabs>
      <w:ind w:leftChars="531" w:left="1689" w:hangingChars="173" w:hanging="415"/>
    </w:pPr>
  </w:style>
  <w:style w:type="paragraph" w:styleId="32">
    <w:name w:val="toc 3"/>
    <w:basedOn w:val="a"/>
    <w:next w:val="a"/>
    <w:autoRedefine/>
    <w:uiPriority w:val="39"/>
    <w:unhideWhenUsed/>
    <w:rsid w:val="004363CB"/>
    <w:pPr>
      <w:tabs>
        <w:tab w:val="left" w:pos="1843"/>
        <w:tab w:val="left" w:pos="2256"/>
        <w:tab w:val="right" w:leader="dot" w:pos="8680"/>
      </w:tabs>
      <w:ind w:leftChars="650" w:left="1560" w:firstLine="144"/>
    </w:pPr>
  </w:style>
  <w:style w:type="paragraph" w:styleId="af">
    <w:name w:val="header"/>
    <w:basedOn w:val="a"/>
    <w:link w:val="af0"/>
    <w:uiPriority w:val="99"/>
    <w:unhideWhenUsed/>
    <w:rsid w:val="00CE0B2F"/>
    <w:pPr>
      <w:tabs>
        <w:tab w:val="center" w:pos="4153"/>
        <w:tab w:val="right" w:pos="8306"/>
      </w:tabs>
      <w:snapToGrid w:val="0"/>
    </w:pPr>
    <w:rPr>
      <w:sz w:val="20"/>
    </w:rPr>
  </w:style>
  <w:style w:type="character" w:customStyle="1" w:styleId="af0">
    <w:name w:val="頁首 字元"/>
    <w:basedOn w:val="a0"/>
    <w:link w:val="af"/>
    <w:uiPriority w:val="99"/>
    <w:rsid w:val="00CE0B2F"/>
    <w:rPr>
      <w:rFonts w:ascii="Times New Roman" w:eastAsia="新細明體" w:hAnsi="Times New Roman" w:cs="Times New Roman"/>
      <w:sz w:val="20"/>
      <w:szCs w:val="20"/>
    </w:rPr>
  </w:style>
  <w:style w:type="paragraph" w:styleId="af1">
    <w:name w:val="footer"/>
    <w:basedOn w:val="a"/>
    <w:link w:val="af2"/>
    <w:uiPriority w:val="99"/>
    <w:unhideWhenUsed/>
    <w:rsid w:val="00CE0B2F"/>
    <w:pPr>
      <w:tabs>
        <w:tab w:val="center" w:pos="4153"/>
        <w:tab w:val="right" w:pos="8306"/>
      </w:tabs>
      <w:snapToGrid w:val="0"/>
    </w:pPr>
    <w:rPr>
      <w:sz w:val="20"/>
    </w:rPr>
  </w:style>
  <w:style w:type="character" w:customStyle="1" w:styleId="af2">
    <w:name w:val="頁尾 字元"/>
    <w:basedOn w:val="a0"/>
    <w:link w:val="af1"/>
    <w:uiPriority w:val="99"/>
    <w:rsid w:val="00CE0B2F"/>
    <w:rPr>
      <w:rFonts w:ascii="Times New Roman" w:eastAsia="新細明體" w:hAnsi="Times New Roman" w:cs="Times New Roman"/>
      <w:sz w:val="20"/>
      <w:szCs w:val="20"/>
    </w:rPr>
  </w:style>
  <w:style w:type="character" w:customStyle="1" w:styleId="30">
    <w:name w:val="標題 3 字元"/>
    <w:basedOn w:val="a0"/>
    <w:link w:val="3"/>
    <w:rsid w:val="00E2531C"/>
    <w:rPr>
      <w:rFonts w:ascii="Arial" w:eastAsia="新細明體" w:hAnsi="Arial" w:cs="Times New Roman"/>
      <w:b/>
      <w:bCs/>
      <w:sz w:val="36"/>
      <w:szCs w:val="36"/>
    </w:rPr>
  </w:style>
  <w:style w:type="paragraph" w:styleId="af3">
    <w:name w:val="Note Heading"/>
    <w:basedOn w:val="a"/>
    <w:next w:val="a"/>
    <w:link w:val="af4"/>
    <w:uiPriority w:val="99"/>
    <w:unhideWhenUsed/>
    <w:rsid w:val="00D1618E"/>
    <w:pPr>
      <w:jc w:val="center"/>
    </w:pPr>
    <w:rPr>
      <w:rFonts w:eastAsia="細明體" w:hAnsi="細明體"/>
      <w:b/>
      <w:bCs/>
      <w:kern w:val="52"/>
      <w:szCs w:val="24"/>
    </w:rPr>
  </w:style>
  <w:style w:type="character" w:customStyle="1" w:styleId="af4">
    <w:name w:val="註釋標題 字元"/>
    <w:basedOn w:val="a0"/>
    <w:link w:val="af3"/>
    <w:uiPriority w:val="99"/>
    <w:rsid w:val="00D1618E"/>
    <w:rPr>
      <w:rFonts w:ascii="Times New Roman" w:eastAsia="細明體" w:hAnsi="細明體" w:cs="Times New Roman"/>
      <w:b/>
      <w:bCs/>
      <w:kern w:val="52"/>
      <w:szCs w:val="24"/>
    </w:rPr>
  </w:style>
  <w:style w:type="paragraph" w:styleId="af5">
    <w:name w:val="Closing"/>
    <w:basedOn w:val="a"/>
    <w:link w:val="af6"/>
    <w:uiPriority w:val="99"/>
    <w:unhideWhenUsed/>
    <w:rsid w:val="00D1618E"/>
    <w:pPr>
      <w:ind w:leftChars="1800" w:left="100"/>
    </w:pPr>
    <w:rPr>
      <w:rFonts w:eastAsia="細明體" w:hAnsi="細明體"/>
      <w:b/>
      <w:bCs/>
      <w:kern w:val="52"/>
      <w:szCs w:val="24"/>
    </w:rPr>
  </w:style>
  <w:style w:type="character" w:customStyle="1" w:styleId="af6">
    <w:name w:val="結語 字元"/>
    <w:basedOn w:val="a0"/>
    <w:link w:val="af5"/>
    <w:uiPriority w:val="99"/>
    <w:rsid w:val="00D1618E"/>
    <w:rPr>
      <w:rFonts w:ascii="Times New Roman" w:eastAsia="細明體" w:hAnsi="細明體" w:cs="Times New Roman"/>
      <w:b/>
      <w:bCs/>
      <w:kern w:val="52"/>
      <w:szCs w:val="24"/>
    </w:rPr>
  </w:style>
  <w:style w:type="paragraph" w:styleId="af7">
    <w:name w:val="footnote text"/>
    <w:basedOn w:val="a"/>
    <w:link w:val="af8"/>
    <w:uiPriority w:val="99"/>
    <w:unhideWhenUsed/>
    <w:rsid w:val="003D4A48"/>
    <w:pPr>
      <w:snapToGrid w:val="0"/>
    </w:pPr>
    <w:rPr>
      <w:rFonts w:asciiTheme="minorHAnsi" w:eastAsiaTheme="minorEastAsia" w:hAnsiTheme="minorHAnsi" w:cstheme="minorBidi"/>
      <w:sz w:val="20"/>
    </w:rPr>
  </w:style>
  <w:style w:type="character" w:customStyle="1" w:styleId="af8">
    <w:name w:val="註腳文字 字元"/>
    <w:basedOn w:val="a0"/>
    <w:link w:val="af7"/>
    <w:uiPriority w:val="99"/>
    <w:rsid w:val="003D4A48"/>
    <w:rPr>
      <w:sz w:val="20"/>
      <w:szCs w:val="20"/>
    </w:rPr>
  </w:style>
  <w:style w:type="character" w:styleId="af9">
    <w:name w:val="footnote reference"/>
    <w:basedOn w:val="a0"/>
    <w:uiPriority w:val="99"/>
    <w:semiHidden/>
    <w:unhideWhenUsed/>
    <w:rsid w:val="003D4A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48A"/>
    <w:pPr>
      <w:widowControl w:val="0"/>
    </w:pPr>
    <w:rPr>
      <w:rFonts w:ascii="Times New Roman" w:eastAsia="新細明體" w:hAnsi="Times New Roman" w:cs="Times New Roman"/>
      <w:szCs w:val="20"/>
    </w:rPr>
  </w:style>
  <w:style w:type="paragraph" w:styleId="10">
    <w:name w:val="heading 1"/>
    <w:basedOn w:val="a"/>
    <w:next w:val="a"/>
    <w:link w:val="11"/>
    <w:uiPriority w:val="9"/>
    <w:qFormat/>
    <w:rsid w:val="00CC126D"/>
    <w:pPr>
      <w:keepNext/>
      <w:spacing w:before="180" w:after="180" w:line="720" w:lineRule="auto"/>
      <w:outlineLvl w:val="0"/>
    </w:pPr>
    <w:rPr>
      <w:rFonts w:asciiTheme="majorHAnsi" w:eastAsiaTheme="majorEastAsia" w:hAnsiTheme="majorHAnsi" w:cstheme="majorBidi"/>
      <w:b/>
      <w:bCs/>
      <w:kern w:val="52"/>
      <w:sz w:val="32"/>
      <w:szCs w:val="52"/>
    </w:rPr>
  </w:style>
  <w:style w:type="paragraph" w:styleId="2">
    <w:name w:val="heading 2"/>
    <w:basedOn w:val="a"/>
    <w:next w:val="a"/>
    <w:link w:val="20"/>
    <w:uiPriority w:val="9"/>
    <w:semiHidden/>
    <w:unhideWhenUsed/>
    <w:qFormat/>
    <w:rsid w:val="004B35DC"/>
    <w:pPr>
      <w:keepNext/>
      <w:spacing w:line="720" w:lineRule="auto"/>
      <w:outlineLvl w:val="1"/>
    </w:pPr>
    <w:rPr>
      <w:rFonts w:asciiTheme="majorHAnsi" w:hAnsiTheme="majorHAnsi" w:cstheme="majorBidi"/>
      <w:b/>
      <w:bCs/>
      <w:sz w:val="28"/>
      <w:szCs w:val="48"/>
    </w:rPr>
  </w:style>
  <w:style w:type="paragraph" w:styleId="3">
    <w:name w:val="heading 3"/>
    <w:basedOn w:val="a"/>
    <w:next w:val="a"/>
    <w:link w:val="30"/>
    <w:qFormat/>
    <w:rsid w:val="00E2531C"/>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EC548A"/>
    <w:rPr>
      <w:rFonts w:eastAsia="標楷體"/>
      <w:sz w:val="32"/>
    </w:rPr>
  </w:style>
  <w:style w:type="character" w:customStyle="1" w:styleId="a4">
    <w:name w:val="問候 字元"/>
    <w:basedOn w:val="a0"/>
    <w:link w:val="a3"/>
    <w:rsid w:val="00EC548A"/>
    <w:rPr>
      <w:rFonts w:ascii="Times New Roman" w:eastAsia="標楷體" w:hAnsi="Times New Roman" w:cs="Times New Roman"/>
      <w:sz w:val="32"/>
      <w:szCs w:val="20"/>
    </w:rPr>
  </w:style>
  <w:style w:type="paragraph" w:styleId="21">
    <w:name w:val="Body Text 2"/>
    <w:basedOn w:val="a"/>
    <w:link w:val="22"/>
    <w:rsid w:val="00EC548A"/>
    <w:pPr>
      <w:jc w:val="center"/>
    </w:pPr>
    <w:rPr>
      <w:rFonts w:eastAsia="標楷體"/>
      <w:sz w:val="48"/>
    </w:rPr>
  </w:style>
  <w:style w:type="character" w:customStyle="1" w:styleId="22">
    <w:name w:val="本文 2 字元"/>
    <w:basedOn w:val="a0"/>
    <w:link w:val="21"/>
    <w:rsid w:val="00EC548A"/>
    <w:rPr>
      <w:rFonts w:ascii="Times New Roman" w:eastAsia="標楷體" w:hAnsi="Times New Roman" w:cs="Times New Roman"/>
      <w:sz w:val="48"/>
      <w:szCs w:val="20"/>
    </w:rPr>
  </w:style>
  <w:style w:type="character" w:styleId="a5">
    <w:name w:val="Hyperlink"/>
    <w:uiPriority w:val="99"/>
    <w:rsid w:val="00EC548A"/>
    <w:rPr>
      <w:rFonts w:cs="Times New Roman"/>
      <w:color w:val="0000FF"/>
      <w:u w:val="single"/>
    </w:rPr>
  </w:style>
  <w:style w:type="paragraph" w:customStyle="1" w:styleId="a6">
    <w:name w:val="標題一"/>
    <w:basedOn w:val="10"/>
    <w:link w:val="a7"/>
    <w:rsid w:val="00EC548A"/>
    <w:rPr>
      <w:rFonts w:ascii="Arial" w:eastAsia="標楷體" w:hAnsi="Arial" w:cs="Times New Roman"/>
      <w:sz w:val="28"/>
    </w:rPr>
  </w:style>
  <w:style w:type="character" w:customStyle="1" w:styleId="a7">
    <w:name w:val="標題一 字元"/>
    <w:link w:val="a6"/>
    <w:locked/>
    <w:rsid w:val="00EC548A"/>
    <w:rPr>
      <w:rFonts w:ascii="Arial" w:eastAsia="標楷體" w:hAnsi="Arial" w:cs="Times New Roman"/>
      <w:b/>
      <w:bCs/>
      <w:kern w:val="52"/>
      <w:sz w:val="28"/>
      <w:szCs w:val="52"/>
    </w:rPr>
  </w:style>
  <w:style w:type="character" w:customStyle="1" w:styleId="11">
    <w:name w:val="標題 1 字元"/>
    <w:basedOn w:val="a0"/>
    <w:link w:val="10"/>
    <w:uiPriority w:val="9"/>
    <w:rsid w:val="00CC126D"/>
    <w:rPr>
      <w:rFonts w:asciiTheme="majorHAnsi" w:eastAsiaTheme="majorEastAsia" w:hAnsiTheme="majorHAnsi" w:cstheme="majorBidi"/>
      <w:b/>
      <w:bCs/>
      <w:kern w:val="52"/>
      <w:sz w:val="32"/>
      <w:szCs w:val="52"/>
    </w:rPr>
  </w:style>
  <w:style w:type="paragraph" w:styleId="a8">
    <w:name w:val="List Paragraph"/>
    <w:basedOn w:val="a"/>
    <w:uiPriority w:val="34"/>
    <w:qFormat/>
    <w:rsid w:val="00EC548A"/>
    <w:pPr>
      <w:ind w:leftChars="200" w:left="480"/>
    </w:pPr>
  </w:style>
  <w:style w:type="paragraph" w:styleId="a9">
    <w:name w:val="Body Text"/>
    <w:basedOn w:val="a"/>
    <w:link w:val="aa"/>
    <w:uiPriority w:val="99"/>
    <w:semiHidden/>
    <w:unhideWhenUsed/>
    <w:rsid w:val="00EC548A"/>
    <w:pPr>
      <w:spacing w:after="120"/>
    </w:pPr>
  </w:style>
  <w:style w:type="character" w:customStyle="1" w:styleId="aa">
    <w:name w:val="本文 字元"/>
    <w:basedOn w:val="a0"/>
    <w:link w:val="a9"/>
    <w:uiPriority w:val="99"/>
    <w:semiHidden/>
    <w:rsid w:val="00EC548A"/>
    <w:rPr>
      <w:rFonts w:ascii="Times New Roman" w:eastAsia="新細明體" w:hAnsi="Times New Roman" w:cs="Times New Roman"/>
      <w:szCs w:val="20"/>
    </w:rPr>
  </w:style>
  <w:style w:type="paragraph" w:styleId="Web">
    <w:name w:val="Normal (Web)"/>
    <w:basedOn w:val="a"/>
    <w:link w:val="Web0"/>
    <w:uiPriority w:val="99"/>
    <w:rsid w:val="00D376CE"/>
    <w:pPr>
      <w:widowControl/>
      <w:spacing w:before="100" w:beforeAutospacing="1" w:after="100" w:afterAutospacing="1"/>
    </w:pPr>
    <w:rPr>
      <w:rFonts w:ascii="新細明體" w:hAnsi="新細明體" w:cs="新細明體"/>
      <w:kern w:val="0"/>
      <w:szCs w:val="24"/>
    </w:rPr>
  </w:style>
  <w:style w:type="character" w:customStyle="1" w:styleId="Web0">
    <w:name w:val="內文 (Web) 字元"/>
    <w:link w:val="Web"/>
    <w:locked/>
    <w:rsid w:val="00D376CE"/>
    <w:rPr>
      <w:rFonts w:ascii="新細明體" w:eastAsia="新細明體" w:hAnsi="新細明體" w:cs="新細明體"/>
      <w:kern w:val="0"/>
      <w:szCs w:val="24"/>
    </w:rPr>
  </w:style>
  <w:style w:type="paragraph" w:customStyle="1" w:styleId="p1">
    <w:name w:val="p1"/>
    <w:basedOn w:val="a"/>
    <w:rsid w:val="00D376CE"/>
    <w:pPr>
      <w:widowControl/>
      <w:spacing w:before="100" w:beforeAutospacing="1" w:after="100" w:afterAutospacing="1"/>
    </w:pPr>
    <w:rPr>
      <w:kern w:val="0"/>
      <w:szCs w:val="24"/>
    </w:rPr>
  </w:style>
  <w:style w:type="paragraph" w:styleId="ab">
    <w:name w:val="Balloon Text"/>
    <w:basedOn w:val="a"/>
    <w:link w:val="ac"/>
    <w:uiPriority w:val="99"/>
    <w:semiHidden/>
    <w:unhideWhenUsed/>
    <w:rsid w:val="00D376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376CE"/>
    <w:rPr>
      <w:rFonts w:asciiTheme="majorHAnsi" w:eastAsiaTheme="majorEastAsia" w:hAnsiTheme="majorHAnsi" w:cstheme="majorBidi"/>
      <w:sz w:val="18"/>
      <w:szCs w:val="18"/>
    </w:rPr>
  </w:style>
  <w:style w:type="character" w:customStyle="1" w:styleId="apple-converted-space">
    <w:name w:val="apple-converted-space"/>
    <w:basedOn w:val="a0"/>
    <w:rsid w:val="008D7065"/>
  </w:style>
  <w:style w:type="paragraph" w:customStyle="1" w:styleId="1">
    <w:name w:val="標題1"/>
    <w:basedOn w:val="a8"/>
    <w:qFormat/>
    <w:rsid w:val="00717DD4"/>
    <w:pPr>
      <w:numPr>
        <w:numId w:val="2"/>
      </w:numPr>
      <w:snapToGrid w:val="0"/>
      <w:ind w:leftChars="0" w:left="0"/>
      <w:outlineLvl w:val="0"/>
    </w:pPr>
    <w:rPr>
      <w:b/>
      <w:sz w:val="32"/>
      <w:szCs w:val="32"/>
    </w:rPr>
  </w:style>
  <w:style w:type="character" w:styleId="ad">
    <w:name w:val="Emphasis"/>
    <w:uiPriority w:val="99"/>
    <w:qFormat/>
    <w:rsid w:val="00385CBB"/>
    <w:rPr>
      <w:rFonts w:cs="Times New Roman"/>
      <w:i/>
      <w:iCs/>
    </w:rPr>
  </w:style>
  <w:style w:type="character" w:customStyle="1" w:styleId="20">
    <w:name w:val="標題 2 字元"/>
    <w:basedOn w:val="a0"/>
    <w:link w:val="2"/>
    <w:uiPriority w:val="9"/>
    <w:semiHidden/>
    <w:rsid w:val="004B35DC"/>
    <w:rPr>
      <w:rFonts w:asciiTheme="majorHAnsi" w:eastAsia="新細明體" w:hAnsiTheme="majorHAnsi" w:cstheme="majorBidi"/>
      <w:b/>
      <w:bCs/>
      <w:sz w:val="28"/>
      <w:szCs w:val="48"/>
    </w:rPr>
  </w:style>
  <w:style w:type="paragraph" w:customStyle="1" w:styleId="23">
    <w:name w:val="標題2"/>
    <w:basedOn w:val="a"/>
    <w:qFormat/>
    <w:rsid w:val="004B35DC"/>
    <w:pPr>
      <w:snapToGrid w:val="0"/>
      <w:outlineLvl w:val="1"/>
    </w:pPr>
    <w:rPr>
      <w:rFonts w:eastAsia="細明體" w:hAnsi="細明體"/>
      <w:b/>
      <w:bCs/>
      <w:noProof/>
      <w:kern w:val="52"/>
      <w:sz w:val="28"/>
      <w:szCs w:val="28"/>
    </w:rPr>
  </w:style>
  <w:style w:type="paragraph" w:customStyle="1" w:styleId="31">
    <w:name w:val="標題3"/>
    <w:basedOn w:val="a"/>
    <w:qFormat/>
    <w:rsid w:val="004B35DC"/>
    <w:pPr>
      <w:snapToGrid w:val="0"/>
      <w:outlineLvl w:val="2"/>
    </w:pPr>
    <w:rPr>
      <w:rFonts w:eastAsia="細明體" w:hAnsi="細明體"/>
      <w:b/>
      <w:bCs/>
      <w:kern w:val="52"/>
      <w:szCs w:val="24"/>
    </w:rPr>
  </w:style>
  <w:style w:type="paragraph" w:styleId="ae">
    <w:name w:val="TOC Heading"/>
    <w:basedOn w:val="10"/>
    <w:next w:val="a"/>
    <w:uiPriority w:val="39"/>
    <w:semiHidden/>
    <w:unhideWhenUsed/>
    <w:qFormat/>
    <w:rsid w:val="001C0B3E"/>
    <w:pPr>
      <w:keepLines/>
      <w:widowControl/>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A04BC4"/>
    <w:pPr>
      <w:tabs>
        <w:tab w:val="left" w:pos="984"/>
        <w:tab w:val="right" w:leader="dot" w:pos="8680"/>
      </w:tabs>
    </w:pPr>
  </w:style>
  <w:style w:type="paragraph" w:styleId="24">
    <w:name w:val="toc 2"/>
    <w:basedOn w:val="a"/>
    <w:next w:val="a"/>
    <w:autoRedefine/>
    <w:uiPriority w:val="39"/>
    <w:unhideWhenUsed/>
    <w:rsid w:val="00FF3F51"/>
    <w:pPr>
      <w:tabs>
        <w:tab w:val="left" w:pos="1680"/>
        <w:tab w:val="left" w:pos="1843"/>
        <w:tab w:val="left" w:pos="2234"/>
        <w:tab w:val="right" w:leader="dot" w:pos="8680"/>
      </w:tabs>
      <w:ind w:leftChars="531" w:left="1689" w:hangingChars="173" w:hanging="415"/>
    </w:pPr>
  </w:style>
  <w:style w:type="paragraph" w:styleId="32">
    <w:name w:val="toc 3"/>
    <w:basedOn w:val="a"/>
    <w:next w:val="a"/>
    <w:autoRedefine/>
    <w:uiPriority w:val="39"/>
    <w:unhideWhenUsed/>
    <w:rsid w:val="004363CB"/>
    <w:pPr>
      <w:tabs>
        <w:tab w:val="left" w:pos="1843"/>
        <w:tab w:val="left" w:pos="2256"/>
        <w:tab w:val="right" w:leader="dot" w:pos="8680"/>
      </w:tabs>
      <w:ind w:leftChars="650" w:left="1560" w:firstLine="144"/>
    </w:pPr>
  </w:style>
  <w:style w:type="paragraph" w:styleId="af">
    <w:name w:val="header"/>
    <w:basedOn w:val="a"/>
    <w:link w:val="af0"/>
    <w:uiPriority w:val="99"/>
    <w:unhideWhenUsed/>
    <w:rsid w:val="00CE0B2F"/>
    <w:pPr>
      <w:tabs>
        <w:tab w:val="center" w:pos="4153"/>
        <w:tab w:val="right" w:pos="8306"/>
      </w:tabs>
      <w:snapToGrid w:val="0"/>
    </w:pPr>
    <w:rPr>
      <w:sz w:val="20"/>
    </w:rPr>
  </w:style>
  <w:style w:type="character" w:customStyle="1" w:styleId="af0">
    <w:name w:val="頁首 字元"/>
    <w:basedOn w:val="a0"/>
    <w:link w:val="af"/>
    <w:uiPriority w:val="99"/>
    <w:rsid w:val="00CE0B2F"/>
    <w:rPr>
      <w:rFonts w:ascii="Times New Roman" w:eastAsia="新細明體" w:hAnsi="Times New Roman" w:cs="Times New Roman"/>
      <w:sz w:val="20"/>
      <w:szCs w:val="20"/>
    </w:rPr>
  </w:style>
  <w:style w:type="paragraph" w:styleId="af1">
    <w:name w:val="footer"/>
    <w:basedOn w:val="a"/>
    <w:link w:val="af2"/>
    <w:uiPriority w:val="99"/>
    <w:unhideWhenUsed/>
    <w:rsid w:val="00CE0B2F"/>
    <w:pPr>
      <w:tabs>
        <w:tab w:val="center" w:pos="4153"/>
        <w:tab w:val="right" w:pos="8306"/>
      </w:tabs>
      <w:snapToGrid w:val="0"/>
    </w:pPr>
    <w:rPr>
      <w:sz w:val="20"/>
    </w:rPr>
  </w:style>
  <w:style w:type="character" w:customStyle="1" w:styleId="af2">
    <w:name w:val="頁尾 字元"/>
    <w:basedOn w:val="a0"/>
    <w:link w:val="af1"/>
    <w:uiPriority w:val="99"/>
    <w:rsid w:val="00CE0B2F"/>
    <w:rPr>
      <w:rFonts w:ascii="Times New Roman" w:eastAsia="新細明體" w:hAnsi="Times New Roman" w:cs="Times New Roman"/>
      <w:sz w:val="20"/>
      <w:szCs w:val="20"/>
    </w:rPr>
  </w:style>
  <w:style w:type="character" w:customStyle="1" w:styleId="30">
    <w:name w:val="標題 3 字元"/>
    <w:basedOn w:val="a0"/>
    <w:link w:val="3"/>
    <w:rsid w:val="00E2531C"/>
    <w:rPr>
      <w:rFonts w:ascii="Arial" w:eastAsia="新細明體" w:hAnsi="Arial" w:cs="Times New Roman"/>
      <w:b/>
      <w:bCs/>
      <w:sz w:val="36"/>
      <w:szCs w:val="36"/>
    </w:rPr>
  </w:style>
  <w:style w:type="paragraph" w:styleId="af3">
    <w:name w:val="Note Heading"/>
    <w:basedOn w:val="a"/>
    <w:next w:val="a"/>
    <w:link w:val="af4"/>
    <w:uiPriority w:val="99"/>
    <w:unhideWhenUsed/>
    <w:rsid w:val="00D1618E"/>
    <w:pPr>
      <w:jc w:val="center"/>
    </w:pPr>
    <w:rPr>
      <w:rFonts w:eastAsia="細明體" w:hAnsi="細明體"/>
      <w:b/>
      <w:bCs/>
      <w:kern w:val="52"/>
      <w:szCs w:val="24"/>
    </w:rPr>
  </w:style>
  <w:style w:type="character" w:customStyle="1" w:styleId="af4">
    <w:name w:val="註釋標題 字元"/>
    <w:basedOn w:val="a0"/>
    <w:link w:val="af3"/>
    <w:uiPriority w:val="99"/>
    <w:rsid w:val="00D1618E"/>
    <w:rPr>
      <w:rFonts w:ascii="Times New Roman" w:eastAsia="細明體" w:hAnsi="細明體" w:cs="Times New Roman"/>
      <w:b/>
      <w:bCs/>
      <w:kern w:val="52"/>
      <w:szCs w:val="24"/>
    </w:rPr>
  </w:style>
  <w:style w:type="paragraph" w:styleId="af5">
    <w:name w:val="Closing"/>
    <w:basedOn w:val="a"/>
    <w:link w:val="af6"/>
    <w:uiPriority w:val="99"/>
    <w:unhideWhenUsed/>
    <w:rsid w:val="00D1618E"/>
    <w:pPr>
      <w:ind w:leftChars="1800" w:left="100"/>
    </w:pPr>
    <w:rPr>
      <w:rFonts w:eastAsia="細明體" w:hAnsi="細明體"/>
      <w:b/>
      <w:bCs/>
      <w:kern w:val="52"/>
      <w:szCs w:val="24"/>
    </w:rPr>
  </w:style>
  <w:style w:type="character" w:customStyle="1" w:styleId="af6">
    <w:name w:val="結語 字元"/>
    <w:basedOn w:val="a0"/>
    <w:link w:val="af5"/>
    <w:uiPriority w:val="99"/>
    <w:rsid w:val="00D1618E"/>
    <w:rPr>
      <w:rFonts w:ascii="Times New Roman" w:eastAsia="細明體" w:hAnsi="細明體" w:cs="Times New Roman"/>
      <w:b/>
      <w:bCs/>
      <w:kern w:val="52"/>
      <w:szCs w:val="24"/>
    </w:rPr>
  </w:style>
  <w:style w:type="paragraph" w:styleId="af7">
    <w:name w:val="footnote text"/>
    <w:basedOn w:val="a"/>
    <w:link w:val="af8"/>
    <w:uiPriority w:val="99"/>
    <w:unhideWhenUsed/>
    <w:rsid w:val="003D4A48"/>
    <w:pPr>
      <w:snapToGrid w:val="0"/>
    </w:pPr>
    <w:rPr>
      <w:rFonts w:asciiTheme="minorHAnsi" w:eastAsiaTheme="minorEastAsia" w:hAnsiTheme="minorHAnsi" w:cstheme="minorBidi"/>
      <w:sz w:val="20"/>
    </w:rPr>
  </w:style>
  <w:style w:type="character" w:customStyle="1" w:styleId="af8">
    <w:name w:val="註腳文字 字元"/>
    <w:basedOn w:val="a0"/>
    <w:link w:val="af7"/>
    <w:uiPriority w:val="99"/>
    <w:rsid w:val="003D4A48"/>
    <w:rPr>
      <w:sz w:val="20"/>
      <w:szCs w:val="20"/>
    </w:rPr>
  </w:style>
  <w:style w:type="character" w:styleId="af9">
    <w:name w:val="footnote reference"/>
    <w:basedOn w:val="a0"/>
    <w:uiPriority w:val="99"/>
    <w:semiHidden/>
    <w:unhideWhenUsed/>
    <w:rsid w:val="003D4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9136">
      <w:bodyDiv w:val="1"/>
      <w:marLeft w:val="0"/>
      <w:marRight w:val="0"/>
      <w:marTop w:val="0"/>
      <w:marBottom w:val="0"/>
      <w:divBdr>
        <w:top w:val="none" w:sz="0" w:space="0" w:color="auto"/>
        <w:left w:val="none" w:sz="0" w:space="0" w:color="auto"/>
        <w:bottom w:val="none" w:sz="0" w:space="0" w:color="auto"/>
        <w:right w:val="none" w:sz="0" w:space="0" w:color="auto"/>
      </w:divBdr>
      <w:divsChild>
        <w:div w:id="793409757">
          <w:marLeft w:val="0"/>
          <w:marRight w:val="0"/>
          <w:marTop w:val="120"/>
          <w:marBottom w:val="0"/>
          <w:divBdr>
            <w:top w:val="none" w:sz="0" w:space="0" w:color="auto"/>
            <w:left w:val="none" w:sz="0" w:space="0" w:color="auto"/>
            <w:bottom w:val="none" w:sz="0" w:space="0" w:color="auto"/>
            <w:right w:val="none" w:sz="0" w:space="0" w:color="auto"/>
          </w:divBdr>
        </w:div>
        <w:div w:id="1755322611">
          <w:marLeft w:val="0"/>
          <w:marRight w:val="0"/>
          <w:marTop w:val="120"/>
          <w:marBottom w:val="0"/>
          <w:divBdr>
            <w:top w:val="none" w:sz="0" w:space="0" w:color="auto"/>
            <w:left w:val="none" w:sz="0" w:space="0" w:color="auto"/>
            <w:bottom w:val="none" w:sz="0" w:space="0" w:color="auto"/>
            <w:right w:val="none" w:sz="0" w:space="0" w:color="auto"/>
          </w:divBdr>
        </w:div>
        <w:div w:id="1054474385">
          <w:marLeft w:val="0"/>
          <w:marRight w:val="0"/>
          <w:marTop w:val="120"/>
          <w:marBottom w:val="0"/>
          <w:divBdr>
            <w:top w:val="none" w:sz="0" w:space="0" w:color="auto"/>
            <w:left w:val="none" w:sz="0" w:space="0" w:color="auto"/>
            <w:bottom w:val="none" w:sz="0" w:space="0" w:color="auto"/>
            <w:right w:val="none" w:sz="0" w:space="0" w:color="auto"/>
          </w:divBdr>
        </w:div>
        <w:div w:id="1274628602">
          <w:marLeft w:val="0"/>
          <w:marRight w:val="0"/>
          <w:marTop w:val="120"/>
          <w:marBottom w:val="0"/>
          <w:divBdr>
            <w:top w:val="none" w:sz="0" w:space="0" w:color="auto"/>
            <w:left w:val="none" w:sz="0" w:space="0" w:color="auto"/>
            <w:bottom w:val="none" w:sz="0" w:space="0" w:color="auto"/>
            <w:right w:val="none" w:sz="0" w:space="0" w:color="auto"/>
          </w:divBdr>
        </w:div>
      </w:divsChild>
    </w:div>
    <w:div w:id="1320114655">
      <w:bodyDiv w:val="1"/>
      <w:marLeft w:val="0"/>
      <w:marRight w:val="0"/>
      <w:marTop w:val="0"/>
      <w:marBottom w:val="0"/>
      <w:divBdr>
        <w:top w:val="none" w:sz="0" w:space="0" w:color="auto"/>
        <w:left w:val="none" w:sz="0" w:space="0" w:color="auto"/>
        <w:bottom w:val="none" w:sz="0" w:space="0" w:color="auto"/>
        <w:right w:val="none" w:sz="0" w:space="0" w:color="auto"/>
      </w:divBdr>
      <w:divsChild>
        <w:div w:id="763385174">
          <w:marLeft w:val="0"/>
          <w:marRight w:val="0"/>
          <w:marTop w:val="120"/>
          <w:marBottom w:val="0"/>
          <w:divBdr>
            <w:top w:val="none" w:sz="0" w:space="0" w:color="auto"/>
            <w:left w:val="none" w:sz="0" w:space="0" w:color="auto"/>
            <w:bottom w:val="none" w:sz="0" w:space="0" w:color="auto"/>
            <w:right w:val="none" w:sz="0" w:space="0" w:color="auto"/>
          </w:divBdr>
        </w:div>
        <w:div w:id="1950887859">
          <w:marLeft w:val="0"/>
          <w:marRight w:val="0"/>
          <w:marTop w:val="120"/>
          <w:marBottom w:val="0"/>
          <w:divBdr>
            <w:top w:val="none" w:sz="0" w:space="0" w:color="auto"/>
            <w:left w:val="none" w:sz="0" w:space="0" w:color="auto"/>
            <w:bottom w:val="none" w:sz="0" w:space="0" w:color="auto"/>
            <w:right w:val="none" w:sz="0" w:space="0" w:color="auto"/>
          </w:divBdr>
        </w:div>
        <w:div w:id="1993832634">
          <w:marLeft w:val="0"/>
          <w:marRight w:val="0"/>
          <w:marTop w:val="120"/>
          <w:marBottom w:val="0"/>
          <w:divBdr>
            <w:top w:val="none" w:sz="0" w:space="0" w:color="auto"/>
            <w:left w:val="none" w:sz="0" w:space="0" w:color="auto"/>
            <w:bottom w:val="none" w:sz="0" w:space="0" w:color="auto"/>
            <w:right w:val="none" w:sz="0" w:space="0" w:color="auto"/>
          </w:divBdr>
        </w:div>
        <w:div w:id="6190725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B5D3-4E0F-46F0-9A4C-4C08770A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洪麗婷liting</dc:creator>
  <cp:lastModifiedBy>李明機mglee</cp:lastModifiedBy>
  <cp:revision>2</cp:revision>
  <cp:lastPrinted>2015-01-06T02:59:00Z</cp:lastPrinted>
  <dcterms:created xsi:type="dcterms:W3CDTF">2015-01-19T04:12:00Z</dcterms:created>
  <dcterms:modified xsi:type="dcterms:W3CDTF">2015-01-19T04:12:00Z</dcterms:modified>
</cp:coreProperties>
</file>