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AA4" w:rsidRDefault="002414D3">
      <w:r>
        <w:rPr>
          <w:noProof/>
        </w:rPr>
        <w:drawing>
          <wp:inline distT="0" distB="0" distL="0" distR="0" wp14:anchorId="30387119" wp14:editId="3C7CAC4E">
            <wp:extent cx="4884420" cy="2781300"/>
            <wp:effectExtent l="0" t="0" r="11430" b="19050"/>
            <wp:docPr id="2" name="圖表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  <w:r w:rsidR="00353C35">
        <w:rPr>
          <w:noProof/>
        </w:rPr>
        <w:drawing>
          <wp:inline distT="0" distB="0" distL="0" distR="0" wp14:anchorId="2F37721C" wp14:editId="048307C1">
            <wp:extent cx="4884420" cy="2865120"/>
            <wp:effectExtent l="0" t="0" r="11430" b="11430"/>
            <wp:docPr id="3" name="圖表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  <w:r w:rsidR="00FC1D89">
        <w:rPr>
          <w:noProof/>
        </w:rPr>
        <w:drawing>
          <wp:inline distT="0" distB="0" distL="0" distR="0" wp14:anchorId="45E7EDEF" wp14:editId="6D9FBD97">
            <wp:extent cx="4884420" cy="2705100"/>
            <wp:effectExtent l="0" t="0" r="11430" b="19050"/>
            <wp:docPr id="1" name="圖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  <w:bookmarkStart w:id="0" w:name="_GoBack"/>
      <w:bookmarkEnd w:id="0"/>
    </w:p>
    <w:sectPr w:rsidR="00FB0AA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52E"/>
    <w:rsid w:val="00014C66"/>
    <w:rsid w:val="00153017"/>
    <w:rsid w:val="0018407A"/>
    <w:rsid w:val="001E53C3"/>
    <w:rsid w:val="002414D3"/>
    <w:rsid w:val="00353C35"/>
    <w:rsid w:val="003E052E"/>
    <w:rsid w:val="003F7A63"/>
    <w:rsid w:val="006E2E55"/>
    <w:rsid w:val="0074006C"/>
    <w:rsid w:val="00855A10"/>
    <w:rsid w:val="00877FBD"/>
    <w:rsid w:val="00961D1E"/>
    <w:rsid w:val="00D33397"/>
    <w:rsid w:val="00E32F3A"/>
    <w:rsid w:val="00F01E42"/>
    <w:rsid w:val="00F81E7B"/>
    <w:rsid w:val="00FB0AA4"/>
    <w:rsid w:val="00FC1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1D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FC1D89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1D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FC1D8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TW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algn="ctr">
              <a:defRPr/>
            </a:pPr>
            <a:r>
              <a:rPr lang="zh-TW" altLang="en-US" sz="1400"/>
              <a:t>金融監督管理委員會及所屬各局</a:t>
            </a:r>
            <a:endParaRPr lang="en-US" altLang="zh-TW" sz="1400"/>
          </a:p>
          <a:p>
            <a:pPr algn="ctr">
              <a:defRPr/>
            </a:pPr>
            <a:r>
              <a:rPr lang="en-US" altLang="zh-TW" sz="1400"/>
              <a:t>104</a:t>
            </a:r>
            <a:r>
              <a:rPr lang="zh-TW" altLang="en-US" sz="1400"/>
              <a:t>年</a:t>
            </a:r>
            <a:r>
              <a:rPr lang="zh-TW" altLang="zh-TW" sz="1400" b="1" i="0" u="none" strike="noStrike" baseline="0">
                <a:effectLst/>
              </a:rPr>
              <a:t>職員</a:t>
            </a:r>
            <a:r>
              <a:rPr lang="zh-TW" altLang="en-US" sz="1400"/>
              <a:t>學歷統計表</a:t>
            </a:r>
          </a:p>
        </c:rich>
      </c:tx>
      <c:layout>
        <c:manualLayout>
          <c:xMode val="edge"/>
          <c:yMode val="edge"/>
          <c:x val="0.19802392095683827"/>
          <c:y val="0"/>
        </c:manualLayout>
      </c:layout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工作表1!$A$8</c:f>
              <c:strCache>
                <c:ptCount val="1"/>
                <c:pt idx="0">
                  <c:v>人</c:v>
                </c:pt>
              </c:strCache>
            </c:strRef>
          </c:tx>
          <c:dLbls>
            <c:dLbl>
              <c:idx val="0"/>
              <c:layout>
                <c:manualLayout>
                  <c:x val="6.6666666666666666E-2"/>
                  <c:y val="-9.2592592592592587E-3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</c:dLbl>
            <c:dLbl>
              <c:idx val="1"/>
              <c:tx>
                <c:rich>
                  <a:bodyPr/>
                  <a:lstStyle/>
                  <a:p>
                    <a:r>
                      <a:rPr lang="en-US" altLang="zh-TW"/>
                      <a:t>55%</a:t>
                    </a:r>
                  </a:p>
                </c:rich>
              </c:tx>
              <c:dLblPos val="outEnd"/>
              <c:showLegendKey val="0"/>
              <c:showVal val="0"/>
              <c:showCatName val="0"/>
              <c:showSerName val="0"/>
              <c:showPercent val="1"/>
              <c:showBubbleSize val="0"/>
            </c:dLbl>
            <c:dLbl>
              <c:idx val="2"/>
              <c:tx>
                <c:rich>
                  <a:bodyPr/>
                  <a:lstStyle/>
                  <a:p>
                    <a:r>
                      <a:rPr lang="en-US" altLang="zh-TW"/>
                      <a:t>39%</a:t>
                    </a:r>
                  </a:p>
                </c:rich>
              </c:tx>
              <c:dLblPos val="outEnd"/>
              <c:showLegendKey val="0"/>
              <c:showVal val="0"/>
              <c:showCatName val="0"/>
              <c:showSerName val="0"/>
              <c:showPercent val="1"/>
              <c:showBubbleSize val="0"/>
            </c:dLbl>
            <c:dLbl>
              <c:idx val="3"/>
              <c:layout>
                <c:manualLayout>
                  <c:x val="-6.1111111111111109E-2"/>
                  <c:y val="-2.3148148148148168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</c:dLbl>
            <c:dLbl>
              <c:idx val="4"/>
              <c:layout>
                <c:manualLayout>
                  <c:x val="2.7777777777778286E-3"/>
                  <c:y val="-1.3889253426655002E-2"/>
                </c:manualLayout>
              </c:layout>
              <c:tx>
                <c:rich>
                  <a:bodyPr/>
                  <a:lstStyle/>
                  <a:p>
                    <a:r>
                      <a:rPr lang="en-US" altLang="zh-TW"/>
                      <a:t>1%</a:t>
                    </a:r>
                  </a:p>
                </c:rich>
              </c:tx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</c:dLbl>
            <c:dLblPos val="out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工作表1!$B$7:$F$7</c:f>
              <c:strCache>
                <c:ptCount val="5"/>
                <c:pt idx="0">
                  <c:v>博士</c:v>
                </c:pt>
                <c:pt idx="1">
                  <c:v>碩士</c:v>
                </c:pt>
                <c:pt idx="2">
                  <c:v>大學畢</c:v>
                </c:pt>
                <c:pt idx="3">
                  <c:v>專科畢</c:v>
                </c:pt>
                <c:pt idx="4">
                  <c:v>高中(職)</c:v>
                </c:pt>
              </c:strCache>
            </c:strRef>
          </c:cat>
          <c:val>
            <c:numRef>
              <c:f>工作表1!$B$8:$F$8</c:f>
              <c:numCache>
                <c:formatCode>General</c:formatCode>
                <c:ptCount val="5"/>
                <c:pt idx="0">
                  <c:v>14</c:v>
                </c:pt>
                <c:pt idx="1">
                  <c:v>482</c:v>
                </c:pt>
                <c:pt idx="2">
                  <c:v>342</c:v>
                </c:pt>
                <c:pt idx="3">
                  <c:v>29</c:v>
                </c:pt>
                <c:pt idx="4">
                  <c:v>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TW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8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zh-TW" altLang="zh-TW" sz="1400" b="1" i="0" baseline="0">
                <a:effectLst/>
              </a:rPr>
              <a:t>金融監督管理委員會及所屬各局</a:t>
            </a:r>
            <a:endParaRPr lang="zh-TW" altLang="zh-TW" sz="1400">
              <a:effectLst/>
            </a:endParaRPr>
          </a:p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8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en-US" altLang="zh-TW" sz="1400"/>
              <a:t>104</a:t>
            </a:r>
            <a:r>
              <a:rPr lang="zh-TW" altLang="en-US" sz="1400"/>
              <a:t>年職員年齡統計表</a:t>
            </a:r>
          </a:p>
        </c:rich>
      </c:tx>
      <c:layout>
        <c:manualLayout>
          <c:xMode val="edge"/>
          <c:yMode val="edge"/>
          <c:x val="0.20306771325971149"/>
          <c:y val="1.0317194393254035E-3"/>
        </c:manualLayout>
      </c:layout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工作表1!$A$11</c:f>
              <c:strCache>
                <c:ptCount val="1"/>
                <c:pt idx="0">
                  <c:v>人</c:v>
                </c:pt>
              </c:strCache>
            </c:strRef>
          </c:tx>
          <c:dLbls>
            <c:dLbl>
              <c:idx val="0"/>
              <c:layout>
                <c:manualLayout>
                  <c:x val="0.16460322459692539"/>
                  <c:y val="-4.5841185835377135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</c:dLbl>
            <c:dLbl>
              <c:idx val="1"/>
              <c:layout>
                <c:manualLayout>
                  <c:x val="8.0555555555555561E-2"/>
                  <c:y val="-4.6296296296296511E-3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</c:dLbl>
            <c:dLbl>
              <c:idx val="2"/>
              <c:layout>
                <c:manualLayout>
                  <c:x val="-8.3809336625433519E-3"/>
                  <c:y val="3.1520494778578211E-3"/>
                </c:manualLayout>
              </c:layout>
              <c:tx>
                <c:rich>
                  <a:bodyPr/>
                  <a:lstStyle/>
                  <a:p>
                    <a:r>
                      <a:rPr lang="en-US" altLang="zh-TW"/>
                      <a:t>15%</a:t>
                    </a:r>
                  </a:p>
                </c:rich>
              </c:tx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</c:dLbl>
            <c:dLbl>
              <c:idx val="3"/>
              <c:tx>
                <c:rich>
                  <a:bodyPr/>
                  <a:lstStyle/>
                  <a:p>
                    <a:r>
                      <a:rPr lang="en-US" altLang="zh-TW"/>
                      <a:t>12%</a:t>
                    </a:r>
                  </a:p>
                </c:rich>
              </c:tx>
              <c:dLblPos val="outEnd"/>
              <c:showLegendKey val="0"/>
              <c:showVal val="0"/>
              <c:showCatName val="0"/>
              <c:showSerName val="0"/>
              <c:showPercent val="1"/>
              <c:showBubbleSize val="0"/>
            </c:dLbl>
            <c:dLbl>
              <c:idx val="4"/>
              <c:tx>
                <c:rich>
                  <a:bodyPr/>
                  <a:lstStyle/>
                  <a:p>
                    <a:r>
                      <a:rPr lang="en-US" altLang="zh-TW"/>
                      <a:t>19%</a:t>
                    </a:r>
                  </a:p>
                </c:rich>
              </c:tx>
              <c:dLblPos val="outEnd"/>
              <c:showLegendKey val="0"/>
              <c:showVal val="0"/>
              <c:showCatName val="0"/>
              <c:showSerName val="0"/>
              <c:showPercent val="1"/>
              <c:showBubbleSize val="0"/>
            </c:dLbl>
            <c:dLbl>
              <c:idx val="5"/>
              <c:tx>
                <c:rich>
                  <a:bodyPr/>
                  <a:lstStyle/>
                  <a:p>
                    <a:r>
                      <a:rPr lang="en-US" altLang="zh-TW"/>
                      <a:t>26%</a:t>
                    </a:r>
                  </a:p>
                </c:rich>
              </c:tx>
              <c:dLblPos val="outEnd"/>
              <c:showLegendKey val="0"/>
              <c:showVal val="0"/>
              <c:showCatName val="0"/>
              <c:showSerName val="0"/>
              <c:showPercent val="1"/>
              <c:showBubbleSize val="0"/>
            </c:dLbl>
            <c:dLbl>
              <c:idx val="6"/>
              <c:layout>
                <c:manualLayout>
                  <c:x val="4.4244761916460915E-3"/>
                  <c:y val="7.190623778410718E-3"/>
                </c:manualLayout>
              </c:layout>
              <c:tx>
                <c:rich>
                  <a:bodyPr/>
                  <a:lstStyle/>
                  <a:p>
                    <a:r>
                      <a:rPr lang="en-US" altLang="zh-TW"/>
                      <a:t>16%</a:t>
                    </a:r>
                  </a:p>
                </c:rich>
              </c:tx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</c:dLbl>
            <c:dLbl>
              <c:idx val="7"/>
              <c:layout>
                <c:manualLayout>
                  <c:x val="-0.1111111111111111"/>
                  <c:y val="9.2588947214931466E-3"/>
                </c:manualLayout>
              </c:layout>
              <c:tx>
                <c:rich>
                  <a:bodyPr/>
                  <a:lstStyle/>
                  <a:p>
                    <a:r>
                      <a:rPr lang="en-US" altLang="zh-TW"/>
                      <a:t>6%</a:t>
                    </a:r>
                  </a:p>
                </c:rich>
              </c:tx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</c:dLbl>
            <c:dLbl>
              <c:idx val="8"/>
              <c:layout>
                <c:manualLayout>
                  <c:x val="-0.1633333333333333"/>
                  <c:y val="-4.4398907103825137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</c:dLbl>
            <c:dLbl>
              <c:idx val="9"/>
              <c:layout>
                <c:manualLayout>
                  <c:x val="4.1666666666666664E-2"/>
                  <c:y val="-3.7037401574803147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</c:dLbl>
            <c:dLblPos val="out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工作表1!$B$10:$K$10</c:f>
              <c:strCache>
                <c:ptCount val="10"/>
                <c:pt idx="0">
                  <c:v>24歲以下</c:v>
                </c:pt>
                <c:pt idx="1">
                  <c:v>25~29歲</c:v>
                </c:pt>
                <c:pt idx="2">
                  <c:v>30~34歲</c:v>
                </c:pt>
                <c:pt idx="3">
                  <c:v>35~39歲</c:v>
                </c:pt>
                <c:pt idx="4">
                  <c:v>40~44歲</c:v>
                </c:pt>
                <c:pt idx="5">
                  <c:v>45~49歲</c:v>
                </c:pt>
                <c:pt idx="6">
                  <c:v>50~54歲</c:v>
                </c:pt>
                <c:pt idx="7">
                  <c:v>55~59歲</c:v>
                </c:pt>
                <c:pt idx="8">
                  <c:v>60~64歲</c:v>
                </c:pt>
                <c:pt idx="9">
                  <c:v>65歲以上</c:v>
                </c:pt>
              </c:strCache>
            </c:strRef>
          </c:cat>
          <c:val>
            <c:numRef>
              <c:f>工作表1!$B$11:$K$11</c:f>
              <c:numCache>
                <c:formatCode>General</c:formatCode>
                <c:ptCount val="10"/>
                <c:pt idx="0">
                  <c:v>5</c:v>
                </c:pt>
                <c:pt idx="1">
                  <c:v>39</c:v>
                </c:pt>
                <c:pt idx="2">
                  <c:v>119</c:v>
                </c:pt>
                <c:pt idx="3">
                  <c:v>125</c:v>
                </c:pt>
                <c:pt idx="4">
                  <c:v>192</c:v>
                </c:pt>
                <c:pt idx="5">
                  <c:v>220</c:v>
                </c:pt>
                <c:pt idx="6">
                  <c:v>118</c:v>
                </c:pt>
                <c:pt idx="7">
                  <c:v>46</c:v>
                </c:pt>
                <c:pt idx="8">
                  <c:v>7</c:v>
                </c:pt>
                <c:pt idx="9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TW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8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zh-TW" altLang="zh-TW" sz="1400" b="1" i="0" baseline="0">
                <a:effectLst/>
              </a:rPr>
              <a:t>金融監督管理委員會及所屬各局</a:t>
            </a:r>
            <a:endParaRPr lang="zh-TW" altLang="zh-TW" sz="1400">
              <a:effectLst/>
            </a:endParaRPr>
          </a:p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8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en-US" altLang="zh-TW" sz="1400"/>
              <a:t>104</a:t>
            </a:r>
            <a:r>
              <a:rPr lang="zh-TW" altLang="en-US" sz="1400"/>
              <a:t>年主管性別統計表</a:t>
            </a:r>
          </a:p>
        </c:rich>
      </c:tx>
      <c:layout>
        <c:manualLayout>
          <c:xMode val="edge"/>
          <c:yMode val="edge"/>
          <c:x val="0.23451627828892682"/>
          <c:y val="1.8779342723004695E-2"/>
        </c:manualLayout>
      </c:layout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工作表1!$A$4</c:f>
              <c:strCache>
                <c:ptCount val="1"/>
                <c:pt idx="0">
                  <c:v>人</c:v>
                </c:pt>
              </c:strCache>
            </c:strRef>
          </c:tx>
          <c:dLbls>
            <c:dLbl>
              <c:idx val="0"/>
              <c:tx>
                <c:rich>
                  <a:bodyPr/>
                  <a:lstStyle/>
                  <a:p>
                    <a:r>
                      <a:rPr lang="en-US" altLang="zh-TW"/>
                      <a:t>10%</a:t>
                    </a:r>
                  </a:p>
                </c:rich>
              </c:tx>
              <c:dLblPos val="outEnd"/>
              <c:showLegendKey val="0"/>
              <c:showVal val="0"/>
              <c:showCatName val="0"/>
              <c:showSerName val="0"/>
              <c:showPercent val="1"/>
              <c:showBubbleSize val="0"/>
            </c:dLbl>
            <c:dLbl>
              <c:idx val="1"/>
              <c:tx>
                <c:rich>
                  <a:bodyPr/>
                  <a:lstStyle/>
                  <a:p>
                    <a:r>
                      <a:rPr lang="en-US" altLang="zh-TW"/>
                      <a:t>32%</a:t>
                    </a:r>
                  </a:p>
                </c:rich>
              </c:tx>
              <c:dLblPos val="outEnd"/>
              <c:showLegendKey val="0"/>
              <c:showVal val="0"/>
              <c:showCatName val="0"/>
              <c:showSerName val="0"/>
              <c:showPercent val="1"/>
              <c:showBubbleSize val="0"/>
            </c:dLbl>
            <c:dLbl>
              <c:idx val="2"/>
              <c:tx>
                <c:rich>
                  <a:bodyPr/>
                  <a:lstStyle/>
                  <a:p>
                    <a:r>
                      <a:rPr lang="en-US" altLang="zh-TW"/>
                      <a:t>12%</a:t>
                    </a:r>
                  </a:p>
                </c:rich>
              </c:tx>
              <c:dLblPos val="outEnd"/>
              <c:showLegendKey val="0"/>
              <c:showVal val="0"/>
              <c:showCatName val="0"/>
              <c:showSerName val="0"/>
              <c:showPercent val="1"/>
              <c:showBubbleSize val="0"/>
            </c:dLbl>
            <c:dLbl>
              <c:idx val="3"/>
              <c:tx>
                <c:rich>
                  <a:bodyPr/>
                  <a:lstStyle/>
                  <a:p>
                    <a:r>
                      <a:rPr lang="en-US" altLang="zh-TW"/>
                      <a:t>46%</a:t>
                    </a:r>
                  </a:p>
                </c:rich>
              </c:tx>
              <c:dLblPos val="outEnd"/>
              <c:showLegendKey val="0"/>
              <c:showVal val="0"/>
              <c:showCatName val="0"/>
              <c:showSerName val="0"/>
              <c:showPercent val="1"/>
              <c:showBubbleSize val="0"/>
            </c:dLbl>
            <c:dLblPos val="out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工作表1!$B$3:$E$3</c:f>
              <c:strCache>
                <c:ptCount val="4"/>
                <c:pt idx="0">
                  <c:v>男性主管</c:v>
                </c:pt>
                <c:pt idx="1">
                  <c:v>男性非主管</c:v>
                </c:pt>
                <c:pt idx="2">
                  <c:v>女性主管</c:v>
                </c:pt>
                <c:pt idx="3">
                  <c:v>女性非主管</c:v>
                </c:pt>
              </c:strCache>
            </c:strRef>
          </c:cat>
          <c:val>
            <c:numRef>
              <c:f>工作表1!$B$4:$E$4</c:f>
              <c:numCache>
                <c:formatCode>General</c:formatCode>
                <c:ptCount val="4"/>
                <c:pt idx="0">
                  <c:v>94</c:v>
                </c:pt>
                <c:pt idx="1">
                  <c:v>269</c:v>
                </c:pt>
                <c:pt idx="2">
                  <c:v>99</c:v>
                </c:pt>
                <c:pt idx="3">
                  <c:v>410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鄧雅倫</dc:creator>
  <cp:lastModifiedBy>林雅芳</cp:lastModifiedBy>
  <cp:revision>3</cp:revision>
  <dcterms:created xsi:type="dcterms:W3CDTF">2016-04-19T11:43:00Z</dcterms:created>
  <dcterms:modified xsi:type="dcterms:W3CDTF">2016-04-19T11:44:00Z</dcterms:modified>
</cp:coreProperties>
</file>