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E7" w:rsidRDefault="00396A6D" w:rsidP="00DF1CFF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  <w:lang w:eastAsia="zh-HK"/>
        </w:rPr>
        <w:t>我國</w:t>
      </w:r>
      <w:r w:rsidR="00A2731C" w:rsidRPr="00A2731C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期貨市場交易人性別與交易行為分析</w:t>
      </w:r>
    </w:p>
    <w:p w:rsidR="00A2731C" w:rsidRPr="00A2731C" w:rsidRDefault="00396A6D" w:rsidP="00250A10">
      <w:pPr>
        <w:spacing w:line="400" w:lineRule="exact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2017</w:t>
      </w:r>
      <w:r w:rsidR="00BF775C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01</w:t>
      </w:r>
      <w:r w:rsidR="00BF775C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="003E6543">
        <w:rPr>
          <w:rFonts w:ascii="Times New Roman" w:eastAsia="標楷體" w:hAnsi="Times New Roman" w:cs="Times New Roman" w:hint="eastAsia"/>
          <w:kern w:val="0"/>
          <w:sz w:val="28"/>
          <w:szCs w:val="28"/>
        </w:rPr>
        <w:t>16</w:t>
      </w:r>
    </w:p>
    <w:p w:rsidR="006577D5" w:rsidRDefault="006577D5">
      <w:pPr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一、我國期貨市場交易概況</w:t>
      </w:r>
    </w:p>
    <w:p w:rsidR="00975C9A" w:rsidRDefault="004C23AC" w:rsidP="00250A10">
      <w:pPr>
        <w:spacing w:line="500" w:lineRule="exact"/>
        <w:ind w:firstLineChars="202" w:firstLine="566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C23AC">
        <w:rPr>
          <w:rFonts w:ascii="Times New Roman" w:eastAsia="標楷體" w:hAnsi="標楷體" w:cs="Times New Roman" w:hint="eastAsia"/>
          <w:sz w:val="28"/>
          <w:szCs w:val="28"/>
        </w:rPr>
        <w:t>我國期貨市場</w:t>
      </w:r>
      <w:r w:rsidR="003E09C4">
        <w:rPr>
          <w:rFonts w:ascii="Times New Roman" w:eastAsia="標楷體" w:hAnsi="標楷體" w:cs="Times New Roman" w:hint="eastAsia"/>
          <w:sz w:val="28"/>
          <w:szCs w:val="28"/>
        </w:rPr>
        <w:t>自</w:t>
      </w:r>
      <w:r w:rsidRPr="004C23AC">
        <w:rPr>
          <w:rFonts w:ascii="Times New Roman" w:eastAsia="標楷體" w:hAnsi="標楷體" w:cs="Times New Roman" w:hint="eastAsia"/>
          <w:sz w:val="28"/>
          <w:szCs w:val="28"/>
        </w:rPr>
        <w:t>1998</w:t>
      </w:r>
      <w:r w:rsidR="00707B71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Pr="004C23AC">
        <w:rPr>
          <w:rFonts w:ascii="Times New Roman" w:eastAsia="標楷體" w:hAnsi="標楷體" w:cs="Times New Roman" w:hint="eastAsia"/>
          <w:sz w:val="28"/>
          <w:szCs w:val="28"/>
        </w:rPr>
        <w:t>成立後，</w:t>
      </w:r>
      <w:r w:rsidR="00707B71" w:rsidRPr="00707B71">
        <w:rPr>
          <w:rFonts w:ascii="Times New Roman" w:eastAsia="標楷體" w:hAnsi="標楷體" w:cs="Times New Roman" w:hint="eastAsia"/>
          <w:sz w:val="28"/>
          <w:szCs w:val="28"/>
        </w:rPr>
        <w:t>交易人</w:t>
      </w:r>
      <w:r w:rsidR="005E3AD2">
        <w:rPr>
          <w:rFonts w:ascii="Times New Roman" w:eastAsia="標楷體" w:hAnsi="標楷體" w:cs="Times New Roman" w:hint="eastAsia"/>
          <w:sz w:val="28"/>
          <w:szCs w:val="28"/>
        </w:rPr>
        <w:t>總</w:t>
      </w:r>
      <w:r w:rsidR="00707B71" w:rsidRPr="00707B71">
        <w:rPr>
          <w:rFonts w:ascii="Times New Roman" w:eastAsia="標楷體" w:hAnsi="標楷體" w:cs="Times New Roman" w:hint="eastAsia"/>
          <w:sz w:val="28"/>
          <w:szCs w:val="28"/>
        </w:rPr>
        <w:t>開戶數逐年穩定上升</w:t>
      </w:r>
      <w:r w:rsidR="00707B71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A070A0">
        <w:rPr>
          <w:rFonts w:ascii="Times New Roman" w:eastAsia="標楷體" w:hAnsi="標楷體" w:cs="Times New Roman" w:hint="eastAsia"/>
          <w:sz w:val="28"/>
          <w:szCs w:val="28"/>
        </w:rPr>
        <w:t>每年新開戶人數</w:t>
      </w:r>
      <w:r w:rsidR="00A96049">
        <w:rPr>
          <w:rFonts w:ascii="Times New Roman" w:eastAsia="標楷體" w:hAnsi="標楷體" w:cs="Times New Roman" w:hint="eastAsia"/>
          <w:sz w:val="28"/>
          <w:szCs w:val="28"/>
        </w:rPr>
        <w:t>平均約</w:t>
      </w:r>
      <w:r w:rsidR="00A070A0">
        <w:rPr>
          <w:rFonts w:ascii="Times New Roman" w:eastAsia="標楷體" w:hAnsi="標楷體" w:cs="Times New Roman" w:hint="eastAsia"/>
          <w:sz w:val="28"/>
          <w:szCs w:val="28"/>
        </w:rPr>
        <w:t>8</w:t>
      </w:r>
      <w:r w:rsidR="00A070A0">
        <w:rPr>
          <w:rFonts w:ascii="Times New Roman" w:eastAsia="標楷體" w:hAnsi="標楷體" w:cs="Times New Roman" w:hint="eastAsia"/>
          <w:sz w:val="28"/>
          <w:szCs w:val="28"/>
        </w:rPr>
        <w:t>萬人，至</w:t>
      </w:r>
      <w:r w:rsidR="00A070A0">
        <w:rPr>
          <w:rFonts w:ascii="Times New Roman" w:eastAsia="標楷體" w:hAnsi="標楷體" w:cs="Times New Roman" w:hint="eastAsia"/>
          <w:sz w:val="28"/>
          <w:szCs w:val="28"/>
        </w:rPr>
        <w:t>2003</w:t>
      </w:r>
      <w:r w:rsidR="00A070A0">
        <w:rPr>
          <w:rFonts w:ascii="Times New Roman" w:eastAsia="標楷體" w:hAnsi="標楷體" w:cs="Times New Roman" w:hint="eastAsia"/>
          <w:sz w:val="28"/>
          <w:szCs w:val="28"/>
        </w:rPr>
        <w:t>年新開戶人數達最高峰</w:t>
      </w:r>
      <w:r w:rsidR="00A070A0">
        <w:rPr>
          <w:rFonts w:ascii="Times New Roman" w:eastAsia="標楷體" w:hAnsi="標楷體" w:cs="Times New Roman" w:hint="eastAsia"/>
          <w:sz w:val="28"/>
          <w:szCs w:val="28"/>
        </w:rPr>
        <w:t>28</w:t>
      </w:r>
      <w:r w:rsidR="00A070A0">
        <w:rPr>
          <w:rFonts w:ascii="Times New Roman" w:eastAsia="標楷體" w:hAnsi="標楷體" w:cs="Times New Roman" w:hint="eastAsia"/>
          <w:sz w:val="28"/>
          <w:szCs w:val="28"/>
        </w:rPr>
        <w:t>萬</w:t>
      </w:r>
      <w:r w:rsidR="00A070A0">
        <w:rPr>
          <w:rFonts w:ascii="Times New Roman" w:eastAsia="標楷體" w:hAnsi="標楷體" w:cs="Times New Roman" w:hint="eastAsia"/>
          <w:sz w:val="28"/>
          <w:szCs w:val="28"/>
        </w:rPr>
        <w:t>5</w:t>
      </w:r>
      <w:r w:rsidR="00A070A0">
        <w:rPr>
          <w:rFonts w:ascii="Times New Roman" w:eastAsia="標楷體" w:hAnsi="標楷體" w:cs="Times New Roman" w:hint="eastAsia"/>
          <w:sz w:val="28"/>
          <w:szCs w:val="28"/>
        </w:rPr>
        <w:t>千人。</w:t>
      </w:r>
      <w:r w:rsidR="00A96049">
        <w:rPr>
          <w:rFonts w:ascii="Times New Roman" w:eastAsia="標楷體" w:hAnsi="標楷體" w:cs="Times New Roman" w:hint="eastAsia"/>
          <w:sz w:val="28"/>
          <w:szCs w:val="28"/>
        </w:rPr>
        <w:t>自</w:t>
      </w:r>
      <w:r w:rsidR="00A96049">
        <w:rPr>
          <w:rFonts w:ascii="Times New Roman" w:eastAsia="標楷體" w:hAnsi="標楷體" w:cs="Times New Roman" w:hint="eastAsia"/>
          <w:sz w:val="28"/>
          <w:szCs w:val="28"/>
        </w:rPr>
        <w:t>2004</w:t>
      </w:r>
      <w:r w:rsidR="00A96049">
        <w:rPr>
          <w:rFonts w:ascii="Times New Roman" w:eastAsia="標楷體" w:hAnsi="標楷體" w:cs="Times New Roman" w:hint="eastAsia"/>
          <w:sz w:val="28"/>
          <w:szCs w:val="28"/>
        </w:rPr>
        <w:t>年後，除</w:t>
      </w:r>
      <w:r w:rsidR="00A96049">
        <w:rPr>
          <w:rFonts w:ascii="Times New Roman" w:eastAsia="標楷體" w:hAnsi="標楷體" w:cs="Times New Roman" w:hint="eastAsia"/>
          <w:sz w:val="28"/>
          <w:szCs w:val="28"/>
        </w:rPr>
        <w:t>2014</w:t>
      </w:r>
      <w:r w:rsidR="00A96049">
        <w:rPr>
          <w:rFonts w:ascii="Times New Roman" w:eastAsia="標楷體" w:hAnsi="標楷體" w:cs="Times New Roman" w:hint="eastAsia"/>
          <w:sz w:val="28"/>
          <w:szCs w:val="28"/>
        </w:rPr>
        <w:t>年新開戶人數僅</w:t>
      </w:r>
      <w:r w:rsidR="00A96049">
        <w:rPr>
          <w:rFonts w:ascii="Times New Roman" w:eastAsia="標楷體" w:hAnsi="標楷體" w:cs="Times New Roman" w:hint="eastAsia"/>
          <w:sz w:val="28"/>
          <w:szCs w:val="28"/>
        </w:rPr>
        <w:t>6</w:t>
      </w:r>
      <w:r w:rsidR="00A96049">
        <w:rPr>
          <w:rFonts w:ascii="Times New Roman" w:eastAsia="標楷體" w:hAnsi="標楷體" w:cs="Times New Roman" w:hint="eastAsia"/>
          <w:sz w:val="28"/>
          <w:szCs w:val="28"/>
        </w:rPr>
        <w:t>萬</w:t>
      </w:r>
      <w:r w:rsidR="00A96049">
        <w:rPr>
          <w:rFonts w:ascii="Times New Roman" w:eastAsia="標楷體" w:hAnsi="標楷體" w:cs="Times New Roman" w:hint="eastAsia"/>
          <w:sz w:val="28"/>
          <w:szCs w:val="28"/>
        </w:rPr>
        <w:t>8</w:t>
      </w:r>
      <w:r w:rsidR="00A96049">
        <w:rPr>
          <w:rFonts w:ascii="Times New Roman" w:eastAsia="標楷體" w:hAnsi="標楷體" w:cs="Times New Roman" w:hint="eastAsia"/>
          <w:sz w:val="28"/>
          <w:szCs w:val="28"/>
        </w:rPr>
        <w:t>千人外，其餘年度</w:t>
      </w:r>
      <w:r w:rsidR="0001708B">
        <w:rPr>
          <w:rFonts w:ascii="Times New Roman" w:eastAsia="標楷體" w:hAnsi="標楷體" w:cs="Times New Roman" w:hint="eastAsia"/>
          <w:sz w:val="28"/>
          <w:szCs w:val="28"/>
        </w:rPr>
        <w:t>皆</w:t>
      </w:r>
      <w:r w:rsidR="00A96049">
        <w:rPr>
          <w:rFonts w:ascii="Times New Roman" w:eastAsia="標楷體" w:hAnsi="標楷體" w:cs="Times New Roman" w:hint="eastAsia"/>
          <w:sz w:val="28"/>
          <w:szCs w:val="28"/>
        </w:rPr>
        <w:t>超過</w:t>
      </w:r>
      <w:r w:rsidR="00A96049">
        <w:rPr>
          <w:rFonts w:ascii="Times New Roman" w:eastAsia="標楷體" w:hAnsi="標楷體" w:cs="Times New Roman" w:hint="eastAsia"/>
          <w:sz w:val="28"/>
          <w:szCs w:val="28"/>
        </w:rPr>
        <w:t>8</w:t>
      </w:r>
      <w:r w:rsidR="00A96049">
        <w:rPr>
          <w:rFonts w:ascii="Times New Roman" w:eastAsia="標楷體" w:hAnsi="標楷體" w:cs="Times New Roman" w:hint="eastAsia"/>
          <w:sz w:val="28"/>
          <w:szCs w:val="28"/>
        </w:rPr>
        <w:t>萬人。</w:t>
      </w:r>
      <w:r w:rsidR="00707B71">
        <w:rPr>
          <w:rFonts w:ascii="Times New Roman" w:eastAsia="標楷體" w:hAnsi="標楷體" w:cs="Times New Roman" w:hint="eastAsia"/>
          <w:sz w:val="28"/>
          <w:szCs w:val="28"/>
        </w:rPr>
        <w:t>我國期貨市場自成立</w:t>
      </w:r>
      <w:r w:rsidR="00A96049">
        <w:rPr>
          <w:rFonts w:ascii="Times New Roman" w:eastAsia="標楷體" w:hAnsi="標楷體" w:cs="Times New Roman" w:hint="eastAsia"/>
          <w:sz w:val="28"/>
          <w:szCs w:val="28"/>
        </w:rPr>
        <w:t>以來交易量</w:t>
      </w:r>
      <w:r w:rsidR="00707B71">
        <w:rPr>
          <w:rFonts w:ascii="Times New Roman" w:eastAsia="標楷體" w:hAnsi="標楷體" w:cs="Times New Roman" w:hint="eastAsia"/>
          <w:sz w:val="28"/>
          <w:szCs w:val="28"/>
        </w:rPr>
        <w:t>亦呈現</w:t>
      </w:r>
      <w:r w:rsidR="00A96049">
        <w:rPr>
          <w:rFonts w:ascii="Times New Roman" w:eastAsia="標楷體" w:hAnsi="標楷體" w:cs="Times New Roman" w:hint="eastAsia"/>
          <w:sz w:val="28"/>
          <w:szCs w:val="28"/>
        </w:rPr>
        <w:t>逐年成長，</w:t>
      </w:r>
      <w:r w:rsidR="00A96049">
        <w:rPr>
          <w:rFonts w:ascii="Times New Roman" w:eastAsia="標楷體" w:hAnsi="標楷體" w:cs="Times New Roman" w:hint="eastAsia"/>
          <w:sz w:val="28"/>
          <w:szCs w:val="28"/>
        </w:rPr>
        <w:t>2014</w:t>
      </w:r>
      <w:r w:rsidR="00975C9A">
        <w:rPr>
          <w:rFonts w:ascii="Times New Roman" w:eastAsia="標楷體" w:hAnsi="標楷體" w:cs="Times New Roman" w:hint="eastAsia"/>
          <w:sz w:val="28"/>
          <w:szCs w:val="28"/>
        </w:rPr>
        <w:t>年突破</w:t>
      </w:r>
      <w:r w:rsidR="00975C9A">
        <w:rPr>
          <w:rFonts w:ascii="Times New Roman" w:eastAsia="標楷體" w:hAnsi="標楷體" w:cs="Times New Roman" w:hint="eastAsia"/>
          <w:sz w:val="28"/>
          <w:szCs w:val="28"/>
        </w:rPr>
        <w:t>2</w:t>
      </w:r>
      <w:r w:rsidR="00975C9A">
        <w:rPr>
          <w:rFonts w:ascii="Times New Roman" w:eastAsia="標楷體" w:hAnsi="標楷體" w:cs="Times New Roman" w:hint="eastAsia"/>
          <w:sz w:val="28"/>
          <w:szCs w:val="28"/>
        </w:rPr>
        <w:t>億口大關，</w:t>
      </w:r>
      <w:r w:rsidR="00975C9A">
        <w:rPr>
          <w:rFonts w:ascii="Times New Roman" w:eastAsia="標楷體" w:hAnsi="標楷體" w:cs="Times New Roman" w:hint="eastAsia"/>
          <w:sz w:val="28"/>
          <w:szCs w:val="28"/>
        </w:rPr>
        <w:t>20</w:t>
      </w:r>
      <w:r w:rsidR="00975C9A">
        <w:rPr>
          <w:rFonts w:ascii="Times New Roman" w:eastAsia="標楷體" w:hAnsi="標楷體" w:cs="Times New Roman"/>
          <w:sz w:val="28"/>
          <w:szCs w:val="28"/>
        </w:rPr>
        <w:t>15</w:t>
      </w:r>
      <w:r w:rsidR="00975C9A">
        <w:rPr>
          <w:rFonts w:ascii="Times New Roman" w:eastAsia="標楷體" w:hAnsi="標楷體" w:cs="Times New Roman" w:hint="eastAsia"/>
          <w:sz w:val="28"/>
          <w:szCs w:val="28"/>
        </w:rPr>
        <w:t>年交易量更成長到</w:t>
      </w:r>
      <w:r w:rsidR="00975C9A">
        <w:rPr>
          <w:rFonts w:ascii="Times New Roman" w:eastAsia="標楷體" w:hAnsi="標楷體" w:cs="Times New Roman" w:hint="eastAsia"/>
          <w:sz w:val="28"/>
          <w:szCs w:val="28"/>
        </w:rPr>
        <w:t>2.6</w:t>
      </w:r>
      <w:r w:rsidR="00975C9A">
        <w:rPr>
          <w:rFonts w:ascii="Times New Roman" w:eastAsia="標楷體" w:hAnsi="標楷體" w:cs="Times New Roman" w:hint="eastAsia"/>
          <w:sz w:val="28"/>
          <w:szCs w:val="28"/>
        </w:rPr>
        <w:t>億口，為歷史高峰</w:t>
      </w:r>
      <w:r w:rsidR="00396A6D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396A6D">
        <w:rPr>
          <w:rFonts w:ascii="Times New Roman" w:eastAsia="標楷體" w:hAnsi="標楷體" w:cs="Times New Roman" w:hint="eastAsia"/>
          <w:sz w:val="28"/>
          <w:szCs w:val="28"/>
        </w:rPr>
        <w:t>2014</w:t>
      </w:r>
      <w:r w:rsidR="00396A6D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年及</w:t>
      </w:r>
      <w:r w:rsidR="00396A6D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2015</w:t>
      </w:r>
      <w:r w:rsidR="00396A6D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年成長</w:t>
      </w:r>
      <w:r w:rsidR="008B589A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率</w:t>
      </w:r>
      <w:r w:rsidR="00396A6D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均達</w:t>
      </w:r>
      <w:r w:rsidR="00396A6D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3</w:t>
      </w:r>
      <w:r w:rsidR="00396A6D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成</w:t>
      </w:r>
      <w:r w:rsidR="00396A6D">
        <w:rPr>
          <w:rFonts w:ascii="Times New Roman" w:eastAsia="標楷體" w:hAnsi="標楷體" w:cs="Times New Roman" w:hint="eastAsia"/>
          <w:sz w:val="28"/>
          <w:szCs w:val="28"/>
        </w:rPr>
        <w:t>。</w:t>
      </w:r>
      <w:r w:rsidR="00031EBF" w:rsidRPr="00396A6D">
        <w:rPr>
          <w:rFonts w:ascii="Times New Roman" w:eastAsia="標楷體" w:hAnsi="標楷體" w:cs="Times New Roman" w:hint="eastAsia"/>
          <w:sz w:val="28"/>
          <w:szCs w:val="28"/>
        </w:rPr>
        <w:t>2016</w:t>
      </w:r>
      <w:r w:rsidR="00031EBF" w:rsidRPr="00396A6D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975C9A" w:rsidRPr="00396A6D">
        <w:rPr>
          <w:rFonts w:ascii="Times New Roman" w:eastAsia="標楷體" w:hAnsi="標楷體" w:cs="Times New Roman" w:hint="eastAsia"/>
          <w:sz w:val="28"/>
          <w:szCs w:val="28"/>
        </w:rPr>
        <w:t>總交易量</w:t>
      </w:r>
      <w:r w:rsidR="00031EBF" w:rsidRPr="00396A6D">
        <w:rPr>
          <w:rFonts w:ascii="Times New Roman" w:eastAsia="標楷體" w:hAnsi="標楷體" w:cs="Times New Roman" w:hint="eastAsia"/>
          <w:sz w:val="28"/>
          <w:szCs w:val="28"/>
        </w:rPr>
        <w:t>為</w:t>
      </w:r>
      <w:r w:rsidR="00F050C4" w:rsidRPr="00396A6D">
        <w:rPr>
          <w:rFonts w:ascii="Times New Roman" w:eastAsia="標楷體" w:hAnsi="標楷體" w:cs="Times New Roman"/>
          <w:sz w:val="28"/>
          <w:szCs w:val="28"/>
        </w:rPr>
        <w:t>2.</w:t>
      </w:r>
      <w:r w:rsidR="00F050C4" w:rsidRPr="00396A6D">
        <w:rPr>
          <w:rFonts w:ascii="Times New Roman" w:eastAsia="標楷體" w:hAnsi="標楷體" w:cs="Times New Roman" w:hint="eastAsia"/>
          <w:sz w:val="28"/>
          <w:szCs w:val="28"/>
        </w:rPr>
        <w:t>41</w:t>
      </w:r>
      <w:r w:rsidR="0050210F" w:rsidRPr="00396A6D">
        <w:rPr>
          <w:rFonts w:ascii="Times New Roman" w:eastAsia="標楷體" w:hAnsi="標楷體" w:cs="Times New Roman" w:hint="eastAsia"/>
          <w:sz w:val="28"/>
          <w:szCs w:val="28"/>
        </w:rPr>
        <w:t>億口</w:t>
      </w:r>
      <w:r w:rsidR="00396A6D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50210F">
        <w:rPr>
          <w:rFonts w:ascii="Times New Roman" w:eastAsia="標楷體" w:hAnsi="標楷體" w:cs="Times New Roman" w:hint="eastAsia"/>
          <w:sz w:val="28"/>
          <w:szCs w:val="28"/>
        </w:rPr>
        <w:t>雖較前一年下滑，但</w:t>
      </w:r>
      <w:r w:rsidR="00975C9A">
        <w:rPr>
          <w:rFonts w:ascii="Times New Roman" w:eastAsia="標楷體" w:hAnsi="標楷體" w:cs="Times New Roman" w:hint="eastAsia"/>
          <w:sz w:val="28"/>
          <w:szCs w:val="28"/>
        </w:rPr>
        <w:t>仍達</w:t>
      </w:r>
      <w:r w:rsidR="00975C9A">
        <w:rPr>
          <w:rFonts w:ascii="Times New Roman" w:eastAsia="標楷體" w:hAnsi="標楷體" w:cs="Times New Roman" w:hint="eastAsia"/>
          <w:sz w:val="28"/>
          <w:szCs w:val="28"/>
        </w:rPr>
        <w:t>2</w:t>
      </w:r>
      <w:r w:rsidR="00975C9A">
        <w:rPr>
          <w:rFonts w:ascii="Times New Roman" w:eastAsia="標楷體" w:hAnsi="標楷體" w:cs="Times New Roman" w:hint="eastAsia"/>
          <w:sz w:val="28"/>
          <w:szCs w:val="28"/>
        </w:rPr>
        <w:t>億口水準。以下</w:t>
      </w:r>
      <w:r w:rsidR="007D6968">
        <w:rPr>
          <w:rFonts w:ascii="Times New Roman" w:eastAsia="標楷體" w:hAnsi="標楷體" w:cs="Times New Roman" w:hint="eastAsia"/>
          <w:sz w:val="28"/>
          <w:szCs w:val="28"/>
        </w:rPr>
        <w:t>將</w:t>
      </w:r>
      <w:r w:rsidR="00975C9A">
        <w:rPr>
          <w:rFonts w:ascii="Times New Roman" w:eastAsia="標楷體" w:hAnsi="標楷體" w:cs="Times New Roman" w:hint="eastAsia"/>
          <w:sz w:val="28"/>
          <w:szCs w:val="28"/>
        </w:rPr>
        <w:t>就我國</w:t>
      </w:r>
      <w:r w:rsidR="00396A6D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期貨市場</w:t>
      </w:r>
      <w:r w:rsidR="00975C9A">
        <w:rPr>
          <w:rFonts w:ascii="Times New Roman" w:eastAsia="標楷體" w:hAnsi="標楷體" w:cs="Times New Roman" w:hint="eastAsia"/>
          <w:sz w:val="28"/>
          <w:szCs w:val="28"/>
        </w:rPr>
        <w:t>男性與女性之</w:t>
      </w:r>
      <w:r w:rsidR="0001708B">
        <w:rPr>
          <w:rFonts w:ascii="Times New Roman" w:eastAsia="標楷體" w:hAnsi="標楷體" w:cs="Times New Roman" w:hint="eastAsia"/>
          <w:sz w:val="28"/>
          <w:szCs w:val="28"/>
        </w:rPr>
        <w:t>新</w:t>
      </w:r>
      <w:r w:rsidR="00975C9A">
        <w:rPr>
          <w:rFonts w:ascii="Times New Roman" w:eastAsia="標楷體" w:hAnsi="標楷體" w:cs="Times New Roman" w:hint="eastAsia"/>
          <w:sz w:val="28"/>
          <w:szCs w:val="28"/>
        </w:rPr>
        <w:t>開戶數及交易量統計</w:t>
      </w:r>
      <w:r w:rsidR="00396A6D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進行</w:t>
      </w:r>
      <w:r w:rsidR="00975C9A">
        <w:rPr>
          <w:rFonts w:ascii="Times New Roman" w:eastAsia="標楷體" w:hAnsi="標楷體" w:cs="Times New Roman" w:hint="eastAsia"/>
          <w:sz w:val="28"/>
          <w:szCs w:val="28"/>
        </w:rPr>
        <w:t>分析，</w:t>
      </w:r>
      <w:r w:rsidR="00396A6D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並進一步</w:t>
      </w:r>
      <w:r w:rsidR="00975C9A">
        <w:rPr>
          <w:rFonts w:ascii="Times New Roman" w:eastAsia="標楷體" w:hAnsi="標楷體" w:cs="Times New Roman" w:hint="eastAsia"/>
          <w:sz w:val="28"/>
          <w:szCs w:val="28"/>
        </w:rPr>
        <w:t>檢視</w:t>
      </w:r>
      <w:r w:rsidR="007D6968">
        <w:rPr>
          <w:rFonts w:ascii="Times New Roman" w:eastAsia="標楷體" w:hAnsi="標楷體" w:cs="Times New Roman" w:hint="eastAsia"/>
          <w:sz w:val="28"/>
          <w:szCs w:val="28"/>
        </w:rPr>
        <w:t>我國期貨市場男性與女性</w:t>
      </w:r>
      <w:r w:rsidR="00396A6D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之</w:t>
      </w:r>
      <w:r w:rsidR="007D6968">
        <w:rPr>
          <w:rFonts w:ascii="Times New Roman" w:eastAsia="標楷體" w:hAnsi="標楷體" w:cs="Times New Roman" w:hint="eastAsia"/>
          <w:sz w:val="28"/>
          <w:szCs w:val="28"/>
        </w:rPr>
        <w:t>交易概況。</w:t>
      </w:r>
    </w:p>
    <w:p w:rsidR="007D6968" w:rsidRDefault="006577D5" w:rsidP="00250A10">
      <w:pPr>
        <w:spacing w:beforeLines="100" w:before="36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二</w:t>
      </w:r>
      <w:r w:rsidR="00DF1CFF" w:rsidRPr="00DF1CFF">
        <w:rPr>
          <w:rFonts w:ascii="Times New Roman" w:eastAsia="標楷體" w:hAnsi="標楷體" w:cs="Times New Roman"/>
          <w:sz w:val="28"/>
          <w:szCs w:val="28"/>
        </w:rPr>
        <w:t>、</w:t>
      </w:r>
      <w:r w:rsidR="00496D9F">
        <w:rPr>
          <w:rFonts w:ascii="Times New Roman" w:eastAsia="標楷體" w:hAnsi="標楷體" w:cs="Times New Roman" w:hint="eastAsia"/>
          <w:sz w:val="28"/>
          <w:szCs w:val="28"/>
        </w:rPr>
        <w:t>男性與女性交易概況分析</w:t>
      </w:r>
    </w:p>
    <w:p w:rsidR="00422CE7" w:rsidRDefault="007D6968">
      <w:pPr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sz w:val="28"/>
          <w:szCs w:val="28"/>
        </w:rPr>
        <w:t>一</w:t>
      </w:r>
      <w:r w:rsidR="00250A10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DF1CFF" w:rsidRPr="00DF1CFF">
        <w:rPr>
          <w:rFonts w:ascii="Times New Roman" w:eastAsia="標楷體" w:hAnsi="標楷體" w:cs="Times New Roman"/>
          <w:sz w:val="28"/>
          <w:szCs w:val="28"/>
        </w:rPr>
        <w:t>開戶數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及交易量</w:t>
      </w:r>
      <w:r w:rsidR="00DF1CFF" w:rsidRPr="00DF1CFF">
        <w:rPr>
          <w:rFonts w:ascii="Times New Roman" w:eastAsia="標楷體" w:hAnsi="標楷體" w:cs="Times New Roman"/>
          <w:sz w:val="28"/>
          <w:szCs w:val="28"/>
        </w:rPr>
        <w:t>統計</w:t>
      </w:r>
      <w:r w:rsidR="00A2731C">
        <w:rPr>
          <w:rFonts w:ascii="Times New Roman" w:eastAsia="標楷體" w:hAnsi="標楷體" w:cs="Times New Roman" w:hint="eastAsia"/>
          <w:sz w:val="28"/>
          <w:szCs w:val="28"/>
        </w:rPr>
        <w:t>分析</w:t>
      </w:r>
    </w:p>
    <w:p w:rsidR="00D96DAF" w:rsidRDefault="00A2731C" w:rsidP="008B589A">
      <w:pPr>
        <w:spacing w:line="500" w:lineRule="exact"/>
        <w:ind w:firstLineChars="202" w:firstLine="566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觀察</w:t>
      </w:r>
      <w:r>
        <w:rPr>
          <w:rFonts w:ascii="Times New Roman" w:eastAsia="標楷體" w:hAnsi="標楷體" w:cs="Times New Roman" w:hint="eastAsia"/>
          <w:sz w:val="28"/>
          <w:szCs w:val="28"/>
        </w:rPr>
        <w:t>1998</w:t>
      </w:r>
      <w:r>
        <w:rPr>
          <w:rFonts w:ascii="Times New Roman" w:eastAsia="標楷體" w:hAnsi="標楷體" w:cs="Times New Roman" w:hint="eastAsia"/>
          <w:sz w:val="28"/>
          <w:szCs w:val="28"/>
        </w:rPr>
        <w:t>年至</w:t>
      </w:r>
      <w:r>
        <w:rPr>
          <w:rFonts w:ascii="Times New Roman" w:eastAsia="標楷體" w:hAnsi="標楷體" w:cs="Times New Roman" w:hint="eastAsia"/>
          <w:sz w:val="28"/>
          <w:szCs w:val="28"/>
        </w:rPr>
        <w:t>2</w:t>
      </w:r>
      <w:r>
        <w:rPr>
          <w:rFonts w:ascii="Times New Roman" w:eastAsia="標楷體" w:hAnsi="標楷體" w:cs="Times New Roman"/>
          <w:sz w:val="28"/>
          <w:szCs w:val="28"/>
        </w:rPr>
        <w:t>016</w:t>
      </w:r>
      <w:r w:rsidR="007945AC">
        <w:rPr>
          <w:rFonts w:ascii="Times New Roman" w:eastAsia="標楷體" w:hAnsi="標楷體" w:cs="Times New Roman" w:hint="eastAsia"/>
          <w:sz w:val="28"/>
          <w:szCs w:val="28"/>
        </w:rPr>
        <w:t>年間我國期貨市場男、女性</w:t>
      </w:r>
      <w:r>
        <w:rPr>
          <w:rFonts w:ascii="Times New Roman" w:eastAsia="標楷體" w:hAnsi="標楷體" w:cs="Times New Roman" w:hint="eastAsia"/>
          <w:sz w:val="28"/>
          <w:szCs w:val="28"/>
        </w:rPr>
        <w:t>新開戶</w:t>
      </w:r>
      <w:r w:rsidR="008B589A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數</w:t>
      </w:r>
      <w:r w:rsidR="007945AC">
        <w:rPr>
          <w:rFonts w:ascii="Times New Roman" w:eastAsia="標楷體" w:hAnsi="標楷體" w:cs="Times New Roman" w:hint="eastAsia"/>
          <w:sz w:val="28"/>
          <w:szCs w:val="28"/>
        </w:rPr>
        <w:t>比重，</w:t>
      </w:r>
      <w:r w:rsidR="00AA0E8F" w:rsidRPr="00AA0E8F">
        <w:rPr>
          <w:rFonts w:ascii="Times New Roman" w:eastAsia="標楷體" w:hAnsi="標楷體" w:cs="Times New Roman" w:hint="eastAsia"/>
          <w:sz w:val="28"/>
          <w:szCs w:val="28"/>
        </w:rPr>
        <w:t>男性交易人之新開戶</w:t>
      </w:r>
      <w:r w:rsidR="008B589A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數</w:t>
      </w:r>
      <w:r w:rsidR="00AA0E8F" w:rsidRPr="00AA0E8F">
        <w:rPr>
          <w:rFonts w:ascii="Times New Roman" w:eastAsia="標楷體" w:hAnsi="標楷體" w:cs="Times New Roman" w:hint="eastAsia"/>
          <w:sz w:val="28"/>
          <w:szCs w:val="28"/>
        </w:rPr>
        <w:t>比重由</w:t>
      </w:r>
      <w:r w:rsidR="00AA0E8F" w:rsidRPr="00AA0E8F">
        <w:rPr>
          <w:rFonts w:ascii="Times New Roman" w:eastAsia="標楷體" w:hAnsi="標楷體" w:cs="Times New Roman" w:hint="eastAsia"/>
          <w:sz w:val="28"/>
          <w:szCs w:val="28"/>
        </w:rPr>
        <w:t>1998</w:t>
      </w:r>
      <w:r w:rsidR="00AA0E8F" w:rsidRPr="00AA0E8F">
        <w:rPr>
          <w:rFonts w:ascii="Times New Roman" w:eastAsia="標楷體" w:hAnsi="標楷體" w:cs="Times New Roman" w:hint="eastAsia"/>
          <w:sz w:val="28"/>
          <w:szCs w:val="28"/>
        </w:rPr>
        <w:t>年之</w:t>
      </w:r>
      <w:r w:rsidR="00AA0E8F" w:rsidRPr="00AA0E8F">
        <w:rPr>
          <w:rFonts w:ascii="Times New Roman" w:eastAsia="標楷體" w:hAnsi="標楷體" w:cs="Times New Roman" w:hint="eastAsia"/>
          <w:sz w:val="28"/>
          <w:szCs w:val="28"/>
        </w:rPr>
        <w:t>55.96</w:t>
      </w:r>
      <w:r w:rsidR="008B589A">
        <w:rPr>
          <w:rFonts w:ascii="Times New Roman" w:eastAsia="標楷體" w:hAnsi="標楷體" w:cs="Times New Roman" w:hint="eastAsia"/>
          <w:sz w:val="28"/>
          <w:szCs w:val="28"/>
        </w:rPr>
        <w:t>%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逐年增加，至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2</w:t>
      </w:r>
      <w:r w:rsidR="00AA0E8F">
        <w:rPr>
          <w:rFonts w:ascii="Times New Roman" w:eastAsia="標楷體" w:hAnsi="標楷體" w:cs="Times New Roman"/>
          <w:sz w:val="28"/>
          <w:szCs w:val="28"/>
        </w:rPr>
        <w:t>006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年首次突破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6</w:t>
      </w:r>
      <w:r w:rsidR="00AA0E8F">
        <w:rPr>
          <w:rFonts w:ascii="Times New Roman" w:eastAsia="標楷體" w:hAnsi="標楷體" w:cs="Times New Roman"/>
          <w:sz w:val="28"/>
          <w:szCs w:val="28"/>
        </w:rPr>
        <w:t>0%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至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6</w:t>
      </w:r>
      <w:r w:rsidR="00AA0E8F">
        <w:rPr>
          <w:rFonts w:ascii="Times New Roman" w:eastAsia="標楷體" w:hAnsi="標楷體" w:cs="Times New Roman"/>
          <w:sz w:val="28"/>
          <w:szCs w:val="28"/>
        </w:rPr>
        <w:t>0.65%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。</w:t>
      </w:r>
      <w:r>
        <w:rPr>
          <w:rFonts w:ascii="Times New Roman" w:eastAsia="標楷體" w:hAnsi="標楷體" w:cs="Times New Roman" w:hint="eastAsia"/>
          <w:sz w:val="28"/>
          <w:szCs w:val="28"/>
        </w:rPr>
        <w:t>女性之新開戶比重則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由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1</w:t>
      </w:r>
      <w:r w:rsidR="00AA0E8F">
        <w:rPr>
          <w:rFonts w:ascii="Times New Roman" w:eastAsia="標楷體" w:hAnsi="標楷體" w:cs="Times New Roman"/>
          <w:sz w:val="28"/>
          <w:szCs w:val="28"/>
        </w:rPr>
        <w:t>998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年之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4</w:t>
      </w:r>
      <w:r w:rsidR="00AA0E8F">
        <w:rPr>
          <w:rFonts w:ascii="Times New Roman" w:eastAsia="標楷體" w:hAnsi="標楷體" w:cs="Times New Roman"/>
          <w:sz w:val="28"/>
          <w:szCs w:val="28"/>
        </w:rPr>
        <w:t>4.04%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逐年遞減，至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2</w:t>
      </w:r>
      <w:r w:rsidR="00AA0E8F">
        <w:rPr>
          <w:rFonts w:ascii="Times New Roman" w:eastAsia="標楷體" w:hAnsi="標楷體" w:cs="Times New Roman"/>
          <w:sz w:val="28"/>
          <w:szCs w:val="28"/>
        </w:rPr>
        <w:t>006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年首次跌破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4</w:t>
      </w:r>
      <w:r w:rsidR="00AA0E8F">
        <w:rPr>
          <w:rFonts w:ascii="Times New Roman" w:eastAsia="標楷體" w:hAnsi="標楷體" w:cs="Times New Roman"/>
          <w:sz w:val="28"/>
          <w:szCs w:val="28"/>
        </w:rPr>
        <w:t>0%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至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3</w:t>
      </w:r>
      <w:r w:rsidR="00AA0E8F">
        <w:rPr>
          <w:rFonts w:ascii="Times New Roman" w:eastAsia="標楷體" w:hAnsi="標楷體" w:cs="Times New Roman"/>
          <w:sz w:val="28"/>
          <w:szCs w:val="28"/>
        </w:rPr>
        <w:t>9.35%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。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2</w:t>
      </w:r>
      <w:r w:rsidR="00AA0E8F">
        <w:rPr>
          <w:rFonts w:ascii="Times New Roman" w:eastAsia="標楷體" w:hAnsi="標楷體" w:cs="Times New Roman"/>
          <w:sz w:val="28"/>
          <w:szCs w:val="28"/>
        </w:rPr>
        <w:t>006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至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2</w:t>
      </w:r>
      <w:r w:rsidR="00AA0E8F">
        <w:rPr>
          <w:rFonts w:ascii="Times New Roman" w:eastAsia="標楷體" w:hAnsi="標楷體" w:cs="Times New Roman"/>
          <w:sz w:val="28"/>
          <w:szCs w:val="28"/>
        </w:rPr>
        <w:t>016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年間，</w:t>
      </w:r>
      <w:r w:rsidR="0062362B">
        <w:rPr>
          <w:rFonts w:ascii="Times New Roman" w:eastAsia="標楷體" w:hAnsi="標楷體" w:cs="Times New Roman" w:hint="eastAsia"/>
          <w:sz w:val="28"/>
          <w:szCs w:val="28"/>
        </w:rPr>
        <w:t>男性新開戶比重持續成長</w:t>
      </w:r>
      <w:r w:rsidR="0062362B">
        <w:rPr>
          <w:rFonts w:ascii="Times New Roman" w:eastAsia="標楷體" w:hAnsi="標楷體" w:cs="Times New Roman"/>
          <w:sz w:val="28"/>
          <w:szCs w:val="28"/>
        </w:rPr>
        <w:t>，女性則持續下跌</w:t>
      </w:r>
      <w:r w:rsidR="00455BD3">
        <w:rPr>
          <w:rFonts w:ascii="Times New Roman" w:eastAsia="標楷體" w:hAnsi="標楷體" w:cs="Times New Roman" w:hint="eastAsia"/>
          <w:sz w:val="28"/>
          <w:szCs w:val="28"/>
        </w:rPr>
        <w:t>。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2</w:t>
      </w:r>
      <w:r w:rsidR="00AA0E8F">
        <w:rPr>
          <w:rFonts w:ascii="Times New Roman" w:eastAsia="標楷體" w:hAnsi="標楷體" w:cs="Times New Roman"/>
          <w:sz w:val="28"/>
          <w:szCs w:val="28"/>
        </w:rPr>
        <w:t>016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年男性之新開戶比</w:t>
      </w:r>
      <w:r w:rsidR="00455BD3">
        <w:rPr>
          <w:rFonts w:ascii="Times New Roman" w:eastAsia="標楷體" w:hAnsi="標楷體" w:cs="Times New Roman" w:hint="eastAsia"/>
          <w:sz w:val="28"/>
          <w:szCs w:val="28"/>
        </w:rPr>
        <w:t>重達</w:t>
      </w:r>
      <w:r w:rsidR="00E90A7F">
        <w:rPr>
          <w:rFonts w:ascii="Times New Roman" w:eastAsia="標楷體" w:hAnsi="標楷體" w:cs="Times New Roman" w:hint="eastAsia"/>
          <w:sz w:val="28"/>
          <w:szCs w:val="28"/>
        </w:rPr>
        <w:t>新高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6</w:t>
      </w:r>
      <w:r w:rsidR="000F64E7">
        <w:rPr>
          <w:rFonts w:ascii="Times New Roman" w:eastAsia="標楷體" w:hAnsi="標楷體" w:cs="Times New Roman"/>
          <w:sz w:val="28"/>
          <w:szCs w:val="28"/>
        </w:rPr>
        <w:t>8.10</w:t>
      </w:r>
      <w:r w:rsidR="00AA0E8F">
        <w:rPr>
          <w:rFonts w:ascii="Times New Roman" w:eastAsia="標楷體" w:hAnsi="標楷體" w:cs="Times New Roman"/>
          <w:sz w:val="28"/>
          <w:szCs w:val="28"/>
        </w:rPr>
        <w:t>%</w:t>
      </w:r>
      <w:r w:rsidR="00AA0E8F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455BD3">
        <w:rPr>
          <w:rFonts w:ascii="Times New Roman" w:eastAsia="標楷體" w:hAnsi="標楷體" w:cs="Times New Roman" w:hint="eastAsia"/>
          <w:sz w:val="28"/>
          <w:szCs w:val="28"/>
        </w:rPr>
        <w:t>女性之新開戶比重達</w:t>
      </w:r>
      <w:r w:rsidR="00E90A7F">
        <w:rPr>
          <w:rFonts w:ascii="Times New Roman" w:eastAsia="標楷體" w:hAnsi="標楷體" w:cs="Times New Roman" w:hint="eastAsia"/>
          <w:sz w:val="28"/>
          <w:szCs w:val="28"/>
        </w:rPr>
        <w:t>新低</w:t>
      </w:r>
      <w:r w:rsidR="00455BD3">
        <w:rPr>
          <w:rFonts w:ascii="Times New Roman" w:eastAsia="標楷體" w:hAnsi="標楷體" w:cs="Times New Roman" w:hint="eastAsia"/>
          <w:sz w:val="28"/>
          <w:szCs w:val="28"/>
        </w:rPr>
        <w:t>3</w:t>
      </w:r>
      <w:r w:rsidR="000F64E7">
        <w:rPr>
          <w:rFonts w:ascii="Times New Roman" w:eastAsia="標楷體" w:hAnsi="標楷體" w:cs="Times New Roman"/>
          <w:sz w:val="28"/>
          <w:szCs w:val="28"/>
        </w:rPr>
        <w:t>1.90</w:t>
      </w:r>
      <w:r w:rsidR="00455BD3">
        <w:rPr>
          <w:rFonts w:ascii="Times New Roman" w:eastAsia="標楷體" w:hAnsi="標楷體" w:cs="Times New Roman"/>
          <w:sz w:val="28"/>
          <w:szCs w:val="28"/>
        </w:rPr>
        <w:t>%</w:t>
      </w:r>
      <w:r w:rsidR="00E90A7F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BF775C" w:rsidRPr="00BF775C" w:rsidRDefault="00BF775C" w:rsidP="008B589A">
      <w:pPr>
        <w:spacing w:line="500" w:lineRule="exact"/>
        <w:ind w:firstLineChars="202" w:firstLine="566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另</w:t>
      </w:r>
      <w:r w:rsidRPr="00AB6DFD">
        <w:rPr>
          <w:rFonts w:ascii="Times New Roman" w:eastAsia="標楷體" w:hAnsi="標楷體" w:cs="Times New Roman" w:hint="eastAsia"/>
          <w:sz w:val="28"/>
          <w:szCs w:val="28"/>
        </w:rPr>
        <w:t>觀察</w:t>
      </w:r>
      <w:r w:rsidRPr="00AB6DFD">
        <w:rPr>
          <w:rFonts w:ascii="Times New Roman" w:eastAsia="標楷體" w:hAnsi="標楷體" w:cs="Times New Roman" w:hint="eastAsia"/>
          <w:sz w:val="28"/>
          <w:szCs w:val="28"/>
        </w:rPr>
        <w:t>1998</w:t>
      </w:r>
      <w:r w:rsidRPr="00AB6DFD">
        <w:rPr>
          <w:rFonts w:ascii="Times New Roman" w:eastAsia="標楷體" w:hAnsi="標楷體" w:cs="Times New Roman" w:hint="eastAsia"/>
          <w:sz w:val="28"/>
          <w:szCs w:val="28"/>
        </w:rPr>
        <w:t>年至</w:t>
      </w:r>
      <w:r w:rsidRPr="00AB6DFD">
        <w:rPr>
          <w:rFonts w:ascii="Times New Roman" w:eastAsia="標楷體" w:hAnsi="標楷體" w:cs="Times New Roman" w:hint="eastAsia"/>
          <w:sz w:val="28"/>
          <w:szCs w:val="28"/>
        </w:rPr>
        <w:t>2016</w:t>
      </w:r>
      <w:r w:rsidRPr="00AB6DFD">
        <w:rPr>
          <w:rFonts w:ascii="Times New Roman" w:eastAsia="標楷體" w:hAnsi="標楷體" w:cs="Times New Roman" w:hint="eastAsia"/>
          <w:sz w:val="28"/>
          <w:szCs w:val="28"/>
        </w:rPr>
        <w:t>年間之男、女性交易人之交易狀況，</w:t>
      </w:r>
      <w:r>
        <w:rPr>
          <w:rFonts w:ascii="Times New Roman" w:eastAsia="標楷體" w:hAnsi="標楷體" w:cs="Times New Roman" w:hint="eastAsia"/>
          <w:sz w:val="28"/>
          <w:szCs w:val="28"/>
        </w:rPr>
        <w:t>2009</w:t>
      </w:r>
      <w:r>
        <w:rPr>
          <w:rFonts w:ascii="Times New Roman" w:eastAsia="標楷體" w:hAnsi="標楷體" w:cs="Times New Roman" w:hint="eastAsia"/>
          <w:sz w:val="28"/>
          <w:szCs w:val="28"/>
        </w:rPr>
        <w:t>年前男性交易量占比均維持在</w:t>
      </w:r>
      <w:r>
        <w:rPr>
          <w:rFonts w:ascii="Times New Roman" w:eastAsia="標楷體" w:hAnsi="標楷體" w:cs="Times New Roman" w:hint="eastAsia"/>
          <w:sz w:val="28"/>
          <w:szCs w:val="28"/>
        </w:rPr>
        <w:t>60%</w:t>
      </w:r>
      <w:r>
        <w:rPr>
          <w:rFonts w:ascii="Times New Roman" w:eastAsia="標楷體" w:hAnsi="標楷體" w:cs="Times New Roman" w:hint="eastAsia"/>
          <w:sz w:val="28"/>
          <w:szCs w:val="28"/>
        </w:rPr>
        <w:t>至</w:t>
      </w:r>
      <w:r>
        <w:rPr>
          <w:rFonts w:ascii="Times New Roman" w:eastAsia="標楷體" w:hAnsi="標楷體" w:cs="Times New Roman" w:hint="eastAsia"/>
          <w:sz w:val="28"/>
          <w:szCs w:val="28"/>
        </w:rPr>
        <w:t>70%</w:t>
      </w:r>
      <w:r w:rsidRPr="00AB6DFD">
        <w:rPr>
          <w:rFonts w:ascii="Times New Roman" w:eastAsia="標楷體" w:hAnsi="標楷體" w:cs="Times New Roman" w:hint="eastAsia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sz w:val="28"/>
          <w:szCs w:val="28"/>
        </w:rPr>
        <w:t>女性則在</w:t>
      </w:r>
      <w:r>
        <w:rPr>
          <w:rFonts w:ascii="Times New Roman" w:eastAsia="標楷體" w:hAnsi="標楷體" w:cs="Times New Roman" w:hint="eastAsia"/>
          <w:sz w:val="28"/>
          <w:szCs w:val="28"/>
        </w:rPr>
        <w:t>30</w:t>
      </w:r>
      <w:r>
        <w:rPr>
          <w:rFonts w:ascii="Times New Roman" w:eastAsia="標楷體" w:hAnsi="標楷體" w:cs="Times New Roman"/>
          <w:sz w:val="28"/>
          <w:szCs w:val="28"/>
        </w:rPr>
        <w:t>%</w:t>
      </w:r>
      <w:r>
        <w:rPr>
          <w:rFonts w:ascii="Times New Roman" w:eastAsia="標楷體" w:hAnsi="標楷體" w:cs="Times New Roman" w:hint="eastAsia"/>
          <w:sz w:val="28"/>
          <w:szCs w:val="28"/>
        </w:rPr>
        <w:t>至</w:t>
      </w:r>
      <w:r>
        <w:rPr>
          <w:rFonts w:ascii="Times New Roman" w:eastAsia="標楷體" w:hAnsi="標楷體" w:cs="Times New Roman" w:hint="eastAsia"/>
          <w:sz w:val="28"/>
          <w:szCs w:val="28"/>
        </w:rPr>
        <w:t>40%</w:t>
      </w:r>
      <w:r>
        <w:rPr>
          <w:rFonts w:ascii="Times New Roman" w:eastAsia="標楷體" w:hAnsi="標楷體" w:cs="Times New Roman" w:hint="eastAsia"/>
          <w:sz w:val="28"/>
          <w:szCs w:val="28"/>
        </w:rPr>
        <w:t>。男性交易人在</w:t>
      </w:r>
      <w:r w:rsidRPr="00AB6DFD">
        <w:rPr>
          <w:rFonts w:ascii="Times New Roman" w:eastAsia="標楷體" w:hAnsi="標楷體" w:cs="Times New Roman" w:hint="eastAsia"/>
          <w:sz w:val="28"/>
          <w:szCs w:val="28"/>
        </w:rPr>
        <w:t>2010</w:t>
      </w:r>
      <w:r>
        <w:rPr>
          <w:rFonts w:ascii="Times New Roman" w:eastAsia="標楷體" w:hAnsi="標楷體" w:cs="Times New Roman" w:hint="eastAsia"/>
          <w:sz w:val="28"/>
          <w:szCs w:val="28"/>
        </w:rPr>
        <w:t>年首次突破</w:t>
      </w:r>
      <w:r>
        <w:rPr>
          <w:rFonts w:ascii="Times New Roman" w:eastAsia="標楷體" w:hAnsi="標楷體" w:cs="Times New Roman" w:hint="eastAsia"/>
          <w:sz w:val="28"/>
          <w:szCs w:val="28"/>
        </w:rPr>
        <w:t>7</w:t>
      </w:r>
      <w:r w:rsidRPr="00AB6DFD">
        <w:rPr>
          <w:rFonts w:ascii="Times New Roman" w:eastAsia="標楷體" w:hAnsi="標楷體" w:cs="Times New Roman" w:hint="eastAsia"/>
          <w:sz w:val="28"/>
          <w:szCs w:val="28"/>
        </w:rPr>
        <w:t>0%</w:t>
      </w:r>
      <w:r w:rsidRPr="00AB6DFD">
        <w:rPr>
          <w:rFonts w:ascii="Times New Roman" w:eastAsia="標楷體" w:hAnsi="標楷體" w:cs="Times New Roman" w:hint="eastAsia"/>
          <w:sz w:val="28"/>
          <w:szCs w:val="28"/>
        </w:rPr>
        <w:t>至</w:t>
      </w:r>
      <w:r>
        <w:rPr>
          <w:rFonts w:ascii="Times New Roman" w:eastAsia="標楷體" w:hAnsi="標楷體" w:cs="Times New Roman" w:hint="eastAsia"/>
          <w:sz w:val="28"/>
          <w:szCs w:val="28"/>
        </w:rPr>
        <w:t>70.65</w:t>
      </w:r>
      <w:r w:rsidRPr="00AB6DFD">
        <w:rPr>
          <w:rFonts w:ascii="Times New Roman" w:eastAsia="標楷體" w:hAnsi="標楷體" w:cs="Times New Roman" w:hint="eastAsia"/>
          <w:sz w:val="28"/>
          <w:szCs w:val="28"/>
        </w:rPr>
        <w:t>%</w:t>
      </w:r>
      <w:r>
        <w:rPr>
          <w:rFonts w:ascii="Times New Roman" w:eastAsia="標楷體" w:hAnsi="標楷體" w:cs="Times New Roman" w:hint="eastAsia"/>
          <w:sz w:val="28"/>
          <w:szCs w:val="28"/>
        </w:rPr>
        <w:t>，女性交易人則至</w:t>
      </w:r>
      <w:r>
        <w:rPr>
          <w:rFonts w:ascii="Times New Roman" w:eastAsia="標楷體" w:hAnsi="標楷體" w:cs="Times New Roman" w:hint="eastAsia"/>
          <w:sz w:val="28"/>
          <w:szCs w:val="28"/>
        </w:rPr>
        <w:t>2010</w:t>
      </w:r>
      <w:r>
        <w:rPr>
          <w:rFonts w:ascii="Times New Roman" w:eastAsia="標楷體" w:hAnsi="標楷體" w:cs="Times New Roman" w:hint="eastAsia"/>
          <w:sz w:val="28"/>
          <w:szCs w:val="28"/>
        </w:rPr>
        <w:t>年首次跌破</w:t>
      </w:r>
      <w:r>
        <w:rPr>
          <w:rFonts w:ascii="Times New Roman" w:eastAsia="標楷體" w:hAnsi="標楷體" w:cs="Times New Roman" w:hint="eastAsia"/>
          <w:sz w:val="28"/>
          <w:szCs w:val="28"/>
        </w:rPr>
        <w:t>30%</w:t>
      </w:r>
      <w:r>
        <w:rPr>
          <w:rFonts w:ascii="Times New Roman" w:eastAsia="標楷體" w:hAnsi="標楷體" w:cs="Times New Roman" w:hint="eastAsia"/>
          <w:sz w:val="28"/>
          <w:szCs w:val="28"/>
        </w:rPr>
        <w:t>至</w:t>
      </w:r>
      <w:r>
        <w:rPr>
          <w:rFonts w:ascii="Times New Roman" w:eastAsia="標楷體" w:hAnsi="標楷體" w:cs="Times New Roman" w:hint="eastAsia"/>
          <w:sz w:val="28"/>
          <w:szCs w:val="28"/>
        </w:rPr>
        <w:t>29.35%</w:t>
      </w:r>
      <w:r>
        <w:rPr>
          <w:rFonts w:ascii="Times New Roman" w:eastAsia="標楷體" w:hAnsi="標楷體" w:cs="Times New Roman" w:hint="eastAsia"/>
          <w:sz w:val="28"/>
          <w:szCs w:val="28"/>
        </w:rPr>
        <w:t>。</w:t>
      </w:r>
      <w:r>
        <w:rPr>
          <w:rFonts w:ascii="Times New Roman" w:eastAsia="標楷體" w:hAnsi="標楷體" w:cs="Times New Roman" w:hint="eastAsia"/>
          <w:sz w:val="28"/>
          <w:szCs w:val="28"/>
        </w:rPr>
        <w:t>2</w:t>
      </w:r>
      <w:r>
        <w:rPr>
          <w:rFonts w:ascii="Times New Roman" w:eastAsia="標楷體" w:hAnsi="標楷體" w:cs="Times New Roman"/>
          <w:sz w:val="28"/>
          <w:szCs w:val="28"/>
        </w:rPr>
        <w:t>010</w:t>
      </w:r>
      <w:r>
        <w:rPr>
          <w:rFonts w:ascii="Times New Roman" w:eastAsia="標楷體" w:hAnsi="標楷體" w:cs="Times New Roman" w:hint="eastAsia"/>
          <w:sz w:val="28"/>
          <w:szCs w:val="28"/>
        </w:rPr>
        <w:t>至</w:t>
      </w:r>
      <w:r>
        <w:rPr>
          <w:rFonts w:ascii="Times New Roman" w:eastAsia="標楷體" w:hAnsi="標楷體" w:cs="Times New Roman" w:hint="eastAsia"/>
          <w:sz w:val="28"/>
          <w:szCs w:val="28"/>
        </w:rPr>
        <w:t>2</w:t>
      </w:r>
      <w:r>
        <w:rPr>
          <w:rFonts w:ascii="Times New Roman" w:eastAsia="標楷體" w:hAnsi="標楷體" w:cs="Times New Roman"/>
          <w:sz w:val="28"/>
          <w:szCs w:val="28"/>
        </w:rPr>
        <w:t>016</w:t>
      </w:r>
      <w:r>
        <w:rPr>
          <w:rFonts w:ascii="Times New Roman" w:eastAsia="標楷體" w:hAnsi="標楷體" w:cs="Times New Roman" w:hint="eastAsia"/>
          <w:sz w:val="28"/>
          <w:szCs w:val="28"/>
        </w:rPr>
        <w:t>年間，整體男性交易人之交</w:t>
      </w:r>
      <w:r w:rsidR="004B6132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易</w:t>
      </w:r>
      <w:r>
        <w:rPr>
          <w:rFonts w:ascii="Times New Roman" w:eastAsia="標楷體" w:hAnsi="標楷體" w:cs="Times New Roman" w:hint="eastAsia"/>
          <w:sz w:val="28"/>
          <w:szCs w:val="28"/>
        </w:rPr>
        <w:t>量占比持續成長，於</w:t>
      </w:r>
      <w:r>
        <w:rPr>
          <w:rFonts w:ascii="Times New Roman" w:eastAsia="標楷體" w:hAnsi="標楷體" w:cs="Times New Roman" w:hint="eastAsia"/>
          <w:sz w:val="28"/>
          <w:szCs w:val="28"/>
        </w:rPr>
        <w:t>2016</w:t>
      </w:r>
      <w:r>
        <w:rPr>
          <w:rFonts w:ascii="Times New Roman" w:eastAsia="標楷體" w:hAnsi="標楷體" w:cs="Times New Roman" w:hint="eastAsia"/>
          <w:sz w:val="28"/>
          <w:szCs w:val="28"/>
        </w:rPr>
        <w:t>年達新高</w:t>
      </w:r>
      <w:r>
        <w:rPr>
          <w:rFonts w:ascii="Times New Roman" w:eastAsia="標楷體" w:hAnsi="標楷體" w:cs="Times New Roman" w:hint="eastAsia"/>
          <w:sz w:val="28"/>
          <w:szCs w:val="28"/>
        </w:rPr>
        <w:t>75</w:t>
      </w:r>
      <w:r>
        <w:rPr>
          <w:rFonts w:ascii="Times New Roman" w:eastAsia="標楷體" w:hAnsi="標楷體" w:cs="Times New Roman"/>
          <w:sz w:val="28"/>
          <w:szCs w:val="28"/>
        </w:rPr>
        <w:t>.</w:t>
      </w:r>
      <w:r w:rsidR="009F1CB1">
        <w:rPr>
          <w:rFonts w:ascii="Times New Roman" w:eastAsia="標楷體" w:hAnsi="標楷體" w:cs="Times New Roman" w:hint="eastAsia"/>
          <w:sz w:val="28"/>
          <w:szCs w:val="28"/>
        </w:rPr>
        <w:t>64</w:t>
      </w:r>
      <w:r>
        <w:rPr>
          <w:rFonts w:ascii="Times New Roman" w:eastAsia="標楷體" w:hAnsi="標楷體" w:cs="Times New Roman"/>
          <w:sz w:val="28"/>
          <w:szCs w:val="28"/>
        </w:rPr>
        <w:t>%</w:t>
      </w:r>
      <w:r>
        <w:rPr>
          <w:rFonts w:ascii="Times New Roman" w:eastAsia="標楷體" w:hAnsi="標楷體" w:cs="Times New Roman" w:hint="eastAsia"/>
          <w:sz w:val="28"/>
          <w:szCs w:val="28"/>
        </w:rPr>
        <w:t>，女性交易人之交易量占比達新低</w:t>
      </w:r>
      <w:r>
        <w:rPr>
          <w:rFonts w:ascii="Times New Roman" w:eastAsia="標楷體" w:hAnsi="標楷體" w:cs="Times New Roman" w:hint="eastAsia"/>
          <w:sz w:val="28"/>
          <w:szCs w:val="28"/>
        </w:rPr>
        <w:t>24</w:t>
      </w:r>
      <w:r>
        <w:rPr>
          <w:rFonts w:ascii="Times New Roman" w:eastAsia="標楷體" w:hAnsi="標楷體" w:cs="Times New Roman"/>
          <w:sz w:val="28"/>
          <w:szCs w:val="28"/>
        </w:rPr>
        <w:t>.</w:t>
      </w:r>
      <w:r w:rsidR="009F1CB1">
        <w:rPr>
          <w:rFonts w:ascii="Times New Roman" w:eastAsia="標楷體" w:hAnsi="標楷體" w:cs="Times New Roman" w:hint="eastAsia"/>
          <w:sz w:val="28"/>
          <w:szCs w:val="28"/>
        </w:rPr>
        <w:t>36</w:t>
      </w:r>
      <w:r>
        <w:rPr>
          <w:rFonts w:ascii="Times New Roman" w:eastAsia="標楷體" w:hAnsi="標楷體" w:cs="Times New Roman"/>
          <w:sz w:val="28"/>
          <w:szCs w:val="28"/>
        </w:rPr>
        <w:t>%</w:t>
      </w:r>
      <w:r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E26DF3" w:rsidRPr="00DF1CFF" w:rsidRDefault="00DF1CFF">
      <w:pPr>
        <w:rPr>
          <w:rFonts w:ascii="Times New Roman" w:eastAsia="標楷體" w:hAnsi="Times New Roman" w:cs="Times New Roman"/>
          <w:sz w:val="28"/>
          <w:szCs w:val="28"/>
        </w:rPr>
      </w:pPr>
      <w:r w:rsidRPr="00DF1CFF">
        <w:rPr>
          <w:rFonts w:ascii="Times New Roman" w:eastAsia="標楷體" w:hAnsi="標楷體" w:cs="Times New Roman"/>
          <w:sz w:val="28"/>
          <w:szCs w:val="28"/>
        </w:rPr>
        <w:t>表</w:t>
      </w:r>
      <w:r w:rsidR="00422CE7" w:rsidRPr="00DF1CFF">
        <w:rPr>
          <w:rFonts w:ascii="Times New Roman" w:eastAsia="標楷體" w:hAnsi="Times New Roman" w:cs="Times New Roman"/>
          <w:sz w:val="28"/>
          <w:szCs w:val="28"/>
        </w:rPr>
        <w:t>1</w:t>
      </w:r>
      <w:r w:rsidR="007D6ED1" w:rsidRPr="00DF1CFF">
        <w:rPr>
          <w:rFonts w:ascii="Times New Roman" w:eastAsia="標楷體" w:hAnsi="Times New Roman" w:cs="Times New Roman"/>
          <w:sz w:val="28"/>
          <w:szCs w:val="28"/>
        </w:rPr>
        <w:t>:</w:t>
      </w:r>
      <w:r w:rsidR="007D6ED1" w:rsidRPr="00DF1CFF">
        <w:rPr>
          <w:rFonts w:ascii="Times New Roman" w:eastAsia="標楷體" w:hAnsi="標楷體" w:cs="Times New Roman"/>
          <w:sz w:val="28"/>
          <w:szCs w:val="28"/>
        </w:rPr>
        <w:t>我國期貨市場新開戶數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及交易量</w:t>
      </w:r>
      <w:r w:rsidR="007D6ED1" w:rsidRPr="00DF1CFF">
        <w:rPr>
          <w:rFonts w:ascii="Times New Roman" w:eastAsia="標楷體" w:hAnsi="標楷體" w:cs="Times New Roman"/>
          <w:sz w:val="28"/>
          <w:szCs w:val="28"/>
        </w:rPr>
        <w:t>男女占比</w:t>
      </w:r>
      <w:r w:rsidR="00FF6026" w:rsidRPr="00FF6026">
        <w:rPr>
          <w:rFonts w:ascii="Times New Roman" w:eastAsia="標楷體" w:hAnsi="標楷體" w:cs="Times New Roman" w:hint="eastAsia"/>
          <w:szCs w:val="24"/>
        </w:rPr>
        <w:t>(</w:t>
      </w:r>
      <w:r w:rsidR="00FF6026" w:rsidRPr="00FF6026">
        <w:rPr>
          <w:rFonts w:ascii="Times New Roman" w:eastAsia="標楷體" w:hAnsi="標楷體" w:cs="Times New Roman" w:hint="eastAsia"/>
          <w:szCs w:val="24"/>
        </w:rPr>
        <w:t>資料來源</w:t>
      </w:r>
      <w:r w:rsidR="00FF6026" w:rsidRPr="00FF6026">
        <w:rPr>
          <w:rFonts w:ascii="Times New Roman" w:eastAsia="標楷體" w:hAnsi="標楷體" w:cs="Times New Roman" w:hint="eastAsia"/>
          <w:szCs w:val="24"/>
        </w:rPr>
        <w:t>:</w:t>
      </w:r>
      <w:r w:rsidR="00FF6026" w:rsidRPr="00FF6026">
        <w:rPr>
          <w:rFonts w:ascii="Times New Roman" w:eastAsia="標楷體" w:hAnsi="標楷體" w:cs="Times New Roman" w:hint="eastAsia"/>
          <w:szCs w:val="24"/>
        </w:rPr>
        <w:t>期交所</w:t>
      </w:r>
      <w:r w:rsidR="00FF6026" w:rsidRPr="00FF6026">
        <w:rPr>
          <w:rFonts w:ascii="Times New Roman" w:eastAsia="標楷體" w:hAnsi="標楷體" w:cs="Times New Roman" w:hint="eastAsia"/>
          <w:szCs w:val="24"/>
        </w:rPr>
        <w:t>)</w:t>
      </w:r>
    </w:p>
    <w:tbl>
      <w:tblPr>
        <w:tblW w:w="6352" w:type="dxa"/>
        <w:tblInd w:w="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1276"/>
        <w:gridCol w:w="1276"/>
        <w:gridCol w:w="1276"/>
        <w:gridCol w:w="1276"/>
      </w:tblGrid>
      <w:tr w:rsidR="00BF775C" w:rsidRPr="00DF1CFF" w:rsidTr="004D4FEB">
        <w:trPr>
          <w:trHeight w:val="3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5C" w:rsidRPr="00FD50C5" w:rsidRDefault="00BF775C" w:rsidP="00DF1CF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5C" w:rsidRPr="00FD50C5" w:rsidRDefault="00BF775C" w:rsidP="00DF1CF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開戶數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5C" w:rsidRPr="00FD50C5" w:rsidRDefault="00BF775C" w:rsidP="00DF1CFF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交易量</w:t>
            </w:r>
          </w:p>
        </w:tc>
      </w:tr>
      <w:tr w:rsidR="00BF775C" w:rsidRPr="00DF1CFF" w:rsidTr="008772EE">
        <w:trPr>
          <w:trHeight w:val="3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5C" w:rsidRPr="00FD50C5" w:rsidRDefault="00BF775C" w:rsidP="00BF775C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5C" w:rsidRPr="00FD50C5" w:rsidRDefault="00BF775C" w:rsidP="00BF775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5C" w:rsidRPr="00FD50C5" w:rsidRDefault="00BF775C" w:rsidP="00BF775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5C" w:rsidRPr="00FD50C5" w:rsidRDefault="00BF775C" w:rsidP="00BF775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5C" w:rsidRPr="00FD50C5" w:rsidRDefault="00BF775C" w:rsidP="00BF775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女性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55.96%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44.04%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68.44%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31.56%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56.76%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43.24%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65.49%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34.51%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56.92%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43.08%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62.80%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37.20%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58.30%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41.70%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61.26%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38.74%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56.96%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43.04%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60.99%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39.01%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57.59%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42.41%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62.01%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37.99%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58.25%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41.75%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63.46%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36.54%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59.53%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40.47%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62.25%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37.75%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60.65%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39.35%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66.01%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33.99%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60.52%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39.48%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68.21%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31.79%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62.31%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37.69%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67.84%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32.16%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62.48%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37.52%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69.89%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30.11%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63.41%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36.59%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70.65%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29.35%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64.96%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35.04%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71.96%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28.04%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61.40%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38.60%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73.22%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26.78%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62.35%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37.65%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72.31%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27.69%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65.27%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34.73%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73.99%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26.01%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66.90%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33.10%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74.71%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25.29%</w:t>
            </w:r>
          </w:p>
        </w:tc>
      </w:tr>
      <w:tr w:rsidR="000F64E7" w:rsidRPr="00DF1CFF" w:rsidTr="0000038C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FD50C5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D50C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68.10%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31.90%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75.64%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24.36%</w:t>
            </w:r>
          </w:p>
        </w:tc>
      </w:tr>
    </w:tbl>
    <w:p w:rsidR="00496D9F" w:rsidRPr="00496D9F" w:rsidRDefault="00BF775C" w:rsidP="00496D9F">
      <w:pPr>
        <w:tabs>
          <w:tab w:val="left" w:pos="3115"/>
        </w:tabs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ab/>
      </w:r>
    </w:p>
    <w:p w:rsidR="00DF1CFF" w:rsidRPr="00F73F22" w:rsidRDefault="00DF1CFF" w:rsidP="00DF1CFF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DF1CFF">
        <w:rPr>
          <w:rFonts w:ascii="Times New Roman" w:eastAsia="標楷體" w:hAnsi="標楷體" w:cs="Times New Roman"/>
          <w:sz w:val="28"/>
          <w:szCs w:val="28"/>
        </w:rPr>
        <w:t>圖</w:t>
      </w:r>
      <w:r w:rsidRPr="00DF1CFF">
        <w:rPr>
          <w:rFonts w:ascii="Times New Roman" w:eastAsia="標楷體" w:hAnsi="Times New Roman" w:cs="Times New Roman"/>
          <w:sz w:val="28"/>
          <w:szCs w:val="28"/>
        </w:rPr>
        <w:t>1:</w:t>
      </w:r>
      <w:r w:rsidRPr="00DF1CFF">
        <w:rPr>
          <w:rFonts w:ascii="Times New Roman" w:eastAsia="標楷體" w:hAnsi="標楷體" w:cs="Times New Roman"/>
          <w:sz w:val="28"/>
          <w:szCs w:val="28"/>
        </w:rPr>
        <w:t>我國期貨市場</w:t>
      </w:r>
      <w:r w:rsidR="00EE1205">
        <w:rPr>
          <w:rFonts w:ascii="Times New Roman" w:eastAsia="標楷體" w:hAnsi="標楷體" w:cs="Times New Roman" w:hint="eastAsia"/>
          <w:sz w:val="28"/>
          <w:szCs w:val="28"/>
        </w:rPr>
        <w:t>各年度</w:t>
      </w:r>
      <w:r w:rsidRPr="00DF1CFF">
        <w:rPr>
          <w:rFonts w:ascii="Times New Roman" w:eastAsia="標楷體" w:hAnsi="標楷體" w:cs="Times New Roman"/>
          <w:sz w:val="28"/>
          <w:szCs w:val="28"/>
        </w:rPr>
        <w:t>新開戶數男女占比走勢圖</w:t>
      </w:r>
    </w:p>
    <w:p w:rsidR="00F73F22" w:rsidRDefault="000F64E7" w:rsidP="000F64E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C7CF948" wp14:editId="3173E658">
            <wp:simplePos x="0" y="0"/>
            <wp:positionH relativeFrom="column">
              <wp:posOffset>0</wp:posOffset>
            </wp:positionH>
            <wp:positionV relativeFrom="paragraph">
              <wp:posOffset>72391</wp:posOffset>
            </wp:positionV>
            <wp:extent cx="5267325" cy="2971800"/>
            <wp:effectExtent l="0" t="0" r="952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4E7" w:rsidRDefault="000F64E7" w:rsidP="000F64E7">
      <w:pPr>
        <w:rPr>
          <w:rFonts w:ascii="Times New Roman" w:eastAsia="標楷體" w:hAnsi="Times New Roman" w:cs="Times New Roman"/>
          <w:sz w:val="28"/>
          <w:szCs w:val="28"/>
        </w:rPr>
      </w:pPr>
    </w:p>
    <w:p w:rsidR="000F64E7" w:rsidRDefault="000F64E7" w:rsidP="000F64E7">
      <w:pPr>
        <w:rPr>
          <w:rFonts w:ascii="Times New Roman" w:eastAsia="標楷體" w:hAnsi="Times New Roman" w:cs="Times New Roman"/>
          <w:sz w:val="28"/>
          <w:szCs w:val="28"/>
        </w:rPr>
      </w:pPr>
    </w:p>
    <w:p w:rsidR="000F64E7" w:rsidRDefault="000F64E7" w:rsidP="000F64E7">
      <w:pPr>
        <w:rPr>
          <w:rFonts w:ascii="Times New Roman" w:eastAsia="標楷體" w:hAnsi="Times New Roman" w:cs="Times New Roman"/>
          <w:sz w:val="28"/>
          <w:szCs w:val="28"/>
        </w:rPr>
      </w:pPr>
    </w:p>
    <w:p w:rsidR="000F64E7" w:rsidRDefault="000F64E7" w:rsidP="000F64E7">
      <w:pPr>
        <w:rPr>
          <w:rFonts w:ascii="Times New Roman" w:eastAsia="標楷體" w:hAnsi="Times New Roman" w:cs="Times New Roman"/>
          <w:sz w:val="28"/>
          <w:szCs w:val="28"/>
        </w:rPr>
      </w:pPr>
    </w:p>
    <w:p w:rsidR="000F64E7" w:rsidRDefault="000F64E7" w:rsidP="000F64E7">
      <w:pPr>
        <w:rPr>
          <w:rFonts w:ascii="Times New Roman" w:eastAsia="標楷體" w:hAnsi="Times New Roman" w:cs="Times New Roman"/>
          <w:sz w:val="28"/>
          <w:szCs w:val="28"/>
        </w:rPr>
      </w:pPr>
    </w:p>
    <w:p w:rsidR="000F64E7" w:rsidRDefault="000F64E7" w:rsidP="000F64E7">
      <w:pPr>
        <w:rPr>
          <w:rFonts w:ascii="Times New Roman" w:eastAsia="標楷體" w:hAnsi="Times New Roman" w:cs="Times New Roman"/>
          <w:sz w:val="28"/>
          <w:szCs w:val="28"/>
        </w:rPr>
      </w:pPr>
    </w:p>
    <w:p w:rsidR="000F64E7" w:rsidRDefault="000F64E7" w:rsidP="000F64E7">
      <w:pPr>
        <w:rPr>
          <w:rFonts w:ascii="Times New Roman" w:eastAsia="標楷體" w:hAnsi="Times New Roman" w:cs="Times New Roman"/>
          <w:sz w:val="28"/>
          <w:szCs w:val="28"/>
        </w:rPr>
      </w:pPr>
    </w:p>
    <w:p w:rsidR="000F64E7" w:rsidRDefault="000F64E7" w:rsidP="000F64E7">
      <w:pPr>
        <w:rPr>
          <w:rFonts w:ascii="Times New Roman" w:eastAsia="標楷體" w:hAnsi="Times New Roman" w:cs="Times New Roman"/>
          <w:sz w:val="28"/>
          <w:szCs w:val="28"/>
        </w:rPr>
      </w:pPr>
    </w:p>
    <w:p w:rsidR="000F64E7" w:rsidRDefault="000F64E7" w:rsidP="000F64E7">
      <w:pPr>
        <w:rPr>
          <w:rFonts w:ascii="Times New Roman" w:eastAsia="標楷體" w:hAnsi="Times New Roman" w:cs="Times New Roman"/>
          <w:sz w:val="28"/>
          <w:szCs w:val="28"/>
        </w:rPr>
      </w:pPr>
    </w:p>
    <w:p w:rsidR="000F64E7" w:rsidRDefault="000F64E7" w:rsidP="000F64E7">
      <w:pPr>
        <w:rPr>
          <w:rFonts w:ascii="Times New Roman" w:eastAsia="標楷體" w:hAnsi="Times New Roman" w:cs="Times New Roman"/>
          <w:sz w:val="28"/>
          <w:szCs w:val="28"/>
        </w:rPr>
      </w:pPr>
    </w:p>
    <w:p w:rsidR="000F64E7" w:rsidRDefault="000F64E7" w:rsidP="000F64E7">
      <w:pPr>
        <w:rPr>
          <w:rFonts w:ascii="Times New Roman" w:eastAsia="標楷體" w:hAnsi="Times New Roman" w:cs="Times New Roman"/>
          <w:sz w:val="28"/>
          <w:szCs w:val="28"/>
        </w:rPr>
      </w:pPr>
    </w:p>
    <w:p w:rsidR="000F64E7" w:rsidRPr="000F64E7" w:rsidRDefault="000F64E7" w:rsidP="000F64E7">
      <w:pPr>
        <w:rPr>
          <w:rFonts w:ascii="Times New Roman" w:eastAsia="標楷體" w:hAnsi="Times New Roman" w:cs="Times New Roman"/>
          <w:sz w:val="28"/>
          <w:szCs w:val="28"/>
        </w:rPr>
      </w:pPr>
    </w:p>
    <w:p w:rsidR="00BF775C" w:rsidRDefault="00BF775C" w:rsidP="00BF775C">
      <w:pPr>
        <w:spacing w:line="320" w:lineRule="exact"/>
        <w:rPr>
          <w:rFonts w:ascii="Times New Roman" w:eastAsia="標楷體" w:hAnsi="標楷體" w:cs="Times New Roman"/>
          <w:sz w:val="28"/>
          <w:szCs w:val="28"/>
        </w:rPr>
      </w:pPr>
      <w:r w:rsidRPr="00DF1CFF">
        <w:rPr>
          <w:rFonts w:ascii="Times New Roman" w:eastAsia="標楷體" w:hAnsi="標楷體" w:cs="Times New Roman"/>
          <w:sz w:val="28"/>
          <w:szCs w:val="28"/>
        </w:rPr>
        <w:t>圖</w:t>
      </w:r>
      <w:r w:rsidRPr="00DF1CFF">
        <w:rPr>
          <w:rFonts w:ascii="Times New Roman" w:eastAsia="標楷體" w:hAnsi="Times New Roman" w:cs="Times New Roman"/>
          <w:sz w:val="28"/>
          <w:szCs w:val="28"/>
        </w:rPr>
        <w:t>2:</w:t>
      </w:r>
      <w:r w:rsidRPr="00DF1CFF">
        <w:rPr>
          <w:rFonts w:ascii="Times New Roman" w:eastAsia="標楷體" w:hAnsi="標楷體" w:cs="Times New Roman"/>
          <w:sz w:val="28"/>
          <w:szCs w:val="28"/>
        </w:rPr>
        <w:t>我國期貨市場</w:t>
      </w:r>
      <w:r w:rsidR="00EE1205">
        <w:rPr>
          <w:rFonts w:ascii="Times New Roman" w:eastAsia="標楷體" w:hAnsi="標楷體" w:cs="Times New Roman" w:hint="eastAsia"/>
          <w:sz w:val="28"/>
          <w:szCs w:val="28"/>
        </w:rPr>
        <w:t>各年度</w:t>
      </w:r>
      <w:r w:rsidRPr="00DF1CFF">
        <w:rPr>
          <w:rFonts w:ascii="Times New Roman" w:eastAsia="標楷體" w:hAnsi="標楷體" w:cs="Times New Roman"/>
          <w:sz w:val="28"/>
          <w:szCs w:val="28"/>
        </w:rPr>
        <w:t>男女交易量占比走勢圖</w:t>
      </w:r>
    </w:p>
    <w:p w:rsidR="000F64E7" w:rsidRPr="00DF1CFF" w:rsidRDefault="000F64E7" w:rsidP="00BF775C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5267325" cy="3019425"/>
            <wp:effectExtent l="0" t="0" r="9525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0C5" w:rsidRDefault="00FD50C5" w:rsidP="00D96DAF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F775C" w:rsidRDefault="00BF775C" w:rsidP="00D96DAF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F775C" w:rsidRDefault="00BF775C" w:rsidP="00D96DAF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F775C" w:rsidRDefault="00BF775C" w:rsidP="00D96DAF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F775C" w:rsidRDefault="00BF775C" w:rsidP="00D96DAF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F775C" w:rsidRDefault="00BF775C" w:rsidP="00D96DAF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F64E7" w:rsidRPr="00BF775C" w:rsidRDefault="000F64E7" w:rsidP="00D96DAF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F775C" w:rsidRDefault="006577D5" w:rsidP="00D96DAF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BF775C">
        <w:rPr>
          <w:rFonts w:ascii="Times New Roman" w:eastAsia="標楷體" w:hAnsi="Times New Roman" w:cs="Times New Roman" w:hint="eastAsia"/>
          <w:sz w:val="28"/>
          <w:szCs w:val="28"/>
        </w:rPr>
        <w:t>、男性參與程度高於女性之可能原因</w:t>
      </w:r>
    </w:p>
    <w:p w:rsidR="00250A10" w:rsidRDefault="00250A10" w:rsidP="00F5671C">
      <w:pPr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17CBA" w:rsidRDefault="00417CBA" w:rsidP="00250A10">
      <w:pPr>
        <w:rPr>
          <w:rFonts w:ascii="Times New Roman" w:eastAsia="標楷體" w:hAnsi="標楷體" w:cs="Times New Roman"/>
          <w:sz w:val="28"/>
          <w:szCs w:val="28"/>
        </w:rPr>
      </w:pPr>
    </w:p>
    <w:p w:rsidR="00250A10" w:rsidRDefault="00250A10" w:rsidP="00250A10">
      <w:pPr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sz w:val="28"/>
          <w:szCs w:val="28"/>
        </w:rPr>
        <w:t>二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DF1CFF">
        <w:rPr>
          <w:rFonts w:ascii="Times New Roman" w:eastAsia="標楷體" w:hAnsi="標楷體" w:cs="Times New Roman"/>
          <w:sz w:val="28"/>
          <w:szCs w:val="28"/>
        </w:rPr>
        <w:t>開戶數</w:t>
      </w:r>
      <w:r>
        <w:rPr>
          <w:rFonts w:ascii="Times New Roman" w:eastAsia="標楷體" w:hAnsi="標楷體" w:cs="Times New Roman" w:hint="eastAsia"/>
          <w:sz w:val="28"/>
          <w:szCs w:val="28"/>
        </w:rPr>
        <w:t>及交易量差異分析</w:t>
      </w:r>
    </w:p>
    <w:p w:rsidR="00250A10" w:rsidRPr="008B1914" w:rsidRDefault="00250A10" w:rsidP="00F5671C">
      <w:pPr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有關期貨市場</w:t>
      </w:r>
      <w:r w:rsidR="00BF775C" w:rsidRPr="008B1914">
        <w:rPr>
          <w:rFonts w:ascii="Times New Roman" w:eastAsia="標楷體" w:hAnsi="Times New Roman" w:cs="Times New Roman" w:hint="eastAsia"/>
          <w:sz w:val="28"/>
          <w:szCs w:val="28"/>
        </w:rPr>
        <w:t>新開戶人數與交易量統計</w:t>
      </w:r>
      <w:r w:rsidR="00F1650C" w:rsidRPr="008B1914">
        <w:rPr>
          <w:rFonts w:ascii="Times New Roman" w:eastAsia="標楷體" w:hAnsi="Times New Roman" w:cs="Times New Roman" w:hint="eastAsia"/>
          <w:sz w:val="28"/>
          <w:szCs w:val="28"/>
        </w:rPr>
        <w:t>，男性之比率皆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高於女性，分析原因如下：</w:t>
      </w:r>
    </w:p>
    <w:p w:rsidR="00D73B44" w:rsidRPr="008B1914" w:rsidRDefault="00D73B44" w:rsidP="00D73B44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男性具有較高之風險偏好，故參與期貨</w:t>
      </w:r>
      <w:r w:rsidR="005D139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市場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交易量較高</w:t>
      </w:r>
    </w:p>
    <w:p w:rsidR="00250A10" w:rsidRPr="008B1914" w:rsidRDefault="00A7429B" w:rsidP="00F61923">
      <w:pPr>
        <w:spacing w:line="500" w:lineRule="exact"/>
        <w:ind w:leftChars="118" w:left="283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依中華郵政壽險契約統計，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2015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年有效保險契約件數</w:t>
      </w:r>
      <w:r w:rsidR="004E58C5">
        <w:rPr>
          <w:rFonts w:ascii="Times New Roman" w:eastAsia="標楷體" w:hAnsi="Times New Roman" w:cs="Times New Roman" w:hint="eastAsia"/>
          <w:sz w:val="28"/>
          <w:szCs w:val="28"/>
        </w:rPr>
        <w:t>男女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占比</w:t>
      </w:r>
      <w:r w:rsidR="004E58C5">
        <w:rPr>
          <w:rFonts w:ascii="Times New Roman" w:eastAsia="標楷體" w:hAnsi="Times New Roman" w:cs="Times New Roman" w:hint="eastAsia"/>
          <w:sz w:val="28"/>
          <w:szCs w:val="28"/>
        </w:rPr>
        <w:t>分別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38%</w:t>
      </w:r>
      <w:r w:rsidR="004E58C5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62</w:t>
      </w:r>
      <w:r w:rsidRPr="008B1914">
        <w:rPr>
          <w:rFonts w:ascii="Times New Roman" w:eastAsia="標楷體" w:hAnsi="Times New Roman" w:cs="Times New Roman"/>
          <w:sz w:val="28"/>
          <w:szCs w:val="28"/>
        </w:rPr>
        <w:t>%</w:t>
      </w:r>
      <w:r w:rsidR="005B2DD5" w:rsidRPr="008B1914">
        <w:rPr>
          <w:rFonts w:ascii="Times New Roman" w:eastAsia="標楷體" w:hAnsi="Times New Roman" w:cs="Times New Roman" w:hint="eastAsia"/>
          <w:sz w:val="28"/>
          <w:szCs w:val="28"/>
        </w:rPr>
        <w:t>。顯示女性相對於男性較具有風險意識</w:t>
      </w:r>
      <w:r w:rsidR="00250A10" w:rsidRPr="008B191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D139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故女性購買較多之保險契約</w:t>
      </w:r>
      <w:r w:rsidR="00C944CB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；</w:t>
      </w:r>
      <w:r w:rsidR="00250A10" w:rsidRPr="008B1914">
        <w:rPr>
          <w:rFonts w:ascii="Times New Roman" w:eastAsia="標楷體" w:hAnsi="Times New Roman" w:cs="Times New Roman" w:hint="eastAsia"/>
          <w:sz w:val="28"/>
          <w:szCs w:val="28"/>
        </w:rPr>
        <w:t>而男性</w:t>
      </w:r>
      <w:r w:rsidR="00C944C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因</w:t>
      </w:r>
      <w:r w:rsidR="00250A10" w:rsidRPr="008B1914">
        <w:rPr>
          <w:rFonts w:ascii="Times New Roman" w:eastAsia="標楷體" w:hAnsi="Times New Roman" w:cs="Times New Roman" w:hint="eastAsia"/>
          <w:sz w:val="28"/>
          <w:szCs w:val="28"/>
        </w:rPr>
        <w:t>具有較高之風險偏好</w:t>
      </w:r>
      <w:r w:rsidR="00C944CB" w:rsidRPr="008B191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944C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故財務管理上</w:t>
      </w:r>
      <w:r w:rsidR="004E58C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較少</w:t>
      </w:r>
      <w:r w:rsidR="00C944C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配置在購買</w:t>
      </w:r>
      <w:r w:rsidR="007945AC">
        <w:rPr>
          <w:rFonts w:ascii="Times New Roman" w:eastAsia="標楷體" w:hAnsi="Times New Roman" w:cs="Times New Roman" w:hint="eastAsia"/>
          <w:sz w:val="28"/>
          <w:szCs w:val="28"/>
        </w:rPr>
        <w:t>壽險</w:t>
      </w:r>
      <w:r w:rsidR="00C944C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契約</w:t>
      </w:r>
      <w:r w:rsidR="00F5671C" w:rsidRPr="008B1914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250A10" w:rsidRPr="008B1914">
        <w:rPr>
          <w:rFonts w:ascii="Times New Roman" w:eastAsia="標楷體" w:hAnsi="Times New Roman" w:cs="Times New Roman" w:hint="eastAsia"/>
          <w:sz w:val="28"/>
          <w:szCs w:val="28"/>
        </w:rPr>
        <w:t>故推論男女對於理財規劃上之風險偏好程度亦有所不同，男性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將資金</w:t>
      </w:r>
      <w:r w:rsidR="0067099B" w:rsidRPr="008B1914">
        <w:rPr>
          <w:rFonts w:ascii="Times New Roman" w:eastAsia="標楷體" w:hAnsi="Times New Roman" w:cs="Times New Roman" w:hint="eastAsia"/>
          <w:sz w:val="28"/>
          <w:szCs w:val="28"/>
        </w:rPr>
        <w:t>佈局</w:t>
      </w:r>
      <w:r w:rsidR="00C13782" w:rsidRPr="008B1914">
        <w:rPr>
          <w:rFonts w:ascii="Times New Roman" w:eastAsia="標楷體" w:hAnsi="Times New Roman" w:cs="Times New Roman" w:hint="eastAsia"/>
          <w:sz w:val="28"/>
          <w:szCs w:val="28"/>
        </w:rPr>
        <w:t>於風險程度較</w:t>
      </w:r>
      <w:r w:rsidR="00250A10" w:rsidRPr="008B1914">
        <w:rPr>
          <w:rFonts w:ascii="Times New Roman" w:eastAsia="標楷體" w:hAnsi="Times New Roman" w:cs="Times New Roman" w:hint="eastAsia"/>
          <w:sz w:val="28"/>
          <w:szCs w:val="28"/>
        </w:rPr>
        <w:t>高商品</w:t>
      </w:r>
      <w:r w:rsidR="00D73B44" w:rsidRPr="008B1914">
        <w:rPr>
          <w:rFonts w:ascii="Times New Roman" w:eastAsia="標楷體" w:hAnsi="Times New Roman" w:cs="Times New Roman" w:hint="eastAsia"/>
          <w:sz w:val="28"/>
          <w:szCs w:val="28"/>
        </w:rPr>
        <w:t>之比重高於</w:t>
      </w:r>
      <w:r w:rsidR="00250A10" w:rsidRPr="008B1914">
        <w:rPr>
          <w:rFonts w:ascii="Times New Roman" w:eastAsia="標楷體" w:hAnsi="Times New Roman" w:cs="Times New Roman" w:hint="eastAsia"/>
          <w:sz w:val="28"/>
          <w:szCs w:val="28"/>
        </w:rPr>
        <w:t>女性</w:t>
      </w:r>
      <w:r w:rsidR="00D73B44" w:rsidRPr="008B191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73B44" w:rsidRPr="008B1914" w:rsidRDefault="00E74AB9" w:rsidP="0050210F">
      <w:pPr>
        <w:spacing w:line="500" w:lineRule="exact"/>
        <w:ind w:leftChars="118" w:left="283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另</w:t>
      </w:r>
      <w:r w:rsidR="00BC12C0">
        <w:rPr>
          <w:rFonts w:ascii="Times New Roman" w:eastAsia="標楷體" w:hAnsi="Times New Roman" w:cs="Times New Roman" w:hint="eastAsia"/>
          <w:sz w:val="28"/>
          <w:szCs w:val="28"/>
        </w:rPr>
        <w:t>以期貨市場及證券市場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類似</w:t>
      </w:r>
      <w:r w:rsidR="00BC12C0">
        <w:rPr>
          <w:rFonts w:ascii="Times New Roman" w:eastAsia="標楷體" w:hAnsi="Times New Roman" w:cs="Times New Roman" w:hint="eastAsia"/>
          <w:sz w:val="28"/>
          <w:szCs w:val="28"/>
        </w:rPr>
        <w:t>商品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觀之</w:t>
      </w:r>
      <w:r w:rsidR="00BC12C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73B44" w:rsidRPr="008B1914">
        <w:rPr>
          <w:rFonts w:ascii="Times New Roman" w:eastAsia="標楷體" w:hAnsi="Times New Roman" w:cs="Times New Roman" w:hint="eastAsia"/>
          <w:sz w:val="28"/>
          <w:szCs w:val="28"/>
        </w:rPr>
        <w:t>認購</w:t>
      </w:r>
      <w:r w:rsidR="00D73B44" w:rsidRPr="008B191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73B44" w:rsidRPr="008B1914">
        <w:rPr>
          <w:rFonts w:ascii="Times New Roman" w:eastAsia="標楷體" w:hAnsi="Times New Roman" w:cs="Times New Roman" w:hint="eastAsia"/>
          <w:sz w:val="28"/>
          <w:szCs w:val="28"/>
        </w:rPr>
        <w:t>售</w:t>
      </w:r>
      <w:r w:rsidR="00D73B44" w:rsidRPr="008B191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A1643">
        <w:rPr>
          <w:rFonts w:ascii="Times New Roman" w:eastAsia="標楷體" w:hAnsi="Times New Roman" w:cs="Times New Roman" w:hint="eastAsia"/>
          <w:sz w:val="28"/>
          <w:szCs w:val="28"/>
        </w:rPr>
        <w:t>權</w:t>
      </w:r>
      <w:r w:rsidR="00BC12C0">
        <w:rPr>
          <w:rFonts w:ascii="Times New Roman" w:eastAsia="標楷體" w:hAnsi="Times New Roman" w:cs="Times New Roman" w:hint="eastAsia"/>
          <w:sz w:val="28"/>
          <w:szCs w:val="28"/>
        </w:rPr>
        <w:t>證之風險程度</w:t>
      </w:r>
      <w:r w:rsidR="00C23AF2">
        <w:rPr>
          <w:rFonts w:ascii="Times New Roman" w:eastAsia="標楷體" w:hAnsi="Times New Roman" w:cs="Times New Roman" w:hint="eastAsia"/>
          <w:sz w:val="28"/>
          <w:szCs w:val="28"/>
        </w:rPr>
        <w:t>與期貨市場選擇權商品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相當</w:t>
      </w:r>
      <w:r w:rsidR="00C23AF2">
        <w:rPr>
          <w:rFonts w:ascii="Times New Roman" w:eastAsia="標楷體" w:hAnsi="Times New Roman" w:cs="Times New Roman" w:hint="eastAsia"/>
          <w:sz w:val="28"/>
          <w:szCs w:val="28"/>
        </w:rPr>
        <w:t>。統計</w:t>
      </w:r>
      <w:r w:rsidR="00D73B44" w:rsidRPr="008B1914">
        <w:rPr>
          <w:rFonts w:ascii="Times New Roman" w:eastAsia="標楷體" w:hAnsi="Times New Roman" w:cs="Times New Roman" w:hint="eastAsia"/>
          <w:sz w:val="28"/>
          <w:szCs w:val="28"/>
        </w:rPr>
        <w:t>2010</w:t>
      </w:r>
      <w:r w:rsidR="00D73B44" w:rsidRPr="008B1914">
        <w:rPr>
          <w:rFonts w:ascii="Times New Roman" w:eastAsia="標楷體" w:hAnsi="Times New Roman" w:cs="Times New Roman" w:hint="eastAsia"/>
          <w:sz w:val="28"/>
          <w:szCs w:val="28"/>
        </w:rPr>
        <w:t>年至</w:t>
      </w:r>
      <w:r w:rsidR="00D73B44" w:rsidRPr="008B1914">
        <w:rPr>
          <w:rFonts w:ascii="Times New Roman" w:eastAsia="標楷體" w:hAnsi="Times New Roman" w:cs="Times New Roman" w:hint="eastAsia"/>
          <w:sz w:val="28"/>
          <w:szCs w:val="28"/>
        </w:rPr>
        <w:t>2016</w:t>
      </w:r>
      <w:r w:rsidR="001B5128">
        <w:rPr>
          <w:rFonts w:ascii="Times New Roman" w:eastAsia="標楷體" w:hAnsi="Times New Roman" w:cs="Times New Roman" w:hint="eastAsia"/>
          <w:sz w:val="28"/>
          <w:szCs w:val="28"/>
        </w:rPr>
        <w:t>年證券市場之</w:t>
      </w:r>
      <w:r w:rsidR="00D73B44" w:rsidRPr="008B1914">
        <w:rPr>
          <w:rFonts w:ascii="Times New Roman" w:eastAsia="標楷體" w:hAnsi="Times New Roman" w:cs="Times New Roman" w:hint="eastAsia"/>
          <w:sz w:val="28"/>
          <w:szCs w:val="28"/>
        </w:rPr>
        <w:t>權證類商品</w:t>
      </w:r>
      <w:r w:rsidR="00BC12C0">
        <w:rPr>
          <w:rFonts w:ascii="Times New Roman" w:eastAsia="標楷體" w:hAnsi="Times New Roman" w:cs="Times New Roman" w:hint="eastAsia"/>
          <w:sz w:val="28"/>
          <w:szCs w:val="28"/>
        </w:rPr>
        <w:t>男性與女性交易量占比分別</w:t>
      </w:r>
      <w:r w:rsidR="00D73B44" w:rsidRPr="008B1914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8F413A">
        <w:rPr>
          <w:rFonts w:ascii="Times New Roman" w:eastAsia="標楷體" w:hAnsi="Times New Roman" w:cs="Times New Roman" w:hint="eastAsia"/>
          <w:sz w:val="28"/>
          <w:szCs w:val="28"/>
        </w:rPr>
        <w:t>71</w:t>
      </w:r>
      <w:r w:rsidR="00D73B44" w:rsidRPr="008B1914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8F413A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%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B03F75">
        <w:rPr>
          <w:rFonts w:ascii="Times New Roman" w:eastAsia="標楷體" w:hAnsi="Times New Roman" w:cs="Times New Roman" w:hint="eastAsia"/>
          <w:sz w:val="28"/>
          <w:szCs w:val="28"/>
        </w:rPr>
        <w:t>其比例</w:t>
      </w:r>
      <w:r w:rsidR="00BC12C0">
        <w:rPr>
          <w:rFonts w:ascii="Times New Roman" w:eastAsia="標楷體" w:hAnsi="Times New Roman" w:cs="Times New Roman" w:hint="eastAsia"/>
          <w:sz w:val="28"/>
          <w:szCs w:val="28"/>
        </w:rPr>
        <w:t>與期貨市場較為接近，顯示男性對於衍生性商品之接受程度較高。</w:t>
      </w:r>
    </w:p>
    <w:p w:rsidR="00D73B44" w:rsidRPr="008B1914" w:rsidRDefault="00D73B44" w:rsidP="00D73B44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4F58EC">
        <w:rPr>
          <w:rFonts w:ascii="Times New Roman" w:eastAsia="標楷體" w:hAnsi="Times New Roman" w:cs="Times New Roman" w:hint="eastAsia"/>
          <w:sz w:val="28"/>
          <w:szCs w:val="28"/>
        </w:rPr>
        <w:t>男性參與</w:t>
      </w:r>
      <w:r w:rsidR="00180FE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我國</w:t>
      </w:r>
      <w:r w:rsidR="004F58EC">
        <w:rPr>
          <w:rFonts w:ascii="Times New Roman" w:eastAsia="標楷體" w:hAnsi="Times New Roman" w:cs="Times New Roman" w:hint="eastAsia"/>
          <w:sz w:val="28"/>
          <w:szCs w:val="28"/>
        </w:rPr>
        <w:t>期貨交易</w:t>
      </w:r>
      <w:r w:rsidR="00180FE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量</w:t>
      </w:r>
      <w:r w:rsidR="004F58EC">
        <w:rPr>
          <w:rFonts w:ascii="Times New Roman" w:eastAsia="標楷體" w:hAnsi="Times New Roman" w:cs="Times New Roman" w:hint="eastAsia"/>
          <w:sz w:val="28"/>
          <w:szCs w:val="28"/>
        </w:rPr>
        <w:t>占比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較高</w:t>
      </w:r>
      <w:r w:rsidR="00F61923" w:rsidRPr="008B1914">
        <w:rPr>
          <w:rFonts w:ascii="Times New Roman" w:eastAsia="標楷體" w:hAnsi="Times New Roman" w:cs="Times New Roman" w:hint="eastAsia"/>
          <w:sz w:val="28"/>
          <w:szCs w:val="28"/>
        </w:rPr>
        <w:t>，與交易人所得應無直接關係</w:t>
      </w:r>
    </w:p>
    <w:p w:rsidR="00F61923" w:rsidRPr="008B1914" w:rsidRDefault="00180FED" w:rsidP="0050210F">
      <w:pPr>
        <w:spacing w:line="500" w:lineRule="exact"/>
        <w:ind w:leftChars="118" w:left="283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依</w:t>
      </w:r>
      <w:r w:rsidR="007945AC">
        <w:rPr>
          <w:rFonts w:ascii="Times New Roman" w:eastAsia="標楷體" w:hAnsi="Times New Roman" w:cs="Times New Roman" w:hint="eastAsia"/>
          <w:sz w:val="28"/>
          <w:szCs w:val="28"/>
        </w:rPr>
        <w:t>我國期貨市場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經紀市占率最大之</w:t>
      </w:r>
      <w:r w:rsidR="00BC12C0">
        <w:rPr>
          <w:rFonts w:ascii="Times New Roman" w:eastAsia="標楷體" w:hAnsi="Times New Roman" w:cs="Times New Roman" w:hint="eastAsia"/>
          <w:sz w:val="28"/>
          <w:szCs w:val="28"/>
        </w:rPr>
        <w:t>元大期貨</w:t>
      </w:r>
      <w:r w:rsidR="0001708B" w:rsidRPr="008B1914">
        <w:rPr>
          <w:rFonts w:ascii="Times New Roman" w:eastAsia="標楷體" w:hAnsi="Times New Roman" w:cs="Times New Roman" w:hint="eastAsia"/>
          <w:sz w:val="28"/>
          <w:szCs w:val="28"/>
        </w:rPr>
        <w:t>統計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該公司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2016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月至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61923" w:rsidRPr="008B1914">
        <w:rPr>
          <w:rFonts w:ascii="Times New Roman" w:eastAsia="標楷體" w:hAnsi="Times New Roman" w:cs="Times New Roman" w:hint="eastAsia"/>
          <w:sz w:val="28"/>
          <w:szCs w:val="28"/>
        </w:rPr>
        <w:t>男、女性開戶徵信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時所</w:t>
      </w:r>
      <w:r w:rsidR="00F61923" w:rsidRPr="008B1914">
        <w:rPr>
          <w:rFonts w:ascii="Times New Roman" w:eastAsia="標楷體" w:hAnsi="Times New Roman" w:cs="Times New Roman" w:hint="eastAsia"/>
          <w:sz w:val="28"/>
          <w:szCs w:val="28"/>
        </w:rPr>
        <w:t>填寫之所得資料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分析</w:t>
      </w:r>
      <w:r w:rsidR="0001708B" w:rsidRPr="008B1914">
        <w:rPr>
          <w:rFonts w:ascii="Times New Roman" w:eastAsia="標楷體" w:hAnsi="Times New Roman" w:cs="Times New Roman" w:hint="eastAsia"/>
          <w:sz w:val="28"/>
          <w:szCs w:val="28"/>
        </w:rPr>
        <w:t>，男性與女性年收入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所得相近</w:t>
      </w:r>
      <w:r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，</w:t>
      </w:r>
      <w:r w:rsidR="003E0624" w:rsidRPr="003E0624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  <w:lang w:eastAsia="zh-HK"/>
        </w:rPr>
        <w:t>男性</w:t>
      </w:r>
      <w:r w:rsidR="003E0624" w:rsidRPr="003E0624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</w:rPr>
        <w:t>平均</w:t>
      </w:r>
      <w:r w:rsidR="003E0624" w:rsidRPr="003E0624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  <w:lang w:eastAsia="zh-HK"/>
        </w:rPr>
        <w:t>約為</w:t>
      </w:r>
      <w:r w:rsidR="003E0624" w:rsidRPr="003E0624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</w:rPr>
        <w:t>86</w:t>
      </w:r>
      <w:r w:rsidR="003E0624" w:rsidRPr="003E0624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</w:rPr>
        <w:t>萬，女性約為</w:t>
      </w:r>
      <w:r w:rsidR="003E0624" w:rsidRPr="003E0624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</w:rPr>
        <w:t>78</w:t>
      </w:r>
      <w:r w:rsidR="003E0624" w:rsidRPr="003E0624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</w:rPr>
        <w:t>萬</w:t>
      </w:r>
      <w:r w:rsidR="003E0624" w:rsidRPr="003E6543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</w:rPr>
        <w:t>，</w:t>
      </w:r>
      <w:r w:rsidR="003E6543" w:rsidRPr="003E6543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</w:rPr>
        <w:t>男性平均所得為女性平均所得之</w:t>
      </w:r>
      <w:r w:rsidR="003E6543" w:rsidRPr="003E6543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</w:rPr>
        <w:t>1.10</w:t>
      </w:r>
      <w:r w:rsidR="003E6543" w:rsidRPr="003E6543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</w:rPr>
        <w:t>倍，但男性平均交易量為女性之</w:t>
      </w:r>
      <w:r w:rsidR="003E6543" w:rsidRPr="003E6543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</w:rPr>
        <w:t>1.45</w:t>
      </w:r>
      <w:r w:rsidR="003E6543" w:rsidRPr="003E6543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</w:rPr>
        <w:t>倍</w:t>
      </w:r>
      <w:r w:rsidR="003E654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D150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推論</w:t>
      </w:r>
      <w:r w:rsidR="00F61923" w:rsidRPr="008B1914">
        <w:rPr>
          <w:rFonts w:ascii="Times New Roman" w:eastAsia="標楷體" w:hAnsi="Times New Roman" w:cs="Times New Roman" w:hint="eastAsia"/>
          <w:sz w:val="28"/>
          <w:szCs w:val="28"/>
        </w:rPr>
        <w:t>男性與女性於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我國</w:t>
      </w:r>
      <w:r w:rsidR="00F61923" w:rsidRPr="008B1914">
        <w:rPr>
          <w:rFonts w:ascii="Times New Roman" w:eastAsia="標楷體" w:hAnsi="Times New Roman" w:cs="Times New Roman" w:hint="eastAsia"/>
          <w:sz w:val="28"/>
          <w:szCs w:val="28"/>
        </w:rPr>
        <w:t>期貨市場開戶占比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及交易量占比差異應</w:t>
      </w:r>
      <w:r w:rsidR="00F61923" w:rsidRPr="008B1914">
        <w:rPr>
          <w:rFonts w:ascii="Times New Roman" w:eastAsia="標楷體" w:hAnsi="Times New Roman" w:cs="Times New Roman" w:hint="eastAsia"/>
          <w:sz w:val="28"/>
          <w:szCs w:val="28"/>
        </w:rPr>
        <w:t>與所得收入無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直接相</w:t>
      </w:r>
      <w:r w:rsidR="00F61923" w:rsidRPr="008B1914">
        <w:rPr>
          <w:rFonts w:ascii="Times New Roman" w:eastAsia="標楷體" w:hAnsi="Times New Roman" w:cs="Times New Roman" w:hint="eastAsia"/>
          <w:sz w:val="28"/>
          <w:szCs w:val="28"/>
        </w:rPr>
        <w:t>關。</w:t>
      </w:r>
    </w:p>
    <w:p w:rsidR="00F61923" w:rsidRPr="008B1914" w:rsidRDefault="00F61923" w:rsidP="00F61923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小結</w:t>
      </w:r>
    </w:p>
    <w:p w:rsidR="007D6968" w:rsidRDefault="00F61923" w:rsidP="00F61923">
      <w:pPr>
        <w:spacing w:line="500" w:lineRule="exact"/>
        <w:ind w:leftChars="118" w:left="283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男性與女性於</w:t>
      </w:r>
      <w:r w:rsidR="0093271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我國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期貨市場之</w:t>
      </w:r>
      <w:r w:rsidR="0001708B" w:rsidRPr="008B1914">
        <w:rPr>
          <w:rFonts w:ascii="Times New Roman" w:eastAsia="標楷體" w:hAnsi="Times New Roman" w:cs="Times New Roman" w:hint="eastAsia"/>
          <w:sz w:val="28"/>
          <w:szCs w:val="28"/>
        </w:rPr>
        <w:t>交易量占比</w:t>
      </w:r>
      <w:r w:rsidR="00932719" w:rsidRPr="00317C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約</w:t>
      </w:r>
      <w:r w:rsidR="0001708B" w:rsidRPr="00317C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932719" w:rsidRPr="00317C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01708B" w:rsidRPr="00317C0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%</w:t>
      </w:r>
      <w:r w:rsidR="0001708B" w:rsidRPr="00317C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</w:t>
      </w:r>
      <w:r w:rsidR="00932719" w:rsidRPr="00317C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25</w:t>
      </w:r>
      <w:r w:rsidR="0001708B" w:rsidRPr="00317C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%</w:t>
      </w:r>
      <w:r w:rsidR="0001708B" w:rsidRPr="00317C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317C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差異</w:t>
      </w:r>
      <w:r w:rsidR="000627DB" w:rsidRPr="000627DB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</w:rPr>
        <w:t>之主要原因</w:t>
      </w:r>
      <w:r w:rsidRPr="008B1914">
        <w:rPr>
          <w:rFonts w:ascii="Times New Roman" w:eastAsia="標楷體" w:hAnsi="Times New Roman" w:cs="Times New Roman" w:hint="eastAsia"/>
          <w:sz w:val="28"/>
          <w:szCs w:val="28"/>
        </w:rPr>
        <w:t>應係</w:t>
      </w:r>
      <w:r w:rsidR="00703C31" w:rsidRPr="008B1914">
        <w:rPr>
          <w:rFonts w:ascii="Times New Roman" w:eastAsia="標楷體" w:hAnsi="Times New Roman" w:cs="Times New Roman" w:hint="eastAsia"/>
          <w:sz w:val="28"/>
          <w:szCs w:val="28"/>
        </w:rPr>
        <w:t>風險偏好</w:t>
      </w:r>
      <w:r w:rsidR="000627DB" w:rsidRPr="000627DB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</w:rPr>
        <w:t>不同</w:t>
      </w:r>
      <w:r w:rsidR="007945AC">
        <w:rPr>
          <w:rFonts w:ascii="Times New Roman" w:eastAsia="標楷體" w:hAnsi="Times New Roman" w:cs="Times New Roman" w:hint="eastAsia"/>
          <w:sz w:val="28"/>
          <w:szCs w:val="28"/>
        </w:rPr>
        <w:t>，男性風險偏好程度高於女性，爰</w:t>
      </w:r>
      <w:r w:rsidR="008E26B4" w:rsidRPr="008B1914">
        <w:rPr>
          <w:rFonts w:ascii="Times New Roman" w:eastAsia="標楷體" w:hAnsi="Times New Roman" w:cs="Times New Roman" w:hint="eastAsia"/>
          <w:sz w:val="28"/>
          <w:szCs w:val="28"/>
        </w:rPr>
        <w:t>男性</w:t>
      </w:r>
      <w:r w:rsidR="00FA1643">
        <w:rPr>
          <w:rFonts w:ascii="Times New Roman" w:eastAsia="標楷體" w:hAnsi="Times New Roman" w:cs="Times New Roman" w:hint="eastAsia"/>
          <w:sz w:val="28"/>
          <w:szCs w:val="28"/>
        </w:rPr>
        <w:t>傾</w:t>
      </w:r>
      <w:r w:rsidR="0001708B" w:rsidRPr="008B1914">
        <w:rPr>
          <w:rFonts w:ascii="Times New Roman" w:eastAsia="標楷體" w:hAnsi="Times New Roman" w:cs="Times New Roman" w:hint="eastAsia"/>
          <w:sz w:val="28"/>
          <w:szCs w:val="28"/>
        </w:rPr>
        <w:t>向將</w:t>
      </w:r>
      <w:r w:rsidR="00E01167" w:rsidRPr="008B1914">
        <w:rPr>
          <w:rFonts w:ascii="Times New Roman" w:eastAsia="標楷體" w:hAnsi="Times New Roman" w:cs="Times New Roman" w:hint="eastAsia"/>
          <w:sz w:val="28"/>
          <w:szCs w:val="28"/>
        </w:rPr>
        <w:t>資金佈局於</w:t>
      </w:r>
      <w:r w:rsidR="00703C31" w:rsidRPr="008B1914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EA64F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高財務</w:t>
      </w:r>
      <w:r w:rsidR="00703C31" w:rsidRPr="008B1914">
        <w:rPr>
          <w:rFonts w:ascii="Times New Roman" w:eastAsia="標楷體" w:hAnsi="Times New Roman" w:cs="Times New Roman" w:hint="eastAsia"/>
          <w:sz w:val="28"/>
          <w:szCs w:val="28"/>
        </w:rPr>
        <w:t>槓桿性之期貨及選擇權商品。</w:t>
      </w:r>
    </w:p>
    <w:p w:rsidR="00ED150C" w:rsidRPr="00F5671C" w:rsidRDefault="00ED150C" w:rsidP="00F61923">
      <w:pPr>
        <w:spacing w:line="500" w:lineRule="exact"/>
        <w:ind w:leftChars="118" w:left="283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F775C" w:rsidRDefault="00E2174F" w:rsidP="007D6968">
      <w:pPr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三、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不同年齡層之開戶數與交易量分析</w:t>
      </w:r>
    </w:p>
    <w:p w:rsidR="008D10EA" w:rsidRDefault="00D96DAF" w:rsidP="008D10EA">
      <w:pPr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0EA">
        <w:rPr>
          <w:rFonts w:ascii="Times New Roman" w:eastAsia="標楷體" w:hAnsi="Times New Roman" w:cs="Times New Roman" w:hint="eastAsia"/>
          <w:sz w:val="28"/>
          <w:szCs w:val="28"/>
        </w:rPr>
        <w:t>觀察</w:t>
      </w:r>
      <w:r w:rsidRPr="008D10EA">
        <w:rPr>
          <w:rFonts w:ascii="Times New Roman" w:eastAsia="標楷體" w:hAnsi="Times New Roman" w:cs="Times New Roman" w:hint="eastAsia"/>
          <w:sz w:val="28"/>
          <w:szCs w:val="28"/>
        </w:rPr>
        <w:t>1998</w:t>
      </w:r>
      <w:r w:rsidRPr="008D10EA">
        <w:rPr>
          <w:rFonts w:ascii="Times New Roman" w:eastAsia="標楷體" w:hAnsi="Times New Roman" w:cs="Times New Roman" w:hint="eastAsia"/>
          <w:sz w:val="28"/>
          <w:szCs w:val="28"/>
        </w:rPr>
        <w:t>年至</w:t>
      </w:r>
      <w:r w:rsidRPr="008D10E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8D10EA">
        <w:rPr>
          <w:rFonts w:ascii="Times New Roman" w:eastAsia="標楷體" w:hAnsi="Times New Roman" w:cs="Times New Roman"/>
          <w:sz w:val="28"/>
          <w:szCs w:val="28"/>
        </w:rPr>
        <w:t>016</w:t>
      </w:r>
      <w:r w:rsidRPr="008D10EA">
        <w:rPr>
          <w:rFonts w:ascii="Times New Roman" w:eastAsia="標楷體" w:hAnsi="Times New Roman" w:cs="Times New Roman" w:hint="eastAsia"/>
          <w:sz w:val="28"/>
          <w:szCs w:val="28"/>
        </w:rPr>
        <w:t>年期間</w:t>
      </w:r>
      <w:r w:rsidR="009B36C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我國</w:t>
      </w:r>
      <w:r w:rsidRPr="008D10EA">
        <w:rPr>
          <w:rFonts w:ascii="Times New Roman" w:eastAsia="標楷體" w:hAnsi="Times New Roman" w:cs="Times New Roman" w:hint="eastAsia"/>
          <w:sz w:val="28"/>
          <w:szCs w:val="28"/>
        </w:rPr>
        <w:t>期貨市場不同年齡</w:t>
      </w:r>
      <w:r w:rsidR="009B36C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層</w:t>
      </w:r>
      <w:r w:rsidRPr="008D10EA">
        <w:rPr>
          <w:rFonts w:ascii="Times New Roman" w:eastAsia="標楷體" w:hAnsi="Times New Roman" w:cs="Times New Roman" w:hint="eastAsia"/>
          <w:sz w:val="28"/>
          <w:szCs w:val="28"/>
        </w:rPr>
        <w:t>與性別開戶數占比，男性以</w:t>
      </w:r>
      <w:r w:rsidRPr="008D10EA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8D10EA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8D10E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D10EA">
        <w:rPr>
          <w:rFonts w:ascii="Times New Roman" w:eastAsia="標楷體" w:hAnsi="Times New Roman" w:cs="Times New Roman"/>
          <w:sz w:val="28"/>
          <w:szCs w:val="28"/>
        </w:rPr>
        <w:t>9</w:t>
      </w:r>
      <w:r w:rsidRPr="008D10EA">
        <w:rPr>
          <w:rFonts w:ascii="Times New Roman" w:eastAsia="標楷體" w:hAnsi="Times New Roman" w:cs="Times New Roman" w:hint="eastAsia"/>
          <w:sz w:val="28"/>
          <w:szCs w:val="28"/>
        </w:rPr>
        <w:t>歲之</w:t>
      </w:r>
      <w:r w:rsidR="00FD50C5" w:rsidRPr="008D10EA">
        <w:rPr>
          <w:rFonts w:ascii="Times New Roman" w:eastAsia="標楷體" w:hAnsi="Times New Roman" w:cs="Times New Roman" w:hint="eastAsia"/>
          <w:sz w:val="28"/>
          <w:szCs w:val="28"/>
        </w:rPr>
        <w:t>開戶數</w:t>
      </w:r>
      <w:r w:rsidR="00E92F88" w:rsidRPr="008D10EA">
        <w:rPr>
          <w:rFonts w:ascii="Times New Roman" w:eastAsia="標楷體" w:hAnsi="Times New Roman" w:cs="Times New Roman" w:hint="eastAsia"/>
          <w:sz w:val="28"/>
          <w:szCs w:val="28"/>
        </w:rPr>
        <w:t>占比最</w:t>
      </w:r>
      <w:r w:rsidRPr="008D10EA">
        <w:rPr>
          <w:rFonts w:ascii="Times New Roman" w:eastAsia="標楷體" w:hAnsi="Times New Roman" w:cs="Times New Roman" w:hint="eastAsia"/>
          <w:sz w:val="28"/>
          <w:szCs w:val="28"/>
        </w:rPr>
        <w:t>高</w:t>
      </w:r>
      <w:r w:rsidR="0062362B" w:rsidRPr="008D10E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2362B" w:rsidRPr="008D10EA">
        <w:rPr>
          <w:rFonts w:ascii="Times New Roman" w:eastAsia="標楷體" w:hAnsi="Times New Roman" w:cs="Times New Roman"/>
          <w:sz w:val="28"/>
          <w:szCs w:val="28"/>
        </w:rPr>
        <w:t>其次為</w:t>
      </w:r>
      <w:r w:rsidR="0062362B" w:rsidRPr="008D10E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62362B" w:rsidRPr="008D10EA">
        <w:rPr>
          <w:rFonts w:ascii="Times New Roman" w:eastAsia="標楷體" w:hAnsi="Times New Roman" w:cs="Times New Roman"/>
          <w:sz w:val="28"/>
          <w:szCs w:val="28"/>
        </w:rPr>
        <w:t>0</w:t>
      </w:r>
      <w:r w:rsidR="0062362B" w:rsidRPr="008D10EA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62362B" w:rsidRPr="008D10EA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62362B" w:rsidRPr="008D10EA">
        <w:rPr>
          <w:rFonts w:ascii="Times New Roman" w:eastAsia="標楷體" w:hAnsi="Times New Roman" w:cs="Times New Roman" w:hint="eastAsia"/>
          <w:sz w:val="28"/>
          <w:szCs w:val="28"/>
        </w:rPr>
        <w:t>歲</w:t>
      </w:r>
      <w:r w:rsidR="0062362B" w:rsidRPr="008D10EA">
        <w:rPr>
          <w:rFonts w:ascii="Times New Roman" w:eastAsia="標楷體" w:hAnsi="Times New Roman" w:cs="Times New Roman"/>
          <w:sz w:val="28"/>
          <w:szCs w:val="28"/>
        </w:rPr>
        <w:t>，第三則為</w:t>
      </w:r>
      <w:r w:rsidR="0062362B" w:rsidRPr="008D10EA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="0062362B" w:rsidRPr="008D10EA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62362B" w:rsidRPr="008D10EA">
        <w:rPr>
          <w:rFonts w:ascii="Times New Roman" w:eastAsia="標楷體" w:hAnsi="Times New Roman" w:cs="Times New Roman" w:hint="eastAsia"/>
          <w:sz w:val="28"/>
          <w:szCs w:val="28"/>
        </w:rPr>
        <w:t>49</w:t>
      </w:r>
      <w:r w:rsidR="0062362B" w:rsidRPr="008D10EA">
        <w:rPr>
          <w:rFonts w:ascii="Times New Roman" w:eastAsia="標楷體" w:hAnsi="Times New Roman" w:cs="Times New Roman" w:hint="eastAsia"/>
          <w:sz w:val="28"/>
          <w:szCs w:val="28"/>
        </w:rPr>
        <w:t>歲；</w:t>
      </w:r>
      <w:r w:rsidR="00A7073C" w:rsidRPr="008D10EA">
        <w:rPr>
          <w:rFonts w:ascii="Times New Roman" w:eastAsia="標楷體" w:hAnsi="Times New Roman" w:cs="Times New Roman" w:hint="eastAsia"/>
          <w:sz w:val="28"/>
          <w:szCs w:val="28"/>
        </w:rPr>
        <w:t>女性亦以</w:t>
      </w:r>
      <w:r w:rsidR="00A7073C" w:rsidRPr="008D10E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A7073C" w:rsidRPr="008D10EA">
        <w:rPr>
          <w:rFonts w:ascii="Times New Roman" w:eastAsia="標楷體" w:hAnsi="Times New Roman" w:cs="Times New Roman"/>
          <w:sz w:val="28"/>
          <w:szCs w:val="28"/>
        </w:rPr>
        <w:t>0</w:t>
      </w:r>
      <w:r w:rsidR="00A7073C" w:rsidRPr="008D10EA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A7073C" w:rsidRPr="008D10E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A7073C" w:rsidRPr="008D10EA">
        <w:rPr>
          <w:rFonts w:ascii="Times New Roman" w:eastAsia="標楷體" w:hAnsi="Times New Roman" w:cs="Times New Roman"/>
          <w:sz w:val="28"/>
          <w:szCs w:val="28"/>
        </w:rPr>
        <w:t>9</w:t>
      </w:r>
      <w:r w:rsidR="00A7073C" w:rsidRPr="008D10EA">
        <w:rPr>
          <w:rFonts w:ascii="Times New Roman" w:eastAsia="標楷體" w:hAnsi="Times New Roman" w:cs="Times New Roman" w:hint="eastAsia"/>
          <w:sz w:val="28"/>
          <w:szCs w:val="28"/>
        </w:rPr>
        <w:t>歲之</w:t>
      </w:r>
      <w:r w:rsidR="00FD50C5" w:rsidRPr="008D10EA">
        <w:rPr>
          <w:rFonts w:ascii="Times New Roman" w:eastAsia="標楷體" w:hAnsi="Times New Roman" w:cs="Times New Roman" w:hint="eastAsia"/>
          <w:sz w:val="28"/>
          <w:szCs w:val="28"/>
        </w:rPr>
        <w:t>開戶數</w:t>
      </w:r>
      <w:r w:rsidR="00E92F88" w:rsidRPr="008D10EA">
        <w:rPr>
          <w:rFonts w:ascii="Times New Roman" w:eastAsia="標楷體" w:hAnsi="Times New Roman" w:cs="Times New Roman" w:hint="eastAsia"/>
          <w:sz w:val="28"/>
          <w:szCs w:val="28"/>
        </w:rPr>
        <w:t>占比最</w:t>
      </w:r>
      <w:r w:rsidR="00A7073C" w:rsidRPr="008D10EA">
        <w:rPr>
          <w:rFonts w:ascii="Times New Roman" w:eastAsia="標楷體" w:hAnsi="Times New Roman" w:cs="Times New Roman" w:hint="eastAsia"/>
          <w:sz w:val="28"/>
          <w:szCs w:val="28"/>
        </w:rPr>
        <w:t>高</w:t>
      </w:r>
      <w:r w:rsidR="0062362B" w:rsidRPr="008D10EA">
        <w:rPr>
          <w:rFonts w:ascii="Times New Roman" w:eastAsia="標楷體" w:hAnsi="Times New Roman" w:cs="Times New Roman" w:hint="eastAsia"/>
          <w:sz w:val="28"/>
          <w:szCs w:val="28"/>
        </w:rPr>
        <w:t>，其次為</w:t>
      </w:r>
      <w:r w:rsidR="0062362B" w:rsidRPr="008D10EA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="007C604A" w:rsidRPr="008D10EA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62362B" w:rsidRPr="008D10EA">
        <w:rPr>
          <w:rFonts w:ascii="Times New Roman" w:eastAsia="標楷體" w:hAnsi="Times New Roman" w:cs="Times New Roman"/>
          <w:sz w:val="28"/>
          <w:szCs w:val="28"/>
        </w:rPr>
        <w:t>49</w:t>
      </w:r>
      <w:r w:rsidR="0062362B" w:rsidRPr="008D10EA">
        <w:rPr>
          <w:rFonts w:ascii="Times New Roman" w:eastAsia="標楷體" w:hAnsi="Times New Roman" w:cs="Times New Roman" w:hint="eastAsia"/>
          <w:sz w:val="28"/>
          <w:szCs w:val="28"/>
        </w:rPr>
        <w:t>歲，第三則為</w:t>
      </w:r>
      <w:r w:rsidR="007C604A" w:rsidRPr="008D10EA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7C604A" w:rsidRPr="008D10EA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62362B" w:rsidRPr="008D10EA">
        <w:rPr>
          <w:rFonts w:ascii="Times New Roman" w:eastAsia="標楷體" w:hAnsi="Times New Roman" w:cs="Times New Roman"/>
          <w:sz w:val="28"/>
          <w:szCs w:val="28"/>
        </w:rPr>
        <w:t>29</w:t>
      </w:r>
      <w:r w:rsidR="0062362B" w:rsidRPr="008D10EA">
        <w:rPr>
          <w:rFonts w:ascii="Times New Roman" w:eastAsia="標楷體" w:hAnsi="Times New Roman" w:cs="Times New Roman" w:hint="eastAsia"/>
          <w:sz w:val="28"/>
          <w:szCs w:val="28"/>
        </w:rPr>
        <w:t>歲</w:t>
      </w:r>
      <w:r w:rsidR="00A7073C" w:rsidRPr="008D10E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D10EA" w:rsidRDefault="00077EDB" w:rsidP="008D10EA">
      <w:pPr>
        <w:spacing w:line="500" w:lineRule="exact"/>
        <w:ind w:firstLineChars="200" w:firstLine="560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有關新開戶數</w:t>
      </w:r>
      <w:r w:rsidRPr="00077EDB">
        <w:rPr>
          <w:rFonts w:ascii="Times New Roman" w:eastAsia="標楷體" w:hAnsi="標楷體" w:cs="Times New Roman" w:hint="eastAsia"/>
          <w:sz w:val="28"/>
          <w:szCs w:val="28"/>
        </w:rPr>
        <w:t>部分，在各大專院校愈來愈普及開設期貨與選擇權課程，及</w:t>
      </w:r>
      <w:r w:rsidR="003E4FB9">
        <w:rPr>
          <w:rFonts w:ascii="Times New Roman" w:eastAsia="標楷體" w:hAnsi="標楷體" w:cs="Times New Roman" w:hint="eastAsia"/>
          <w:sz w:val="28"/>
          <w:szCs w:val="28"/>
        </w:rPr>
        <w:t>期交所</w:t>
      </w:r>
      <w:r w:rsidRPr="00077EDB">
        <w:rPr>
          <w:rFonts w:ascii="Times New Roman" w:eastAsia="標楷體" w:hAnsi="標楷體" w:cs="Times New Roman" w:hint="eastAsia"/>
          <w:sz w:val="28"/>
          <w:szCs w:val="28"/>
        </w:rPr>
        <w:t>近年來持續推廣「線上虛擬交易所」、舉辦大專院校模擬交易競賽、補助大專院校開設博</w:t>
      </w:r>
      <w:r w:rsidR="009B36C5" w:rsidRPr="00077EDB">
        <w:rPr>
          <w:rFonts w:ascii="Times New Roman" w:eastAsia="標楷體" w:hAnsi="標楷體" w:cs="Times New Roman" w:hint="eastAsia"/>
          <w:sz w:val="28"/>
          <w:szCs w:val="28"/>
        </w:rPr>
        <w:t>碩</w:t>
      </w:r>
      <w:r w:rsidRPr="00077EDB">
        <w:rPr>
          <w:rFonts w:ascii="Times New Roman" w:eastAsia="標楷體" w:hAnsi="標楷體" w:cs="Times New Roman" w:hint="eastAsia"/>
          <w:sz w:val="28"/>
          <w:szCs w:val="28"/>
        </w:rPr>
        <w:t>士論文課程、辦理博</w:t>
      </w:r>
      <w:r w:rsidR="009B36C5" w:rsidRPr="00077EDB">
        <w:rPr>
          <w:rFonts w:ascii="Times New Roman" w:eastAsia="標楷體" w:hAnsi="標楷體" w:cs="Times New Roman" w:hint="eastAsia"/>
          <w:sz w:val="28"/>
          <w:szCs w:val="28"/>
        </w:rPr>
        <w:t>碩</w:t>
      </w:r>
      <w:r w:rsidRPr="00077EDB">
        <w:rPr>
          <w:rFonts w:ascii="Times New Roman" w:eastAsia="標楷體" w:hAnsi="標楷體" w:cs="Times New Roman" w:hint="eastAsia"/>
          <w:sz w:val="28"/>
          <w:szCs w:val="28"/>
        </w:rPr>
        <w:t>士論文獎助學金，以及持續</w:t>
      </w:r>
      <w:r w:rsidR="009B36C5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推動</w:t>
      </w:r>
      <w:r w:rsidRPr="00077EDB">
        <w:rPr>
          <w:rFonts w:ascii="Times New Roman" w:eastAsia="標楷體" w:hAnsi="標楷體" w:cs="Times New Roman" w:hint="eastAsia"/>
          <w:sz w:val="28"/>
          <w:szCs w:val="28"/>
        </w:rPr>
        <w:t>「期貨與選擇權學刊」收錄於</w:t>
      </w:r>
      <w:r w:rsidRPr="00077EDB">
        <w:rPr>
          <w:rFonts w:ascii="Times New Roman" w:eastAsia="標楷體" w:hAnsi="標楷體" w:cs="Times New Roman" w:hint="eastAsia"/>
          <w:sz w:val="28"/>
          <w:szCs w:val="28"/>
        </w:rPr>
        <w:t>TSSCI</w:t>
      </w:r>
      <w:r w:rsidRPr="00077EDB">
        <w:rPr>
          <w:rFonts w:ascii="Times New Roman" w:eastAsia="標楷體" w:hAnsi="標楷體" w:cs="Times New Roman" w:hint="eastAsia"/>
          <w:sz w:val="28"/>
          <w:szCs w:val="28"/>
        </w:rPr>
        <w:t>等推廣工作，</w:t>
      </w:r>
      <w:r w:rsidR="009B36C5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已</w:t>
      </w:r>
      <w:r w:rsidRPr="00077EDB">
        <w:rPr>
          <w:rFonts w:ascii="Times New Roman" w:eastAsia="標楷體" w:hAnsi="標楷體" w:cs="Times New Roman" w:hint="eastAsia"/>
          <w:sz w:val="28"/>
          <w:szCs w:val="28"/>
        </w:rPr>
        <w:t>達期貨與選擇權知識向下紮根，普及金融知識目的，並能吸引</w:t>
      </w:r>
      <w:r w:rsidRPr="00077EDB">
        <w:rPr>
          <w:rFonts w:ascii="Times New Roman" w:eastAsia="標楷體" w:hAnsi="標楷體" w:cs="Times New Roman" w:hint="eastAsia"/>
          <w:sz w:val="28"/>
          <w:szCs w:val="28"/>
        </w:rPr>
        <w:t>20</w:t>
      </w:r>
      <w:r w:rsidR="008A376F">
        <w:rPr>
          <w:rFonts w:ascii="Times New Roman" w:eastAsia="標楷體" w:hAnsi="標楷體" w:cs="Times New Roman" w:hint="eastAsia"/>
          <w:sz w:val="28"/>
          <w:szCs w:val="28"/>
        </w:rPr>
        <w:t>至</w:t>
      </w:r>
      <w:r w:rsidRPr="00077EDB">
        <w:rPr>
          <w:rFonts w:ascii="Times New Roman" w:eastAsia="標楷體" w:hAnsi="標楷體" w:cs="Times New Roman" w:hint="eastAsia"/>
          <w:sz w:val="28"/>
          <w:szCs w:val="28"/>
        </w:rPr>
        <w:t>29</w:t>
      </w:r>
      <w:r w:rsidRPr="00077EDB">
        <w:rPr>
          <w:rFonts w:ascii="Times New Roman" w:eastAsia="標楷體" w:hAnsi="標楷體" w:cs="Times New Roman" w:hint="eastAsia"/>
          <w:sz w:val="28"/>
          <w:szCs w:val="28"/>
        </w:rPr>
        <w:t>歲之年齡層開戶，進而關注期貨市場長期發展。</w:t>
      </w:r>
    </w:p>
    <w:p w:rsidR="008D10EA" w:rsidRDefault="00A7429B" w:rsidP="008D10EA">
      <w:pPr>
        <w:spacing w:line="500" w:lineRule="exact"/>
        <w:ind w:firstLineChars="200" w:firstLine="560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="00BF775C" w:rsidRPr="00D96DAF">
        <w:rPr>
          <w:rFonts w:ascii="Times New Roman" w:eastAsia="標楷體" w:hAnsi="標楷體" w:cs="Times New Roman" w:hint="eastAsia"/>
          <w:sz w:val="28"/>
          <w:szCs w:val="28"/>
        </w:rPr>
        <w:t>觀察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1998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年至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2</w:t>
      </w:r>
      <w:r w:rsidR="00BF775C">
        <w:rPr>
          <w:rFonts w:ascii="Times New Roman" w:eastAsia="標楷體" w:hAnsi="標楷體" w:cs="Times New Roman"/>
          <w:sz w:val="28"/>
          <w:szCs w:val="28"/>
        </w:rPr>
        <w:t>016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年期間期貨市場之不同年齡</w:t>
      </w:r>
      <w:r w:rsidR="007B0E83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層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與性別之交易占比，男性及女性交易量占比最高之前三大年齡層皆集中於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40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至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49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歲、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30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至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39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歲及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50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至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59</w:t>
      </w:r>
      <w:r w:rsidR="00BF775C">
        <w:rPr>
          <w:rFonts w:ascii="Times New Roman" w:eastAsia="標楷體" w:hAnsi="標楷體" w:cs="Times New Roman" w:hint="eastAsia"/>
          <w:sz w:val="28"/>
          <w:szCs w:val="28"/>
        </w:rPr>
        <w:t>歲。</w:t>
      </w:r>
    </w:p>
    <w:p w:rsidR="00CE585A" w:rsidRDefault="00BF775C" w:rsidP="008D10EA">
      <w:pPr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由交易年齡層</w:t>
      </w:r>
      <w:r w:rsidR="007B0E8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統計</w:t>
      </w:r>
      <w:r>
        <w:rPr>
          <w:rFonts w:ascii="Times New Roman" w:eastAsia="標楷體" w:hAnsi="Times New Roman" w:cs="Times New Roman" w:hint="eastAsia"/>
          <w:sz w:val="28"/>
          <w:szCs w:val="28"/>
        </w:rPr>
        <w:t>數據顯示，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交易年齡層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59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歲在男性及女性分別皆占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成以上，</w:t>
      </w:r>
      <w:r w:rsidR="00FF6026" w:rsidRPr="00FF6026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</w:rPr>
        <w:t>並無顯著差異，由於年輕族群之教育程度較高，且男女受教機會較公平，致男性及女性在年齡層</w:t>
      </w:r>
      <w:r w:rsidR="00FF6026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</w:rPr>
        <w:t>分布相近，可間接推論，女性交易比重較低，應與女性之教育或金融知識宣導無關。</w:t>
      </w:r>
      <w:r w:rsidR="00FF6026" w:rsidRPr="00FF6026">
        <w:rPr>
          <w:rFonts w:ascii="Times New Roman" w:eastAsia="標楷體" w:hAnsi="Times New Roman" w:cs="Times New Roman" w:hint="eastAsia"/>
          <w:color w:val="833C0B" w:themeColor="accent2" w:themeShade="80"/>
          <w:sz w:val="28"/>
          <w:szCs w:val="28"/>
        </w:rPr>
        <w:t>推論其主要原因為</w:t>
      </w:r>
      <w:r w:rsidR="00FF602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經濟能力</w:t>
      </w:r>
      <w:r w:rsidR="007B0E8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較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好</w:t>
      </w:r>
      <w:r w:rsidR="007B0E8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之主要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工作族群者，在投資理財上較為積極</w:t>
      </w:r>
      <w:r w:rsidR="00FF602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歲</w:t>
      </w:r>
      <w:r w:rsidR="007B0E83" w:rsidRPr="00077EDB">
        <w:rPr>
          <w:rFonts w:ascii="Times New Roman" w:eastAsia="標楷體" w:hAnsi="Times New Roman" w:cs="Times New Roman" w:hint="eastAsia"/>
          <w:sz w:val="28"/>
          <w:szCs w:val="28"/>
        </w:rPr>
        <w:t>開</w:t>
      </w:r>
      <w:r w:rsidR="002D77AA">
        <w:rPr>
          <w:rFonts w:ascii="Times New Roman" w:eastAsia="標楷體" w:hAnsi="Times New Roman" w:cs="Times New Roman" w:hint="eastAsia"/>
          <w:sz w:val="28"/>
          <w:szCs w:val="28"/>
        </w:rPr>
        <w:t>剛</w:t>
      </w:r>
      <w:r w:rsidR="007B0E83" w:rsidRPr="00077EDB">
        <w:rPr>
          <w:rFonts w:ascii="Times New Roman" w:eastAsia="標楷體" w:hAnsi="Times New Roman" w:cs="Times New Roman" w:hint="eastAsia"/>
          <w:sz w:val="28"/>
          <w:szCs w:val="28"/>
        </w:rPr>
        <w:t>始工作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之年輕族群</w:t>
      </w:r>
      <w:r w:rsidR="007B0E8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7B0E8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因財務能力較為不足</w:t>
      </w:r>
      <w:r w:rsidR="007B0E83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，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男性及女性</w:t>
      </w:r>
      <w:r w:rsidR="007B0E83" w:rsidRPr="00077EDB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="007B0E8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交易</w:t>
      </w:r>
      <w:r w:rsidR="007B0E83" w:rsidRPr="00077EDB">
        <w:rPr>
          <w:rFonts w:ascii="Times New Roman" w:eastAsia="標楷體" w:hAnsi="Times New Roman" w:cs="Times New Roman" w:hint="eastAsia"/>
          <w:sz w:val="28"/>
          <w:szCs w:val="28"/>
        </w:rPr>
        <w:t>占</w:t>
      </w:r>
      <w:r w:rsidR="007B0E8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比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分別為</w:t>
      </w:r>
      <w:r w:rsidR="005F0980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5F098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Pr="00077EDB">
        <w:rPr>
          <w:rFonts w:ascii="Times New Roman" w:eastAsia="標楷體" w:hAnsi="Times New Roman" w:cs="Times New Roman" w:hint="eastAsia"/>
          <w:sz w:val="28"/>
          <w:szCs w:val="28"/>
        </w:rPr>
        <w:t>；至於退休族群亦轉為保守，在期貨與選擇權的交易占比大幅減少。</w:t>
      </w:r>
    </w:p>
    <w:p w:rsidR="005F0980" w:rsidRDefault="005F0980" w:rsidP="00211A69">
      <w:pPr>
        <w:tabs>
          <w:tab w:val="left" w:pos="6360"/>
        </w:tabs>
        <w:rPr>
          <w:rFonts w:ascii="Times New Roman" w:eastAsia="標楷體" w:hAnsi="Times New Roman" w:cs="Times New Roman"/>
        </w:rPr>
      </w:pPr>
    </w:p>
    <w:p w:rsidR="009C2C68" w:rsidRPr="00DF1CFF" w:rsidRDefault="00211A69" w:rsidP="00211A69">
      <w:pPr>
        <w:tabs>
          <w:tab w:val="left" w:pos="6360"/>
        </w:tabs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</w:p>
    <w:p w:rsidR="00FF6026" w:rsidRDefault="00DF1CFF" w:rsidP="00E90A7F">
      <w:pPr>
        <w:spacing w:line="400" w:lineRule="exact"/>
        <w:ind w:left="708" w:hangingChars="253" w:hanging="708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E379C9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表</w:t>
      </w:r>
      <w:r w:rsidRPr="00E379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2:</w:t>
      </w:r>
      <w:r w:rsidRPr="00E379C9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我國期貨市場開戶數</w:t>
      </w:r>
      <w:r w:rsidR="00BF775C" w:rsidRPr="00E379C9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及交易量</w:t>
      </w:r>
      <w:r w:rsidRPr="00E379C9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之年齡與性別占比</w:t>
      </w:r>
    </w:p>
    <w:p w:rsidR="007B0E83" w:rsidRPr="00E379C9" w:rsidRDefault="00FF6026" w:rsidP="00FF6026">
      <w:pPr>
        <w:spacing w:line="400" w:lineRule="exact"/>
        <w:ind w:left="607" w:hangingChars="253" w:hanging="607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F6026">
        <w:rPr>
          <w:rFonts w:ascii="Times New Roman" w:eastAsia="標楷體" w:hAnsi="標楷體" w:cs="Times New Roman" w:hint="eastAsia"/>
          <w:szCs w:val="24"/>
        </w:rPr>
        <w:t>(</w:t>
      </w:r>
      <w:r w:rsidRPr="00FF6026">
        <w:rPr>
          <w:rFonts w:ascii="Times New Roman" w:eastAsia="標楷體" w:hAnsi="標楷體" w:cs="Times New Roman" w:hint="eastAsia"/>
          <w:szCs w:val="24"/>
        </w:rPr>
        <w:t>資料來源</w:t>
      </w:r>
      <w:r w:rsidRPr="00FF6026">
        <w:rPr>
          <w:rFonts w:ascii="Times New Roman" w:eastAsia="標楷體" w:hAnsi="標楷體" w:cs="Times New Roman" w:hint="eastAsia"/>
          <w:szCs w:val="24"/>
        </w:rPr>
        <w:t>:</w:t>
      </w:r>
      <w:r w:rsidRPr="00FF6026">
        <w:rPr>
          <w:rFonts w:ascii="Times New Roman" w:eastAsia="標楷體" w:hAnsi="標楷體" w:cs="Times New Roman" w:hint="eastAsia"/>
          <w:szCs w:val="24"/>
        </w:rPr>
        <w:t>期交所</w:t>
      </w:r>
      <w:r w:rsidRPr="00FF6026">
        <w:rPr>
          <w:rFonts w:ascii="Times New Roman" w:eastAsia="標楷體" w:hAnsi="標楷體" w:cs="Times New Roman" w:hint="eastAsia"/>
          <w:szCs w:val="24"/>
        </w:rPr>
        <w:t>)</w:t>
      </w:r>
    </w:p>
    <w:tbl>
      <w:tblPr>
        <w:tblW w:w="705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5"/>
        <w:gridCol w:w="1417"/>
        <w:gridCol w:w="1418"/>
        <w:gridCol w:w="1418"/>
        <w:gridCol w:w="1418"/>
      </w:tblGrid>
      <w:tr w:rsidR="00E379C9" w:rsidRPr="00E379C9" w:rsidTr="00BF775C">
        <w:trPr>
          <w:trHeight w:val="56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5C" w:rsidRPr="00E379C9" w:rsidRDefault="00BF775C" w:rsidP="00FD50C5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5C" w:rsidRPr="00E379C9" w:rsidRDefault="00BF775C" w:rsidP="00FD50C5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379C9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開戶數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5C" w:rsidRPr="00E379C9" w:rsidRDefault="00BF775C" w:rsidP="00BF775C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379C9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交易量</w:t>
            </w:r>
          </w:p>
        </w:tc>
      </w:tr>
      <w:tr w:rsidR="00E379C9" w:rsidRPr="00E379C9" w:rsidTr="00983A9A">
        <w:trPr>
          <w:trHeight w:val="56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5C" w:rsidRPr="00E379C9" w:rsidRDefault="00BF775C" w:rsidP="00BF775C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379C9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年齡層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5C" w:rsidRPr="00E379C9" w:rsidRDefault="00BF775C" w:rsidP="00BF775C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379C9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男性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5C" w:rsidRPr="00E379C9" w:rsidRDefault="00BF775C" w:rsidP="00BF775C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379C9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女性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5C" w:rsidRPr="00E379C9" w:rsidRDefault="00BF775C" w:rsidP="00BF775C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379C9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男性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5C" w:rsidRPr="00E379C9" w:rsidRDefault="00BF775C" w:rsidP="00BF775C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379C9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女性</w:t>
            </w:r>
          </w:p>
        </w:tc>
      </w:tr>
      <w:tr w:rsidR="000F64E7" w:rsidRPr="00E379C9" w:rsidTr="008B0497">
        <w:trPr>
          <w:trHeight w:val="561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379C9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379C9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20-29</w:t>
            </w:r>
            <w:r w:rsidRPr="00E379C9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14.76%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7.84%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6.49%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2.45%</w:t>
            </w:r>
          </w:p>
        </w:tc>
      </w:tr>
      <w:tr w:rsidR="000F64E7" w:rsidRPr="00E379C9" w:rsidTr="008B0497">
        <w:trPr>
          <w:trHeight w:val="561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379C9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379C9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30-39</w:t>
            </w:r>
            <w:r w:rsidRPr="00E379C9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20.27%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11.77%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21.66%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7.65%</w:t>
            </w:r>
          </w:p>
        </w:tc>
      </w:tr>
      <w:tr w:rsidR="000F64E7" w:rsidRPr="00E379C9" w:rsidTr="008B0497">
        <w:trPr>
          <w:trHeight w:val="561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379C9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379C9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40-49</w:t>
            </w:r>
            <w:r w:rsidRPr="00E379C9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13.97%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10.55%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23.30%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8.82%</w:t>
            </w:r>
          </w:p>
        </w:tc>
      </w:tr>
      <w:tr w:rsidR="000F64E7" w:rsidRPr="00E379C9" w:rsidTr="008B0497">
        <w:trPr>
          <w:trHeight w:val="561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379C9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379C9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50-59</w:t>
            </w:r>
            <w:r w:rsidRPr="00E379C9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7.74%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6.71%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14.02%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6.69%</w:t>
            </w:r>
          </w:p>
        </w:tc>
      </w:tr>
      <w:tr w:rsidR="000F64E7" w:rsidRPr="00E379C9" w:rsidTr="008B0497">
        <w:trPr>
          <w:trHeight w:val="561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379C9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379C9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60-69</w:t>
            </w:r>
            <w:r w:rsidRPr="00E379C9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3.63%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2.74%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5.52%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3.38%</w:t>
            </w:r>
          </w:p>
        </w:tc>
      </w:tr>
      <w:tr w:rsidR="000F64E7" w:rsidRPr="00E379C9" w:rsidTr="008B0497">
        <w:trPr>
          <w:trHeight w:val="561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379C9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379C9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合計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60.38%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E7" w:rsidRPr="00EC73CD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C73C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39.61%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71.00%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7" w:rsidRPr="000F64E7" w:rsidRDefault="000F64E7" w:rsidP="000F64E7">
            <w:pPr>
              <w:widowControl/>
              <w:spacing w:line="2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0F64E7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29.00%</w:t>
            </w:r>
          </w:p>
        </w:tc>
      </w:tr>
    </w:tbl>
    <w:p w:rsidR="00703C31" w:rsidRPr="00EE1205" w:rsidRDefault="00EE1205" w:rsidP="00EE1205">
      <w:pPr>
        <w:spacing w:line="280" w:lineRule="exact"/>
        <w:rPr>
          <w:rFonts w:ascii="Times New Roman" w:eastAsia="標楷體" w:hAnsi="標楷體" w:cs="Times New Roman"/>
          <w:szCs w:val="24"/>
        </w:rPr>
      </w:pPr>
      <w:r w:rsidRPr="00EE1205">
        <w:rPr>
          <w:rFonts w:ascii="Times New Roman" w:eastAsia="標楷體" w:hAnsi="標楷體" w:cs="Times New Roman" w:hint="eastAsia"/>
          <w:szCs w:val="24"/>
        </w:rPr>
        <w:t>註</w:t>
      </w:r>
      <w:r w:rsidRPr="00EE1205">
        <w:rPr>
          <w:rFonts w:ascii="Times New Roman" w:eastAsia="標楷體" w:hAnsi="標楷體" w:cs="Times New Roman" w:hint="eastAsia"/>
          <w:szCs w:val="24"/>
        </w:rPr>
        <w:t>:</w:t>
      </w:r>
      <w:r w:rsidRPr="00EE1205">
        <w:rPr>
          <w:rFonts w:ascii="Times New Roman" w:eastAsia="標楷體" w:hAnsi="標楷體" w:cs="Times New Roman" w:hint="eastAsia"/>
          <w:szCs w:val="24"/>
        </w:rPr>
        <w:t>資料統計期間為</w:t>
      </w:r>
      <w:r w:rsidRPr="00EE1205">
        <w:rPr>
          <w:rFonts w:ascii="Times New Roman" w:eastAsia="標楷體" w:hAnsi="標楷體" w:cs="Times New Roman" w:hint="eastAsia"/>
          <w:szCs w:val="24"/>
        </w:rPr>
        <w:t>1998</w:t>
      </w:r>
      <w:r w:rsidRPr="00EE1205">
        <w:rPr>
          <w:rFonts w:ascii="Times New Roman" w:eastAsia="標楷體" w:hAnsi="標楷體" w:cs="Times New Roman" w:hint="eastAsia"/>
          <w:szCs w:val="24"/>
        </w:rPr>
        <w:t>年</w:t>
      </w:r>
      <w:r w:rsidRPr="00EE1205">
        <w:rPr>
          <w:rFonts w:ascii="Times New Roman" w:eastAsia="標楷體" w:hAnsi="標楷體" w:cs="Times New Roman" w:hint="eastAsia"/>
          <w:szCs w:val="24"/>
        </w:rPr>
        <w:t>7</w:t>
      </w:r>
      <w:r w:rsidRPr="00EE1205">
        <w:rPr>
          <w:rFonts w:ascii="Times New Roman" w:eastAsia="標楷體" w:hAnsi="標楷體" w:cs="Times New Roman" w:hint="eastAsia"/>
          <w:szCs w:val="24"/>
        </w:rPr>
        <w:t>月至</w:t>
      </w:r>
      <w:r w:rsidRPr="00EE1205">
        <w:rPr>
          <w:rFonts w:ascii="Times New Roman" w:eastAsia="標楷體" w:hAnsi="標楷體" w:cs="Times New Roman" w:hint="eastAsia"/>
          <w:szCs w:val="24"/>
        </w:rPr>
        <w:t>2016</w:t>
      </w:r>
      <w:r w:rsidRPr="00EE1205">
        <w:rPr>
          <w:rFonts w:ascii="Times New Roman" w:eastAsia="標楷體" w:hAnsi="標楷體" w:cs="Times New Roman" w:hint="eastAsia"/>
          <w:szCs w:val="24"/>
        </w:rPr>
        <w:t>年</w:t>
      </w:r>
      <w:r w:rsidRPr="00EE1205">
        <w:rPr>
          <w:rFonts w:ascii="Times New Roman" w:eastAsia="標楷體" w:hAnsi="標楷體" w:cs="Times New Roman" w:hint="eastAsia"/>
          <w:szCs w:val="24"/>
        </w:rPr>
        <w:t>12</w:t>
      </w:r>
      <w:r w:rsidRPr="00EE1205">
        <w:rPr>
          <w:rFonts w:ascii="Times New Roman" w:eastAsia="標楷體" w:hAnsi="標楷體" w:cs="Times New Roman" w:hint="eastAsia"/>
          <w:szCs w:val="24"/>
        </w:rPr>
        <w:t>月</w:t>
      </w:r>
    </w:p>
    <w:p w:rsidR="00EE1205" w:rsidRDefault="00EE1205" w:rsidP="00BF775C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50A50" w:rsidRPr="00A7429B" w:rsidRDefault="00E2174F" w:rsidP="00BF775C">
      <w:pPr>
        <w:spacing w:line="50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A7429B">
        <w:rPr>
          <w:rFonts w:ascii="Times New Roman" w:eastAsia="標楷體" w:hAnsi="Times New Roman" w:cs="Times New Roman" w:hint="eastAsia"/>
          <w:sz w:val="28"/>
          <w:szCs w:val="28"/>
        </w:rPr>
        <w:t>、結論</w:t>
      </w:r>
    </w:p>
    <w:p w:rsidR="00A97460" w:rsidRPr="00752C6B" w:rsidRDefault="00752C6B" w:rsidP="00F06460">
      <w:pP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我國期貨市場</w:t>
      </w:r>
      <w:r w:rsidR="00F0646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因</w:t>
      </w:r>
      <w:r w:rsidR="00F06460">
        <w:rPr>
          <w:rFonts w:ascii="Times New Roman" w:eastAsia="標楷體" w:hAnsi="Times New Roman" w:cs="Times New Roman" w:hint="eastAsia"/>
          <w:sz w:val="28"/>
          <w:szCs w:val="28"/>
        </w:rPr>
        <w:t>商品</w:t>
      </w:r>
      <w:r w:rsidR="00F0646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具高財務槓桿</w:t>
      </w:r>
      <w:r w:rsidR="00A7429B">
        <w:rPr>
          <w:rFonts w:ascii="Times New Roman" w:eastAsia="標楷體" w:hAnsi="Times New Roman" w:cs="Times New Roman" w:hint="eastAsia"/>
          <w:sz w:val="28"/>
          <w:szCs w:val="28"/>
        </w:rPr>
        <w:t>特性</w:t>
      </w:r>
      <w:r w:rsidR="00F06460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F0646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而</w:t>
      </w:r>
      <w:r w:rsidR="00A7429B">
        <w:rPr>
          <w:rFonts w:ascii="Times New Roman" w:eastAsia="標楷體" w:hAnsi="Times New Roman" w:cs="Times New Roman" w:hint="eastAsia"/>
          <w:sz w:val="28"/>
          <w:szCs w:val="28"/>
        </w:rPr>
        <w:t>男</w:t>
      </w:r>
      <w:r w:rsidR="007945A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7429B">
        <w:rPr>
          <w:rFonts w:ascii="Times New Roman" w:eastAsia="標楷體" w:hAnsi="Times New Roman" w:cs="Times New Roman" w:hint="eastAsia"/>
          <w:sz w:val="28"/>
          <w:szCs w:val="28"/>
        </w:rPr>
        <w:t>女</w:t>
      </w:r>
      <w:r w:rsidR="00A169D0">
        <w:rPr>
          <w:rFonts w:ascii="Times New Roman" w:eastAsia="標楷體" w:hAnsi="Times New Roman" w:cs="Times New Roman" w:hint="eastAsia"/>
          <w:sz w:val="28"/>
          <w:szCs w:val="28"/>
        </w:rPr>
        <w:t>性</w:t>
      </w:r>
      <w:r w:rsidR="00F0646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在理財上之</w:t>
      </w:r>
      <w:r w:rsidR="00A7429B">
        <w:rPr>
          <w:rFonts w:ascii="Times New Roman" w:eastAsia="標楷體" w:hAnsi="Times New Roman" w:cs="Times New Roman" w:hint="eastAsia"/>
          <w:sz w:val="28"/>
          <w:szCs w:val="28"/>
        </w:rPr>
        <w:t>風險偏好程度</w:t>
      </w:r>
      <w:r w:rsidR="00F0646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明顯</w:t>
      </w:r>
      <w:r w:rsidR="00A7429B">
        <w:rPr>
          <w:rFonts w:ascii="Times New Roman" w:eastAsia="標楷體" w:hAnsi="Times New Roman" w:cs="Times New Roman" w:hint="eastAsia"/>
          <w:sz w:val="28"/>
          <w:szCs w:val="28"/>
        </w:rPr>
        <w:t>不同，</w:t>
      </w:r>
      <w:r w:rsidR="00F0646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致</w:t>
      </w:r>
      <w:r w:rsidR="00A7429B">
        <w:rPr>
          <w:rFonts w:ascii="Times New Roman" w:eastAsia="標楷體" w:hAnsi="Times New Roman" w:cs="Times New Roman" w:hint="eastAsia"/>
          <w:sz w:val="28"/>
          <w:szCs w:val="28"/>
        </w:rPr>
        <w:t>目前整體期貨市場之參與程度</w:t>
      </w:r>
      <w:r w:rsidR="00F06460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F0646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無論是</w:t>
      </w:r>
      <w:r w:rsidR="0087036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新</w:t>
      </w:r>
      <w:r w:rsidR="00F0646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開戶數及交易量占比</w:t>
      </w:r>
      <w:r>
        <w:rPr>
          <w:rFonts w:ascii="Times New Roman" w:eastAsia="標楷體" w:hAnsi="Times New Roman" w:cs="Times New Roman" w:hint="eastAsia"/>
          <w:sz w:val="28"/>
          <w:szCs w:val="28"/>
        </w:rPr>
        <w:t>仍以男性交易人較高</w:t>
      </w:r>
      <w:r w:rsidR="0087036D">
        <w:rPr>
          <w:rFonts w:ascii="新細明體" w:eastAsia="新細明體" w:hAnsi="新細明體" w:cs="Times New Roman" w:hint="eastAsia"/>
          <w:sz w:val="28"/>
          <w:szCs w:val="28"/>
        </w:rPr>
        <w:t>。</w:t>
      </w:r>
      <w:r>
        <w:rPr>
          <w:rFonts w:ascii="Times New Roman" w:eastAsia="標楷體" w:hAnsi="Times New Roman" w:cs="Times New Roman" w:hint="eastAsia"/>
          <w:sz w:val="28"/>
          <w:szCs w:val="28"/>
        </w:rPr>
        <w:t>惟觀察</w:t>
      </w:r>
      <w:r w:rsidR="003E4FB9">
        <w:rPr>
          <w:rFonts w:ascii="Times New Roman" w:eastAsia="標楷體" w:hAnsi="Times New Roman" w:cs="Times New Roman" w:hint="eastAsia"/>
          <w:sz w:val="28"/>
          <w:szCs w:val="28"/>
        </w:rPr>
        <w:t>期交所</w:t>
      </w:r>
      <w:r>
        <w:rPr>
          <w:rFonts w:ascii="Times New Roman" w:eastAsia="標楷體" w:hAnsi="Times New Roman" w:cs="Times New Roman" w:hint="eastAsia"/>
          <w:sz w:val="28"/>
          <w:szCs w:val="28"/>
        </w:rPr>
        <w:t>舉辦之期貨及選擇權</w:t>
      </w:r>
      <w:r w:rsidR="0087036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交易人</w:t>
      </w:r>
      <w:r>
        <w:rPr>
          <w:rFonts w:ascii="Times New Roman" w:eastAsia="標楷體" w:hAnsi="Times New Roman" w:cs="Times New Roman" w:hint="eastAsia"/>
          <w:sz w:val="28"/>
          <w:szCs w:val="28"/>
        </w:rPr>
        <w:t>課程，</w:t>
      </w:r>
      <w:r w:rsidR="0087036D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="00F050C4" w:rsidRPr="00F06460">
        <w:rPr>
          <w:rFonts w:ascii="Times New Roman" w:eastAsia="標楷體" w:hAnsi="Times New Roman" w:cs="Times New Roman" w:hint="eastAsia"/>
          <w:sz w:val="28"/>
          <w:szCs w:val="28"/>
        </w:rPr>
        <w:t>學員</w:t>
      </w:r>
      <w:r w:rsidR="0087036D" w:rsidRPr="00F06460">
        <w:rPr>
          <w:rFonts w:ascii="Times New Roman" w:eastAsia="標楷體" w:hAnsi="Times New Roman" w:cs="Times New Roman" w:hint="eastAsia"/>
          <w:sz w:val="28"/>
          <w:szCs w:val="28"/>
        </w:rPr>
        <w:t>男性與女性</w:t>
      </w:r>
      <w:r w:rsidR="00F050C4" w:rsidRPr="00F06460">
        <w:rPr>
          <w:rFonts w:ascii="Times New Roman" w:eastAsia="標楷體" w:hAnsi="Times New Roman" w:cs="Times New Roman" w:hint="eastAsia"/>
          <w:sz w:val="28"/>
          <w:szCs w:val="28"/>
        </w:rPr>
        <w:t>占比分別為</w:t>
      </w:r>
      <w:r w:rsidR="00F050C4" w:rsidRPr="00F06460">
        <w:rPr>
          <w:rFonts w:ascii="Times New Roman" w:eastAsia="標楷體" w:hAnsi="Times New Roman" w:cs="Times New Roman" w:hint="eastAsia"/>
          <w:sz w:val="28"/>
          <w:szCs w:val="28"/>
        </w:rPr>
        <w:t>55%</w:t>
      </w:r>
      <w:r w:rsidR="00F050C4" w:rsidRPr="00F0646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050C4" w:rsidRPr="00F06460">
        <w:rPr>
          <w:rFonts w:ascii="Times New Roman" w:eastAsia="標楷體" w:hAnsi="Times New Roman" w:cs="Times New Roman" w:hint="eastAsia"/>
          <w:sz w:val="28"/>
          <w:szCs w:val="28"/>
        </w:rPr>
        <w:t>45%</w:t>
      </w:r>
      <w:r w:rsidR="00F050C4" w:rsidRPr="00F0646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7036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顯示</w:t>
      </w:r>
      <w:r w:rsidR="00F050C4" w:rsidRPr="00F06460">
        <w:rPr>
          <w:rFonts w:ascii="Times New Roman" w:eastAsia="標楷體" w:hAnsi="Times New Roman" w:cs="Times New Roman" w:hint="eastAsia"/>
          <w:sz w:val="28"/>
          <w:szCs w:val="28"/>
        </w:rPr>
        <w:t>女性</w:t>
      </w:r>
      <w:r w:rsidR="0087036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仍有積極學習新商品之動機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E4FB9">
        <w:rPr>
          <w:rFonts w:ascii="Times New Roman" w:eastAsia="標楷體" w:hAnsi="Times New Roman" w:cs="Times New Roman" w:hint="eastAsia"/>
          <w:sz w:val="28"/>
          <w:szCs w:val="28"/>
        </w:rPr>
        <w:t>為吸引更多潛在市場參與者進入</w:t>
      </w:r>
      <w:r w:rsidR="00846C3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我國</w:t>
      </w:r>
      <w:r w:rsidR="00A97460" w:rsidRPr="00F06460">
        <w:rPr>
          <w:rFonts w:ascii="Times New Roman" w:eastAsia="標楷體" w:hAnsi="Times New Roman" w:cs="Times New Roman" w:hint="eastAsia"/>
          <w:sz w:val="28"/>
          <w:szCs w:val="28"/>
        </w:rPr>
        <w:t>期貨市場，</w:t>
      </w:r>
      <w:r w:rsidR="003E4FB9">
        <w:rPr>
          <w:rFonts w:ascii="Times New Roman" w:eastAsia="標楷體" w:hAnsi="Times New Roman" w:cs="Times New Roman" w:hint="eastAsia"/>
          <w:sz w:val="28"/>
          <w:szCs w:val="28"/>
        </w:rPr>
        <w:t>期交所亦持續</w:t>
      </w:r>
      <w:r w:rsidR="00846C3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辦</w:t>
      </w:r>
      <w:r w:rsidR="003E4FB9">
        <w:rPr>
          <w:rFonts w:ascii="Times New Roman" w:eastAsia="標楷體" w:hAnsi="Times New Roman" w:cs="Times New Roman" w:hint="eastAsia"/>
          <w:sz w:val="28"/>
          <w:szCs w:val="28"/>
        </w:rPr>
        <w:t>理</w:t>
      </w:r>
      <w:r w:rsidR="003E4FB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交易人課程</w:t>
      </w:r>
      <w:r w:rsidR="00846C36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，</w:t>
      </w:r>
      <w:r w:rsidR="003E4FB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自</w:t>
      </w:r>
      <w:r w:rsidR="003E4FB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3E4FB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010</w:t>
      </w:r>
      <w:r w:rsidR="003E4FB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年</w:t>
      </w:r>
      <w:r w:rsidR="003E4FB9">
        <w:rPr>
          <w:rFonts w:ascii="Times New Roman" w:eastAsia="標楷體" w:hAnsi="Times New Roman" w:cs="Times New Roman" w:hint="eastAsia"/>
          <w:sz w:val="28"/>
          <w:szCs w:val="28"/>
        </w:rPr>
        <w:t>開辦以來</w:t>
      </w:r>
      <w:r w:rsidR="003E4FB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已逾</w:t>
      </w:r>
      <w:r w:rsidR="003E4FB9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E4FB9">
        <w:rPr>
          <w:rFonts w:ascii="Times New Roman" w:eastAsia="標楷體" w:hAnsi="Times New Roman" w:cs="Times New Roman" w:hint="eastAsia"/>
          <w:sz w:val="28"/>
          <w:szCs w:val="28"/>
        </w:rPr>
        <w:t>年，</w:t>
      </w:r>
      <w:r w:rsidR="00846C3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一直獲得交易人熱烈回響</w:t>
      </w:r>
      <w:r w:rsidR="00846C36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，</w:t>
      </w:r>
      <w:r w:rsidR="00846C3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近</w:t>
      </w:r>
      <w:r w:rsidR="00846C3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</w:t>
      </w:r>
      <w:r w:rsidR="00846C3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年來進一步延伸至中南部辦理</w:t>
      </w:r>
      <w:r w:rsidR="003E4FB9">
        <w:rPr>
          <w:rFonts w:ascii="新細明體" w:eastAsia="新細明體" w:hAnsi="新細明體" w:cs="Times New Roman" w:hint="eastAsia"/>
          <w:sz w:val="28"/>
          <w:szCs w:val="28"/>
        </w:rPr>
        <w:t>。</w:t>
      </w:r>
      <w:r w:rsidR="003E4FB9" w:rsidRPr="003E4FB9">
        <w:rPr>
          <w:rFonts w:ascii="Times New Roman" w:eastAsia="標楷體" w:hAnsi="Times New Roman" w:cs="Times New Roman" w:hint="eastAsia"/>
          <w:sz w:val="28"/>
          <w:szCs w:val="28"/>
        </w:rPr>
        <w:t>本局</w:t>
      </w:r>
      <w:r w:rsidR="00846C36">
        <w:rPr>
          <w:rFonts w:ascii="Times New Roman" w:eastAsia="標楷體" w:hAnsi="Times New Roman" w:cs="Times New Roman" w:hint="eastAsia"/>
          <w:sz w:val="28"/>
          <w:szCs w:val="28"/>
        </w:rPr>
        <w:t>未</w:t>
      </w:r>
      <w:r w:rsidR="00846C3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來</w:t>
      </w:r>
      <w:r w:rsidR="00A97460" w:rsidRPr="00F06460">
        <w:rPr>
          <w:rFonts w:ascii="Times New Roman" w:eastAsia="標楷體" w:hAnsi="Times New Roman" w:cs="Times New Roman" w:hint="eastAsia"/>
          <w:sz w:val="28"/>
          <w:szCs w:val="28"/>
        </w:rPr>
        <w:t>仍將</w:t>
      </w:r>
      <w:r w:rsidR="003E4FB9">
        <w:rPr>
          <w:rFonts w:ascii="Times New Roman" w:eastAsia="標楷體" w:hAnsi="Times New Roman" w:cs="Times New Roman" w:hint="eastAsia"/>
          <w:sz w:val="28"/>
          <w:szCs w:val="28"/>
        </w:rPr>
        <w:t>督導期交所</w:t>
      </w:r>
      <w:r w:rsidR="00A97460" w:rsidRPr="00F06460">
        <w:rPr>
          <w:rFonts w:ascii="Times New Roman" w:eastAsia="標楷體" w:hAnsi="Times New Roman" w:cs="Times New Roman" w:hint="eastAsia"/>
          <w:sz w:val="28"/>
          <w:szCs w:val="28"/>
        </w:rPr>
        <w:t>積極對交易人辦理市場教育與宣導活動，以進一步吸引</w:t>
      </w:r>
      <w:r w:rsidR="00A7429B" w:rsidRPr="00F06460">
        <w:rPr>
          <w:rFonts w:ascii="Times New Roman" w:eastAsia="標楷體" w:hAnsi="Times New Roman" w:cs="Times New Roman" w:hint="eastAsia"/>
          <w:sz w:val="28"/>
          <w:szCs w:val="28"/>
        </w:rPr>
        <w:t>各類型</w:t>
      </w:r>
      <w:r w:rsidR="00A97460" w:rsidRPr="00F06460">
        <w:rPr>
          <w:rFonts w:ascii="Times New Roman" w:eastAsia="標楷體" w:hAnsi="Times New Roman" w:cs="Times New Roman" w:hint="eastAsia"/>
          <w:sz w:val="28"/>
          <w:szCs w:val="28"/>
        </w:rPr>
        <w:t>交易人進入市場交易。</w:t>
      </w:r>
    </w:p>
    <w:sectPr w:rsidR="00A97460" w:rsidRPr="00752C6B" w:rsidSect="00DF1CFF">
      <w:footerReference w:type="default" r:id="rId11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BB" w:rsidRDefault="00244BBB" w:rsidP="00422CE7">
      <w:r>
        <w:separator/>
      </w:r>
    </w:p>
  </w:endnote>
  <w:endnote w:type="continuationSeparator" w:id="0">
    <w:p w:rsidR="00244BBB" w:rsidRDefault="00244BBB" w:rsidP="0042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30057"/>
      <w:docPartObj>
        <w:docPartGallery w:val="Page Numbers (Bottom of Page)"/>
        <w:docPartUnique/>
      </w:docPartObj>
    </w:sdtPr>
    <w:sdtEndPr/>
    <w:sdtContent>
      <w:p w:rsidR="00F37AD5" w:rsidRDefault="00425D96">
        <w:pPr>
          <w:pStyle w:val="a7"/>
          <w:jc w:val="center"/>
        </w:pPr>
        <w:r>
          <w:fldChar w:fldCharType="begin"/>
        </w:r>
        <w:r w:rsidR="00F37AD5">
          <w:instrText xml:space="preserve"> PAGE   \* MERGEFORMAT </w:instrText>
        </w:r>
        <w:r>
          <w:fldChar w:fldCharType="separate"/>
        </w:r>
        <w:r w:rsidR="001E6BDB" w:rsidRPr="001E6BDB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F37AD5" w:rsidRDefault="00F37A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BB" w:rsidRDefault="00244BBB" w:rsidP="00422CE7">
      <w:r>
        <w:separator/>
      </w:r>
    </w:p>
  </w:footnote>
  <w:footnote w:type="continuationSeparator" w:id="0">
    <w:p w:rsidR="00244BBB" w:rsidRDefault="00244BBB" w:rsidP="0042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C3D"/>
    <w:multiLevelType w:val="hybridMultilevel"/>
    <w:tmpl w:val="9C2CE5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807E8C"/>
    <w:multiLevelType w:val="hybridMultilevel"/>
    <w:tmpl w:val="1BDAE684"/>
    <w:lvl w:ilvl="0" w:tplc="FDB48D62">
      <w:start w:val="1"/>
      <w:numFmt w:val="taiwaneseCountingThousand"/>
      <w:lvlText w:val="(%1)"/>
      <w:lvlJc w:val="left"/>
      <w:pPr>
        <w:ind w:left="465" w:hanging="46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64"/>
    <w:rsid w:val="0001708B"/>
    <w:rsid w:val="00031EBF"/>
    <w:rsid w:val="00041494"/>
    <w:rsid w:val="00044C84"/>
    <w:rsid w:val="000627DB"/>
    <w:rsid w:val="000629AB"/>
    <w:rsid w:val="00077EDB"/>
    <w:rsid w:val="000955AC"/>
    <w:rsid w:val="0009638E"/>
    <w:rsid w:val="000F64E7"/>
    <w:rsid w:val="00114CF7"/>
    <w:rsid w:val="00164A75"/>
    <w:rsid w:val="00177E78"/>
    <w:rsid w:val="00180FED"/>
    <w:rsid w:val="001A1DE5"/>
    <w:rsid w:val="001A645F"/>
    <w:rsid w:val="001B5128"/>
    <w:rsid w:val="001C11EF"/>
    <w:rsid w:val="001E6BDB"/>
    <w:rsid w:val="00201ECC"/>
    <w:rsid w:val="00211A69"/>
    <w:rsid w:val="00224892"/>
    <w:rsid w:val="00231FC2"/>
    <w:rsid w:val="0023226A"/>
    <w:rsid w:val="00244BBB"/>
    <w:rsid w:val="00245419"/>
    <w:rsid w:val="00250A10"/>
    <w:rsid w:val="00270FCD"/>
    <w:rsid w:val="002754D1"/>
    <w:rsid w:val="0028704E"/>
    <w:rsid w:val="00292634"/>
    <w:rsid w:val="002A39D4"/>
    <w:rsid w:val="002C72E5"/>
    <w:rsid w:val="002D77AA"/>
    <w:rsid w:val="002E0253"/>
    <w:rsid w:val="00317C04"/>
    <w:rsid w:val="00346B4F"/>
    <w:rsid w:val="00352F2E"/>
    <w:rsid w:val="00380E77"/>
    <w:rsid w:val="003847BB"/>
    <w:rsid w:val="00396A6D"/>
    <w:rsid w:val="003B1E63"/>
    <w:rsid w:val="003B3084"/>
    <w:rsid w:val="003D3616"/>
    <w:rsid w:val="003E0624"/>
    <w:rsid w:val="003E09C4"/>
    <w:rsid w:val="003E10E9"/>
    <w:rsid w:val="003E4FB9"/>
    <w:rsid w:val="003E6543"/>
    <w:rsid w:val="003E6FF1"/>
    <w:rsid w:val="00417CBA"/>
    <w:rsid w:val="00422CE7"/>
    <w:rsid w:val="00425D96"/>
    <w:rsid w:val="00430FA9"/>
    <w:rsid w:val="00446A19"/>
    <w:rsid w:val="00455BD3"/>
    <w:rsid w:val="00460E24"/>
    <w:rsid w:val="00463831"/>
    <w:rsid w:val="00496D9F"/>
    <w:rsid w:val="004A32EE"/>
    <w:rsid w:val="004B1BE7"/>
    <w:rsid w:val="004B6132"/>
    <w:rsid w:val="004C23AC"/>
    <w:rsid w:val="004D21A9"/>
    <w:rsid w:val="004E58C5"/>
    <w:rsid w:val="004E601D"/>
    <w:rsid w:val="004F58EC"/>
    <w:rsid w:val="0050210F"/>
    <w:rsid w:val="00504D65"/>
    <w:rsid w:val="00550A50"/>
    <w:rsid w:val="00575F64"/>
    <w:rsid w:val="005B2DD5"/>
    <w:rsid w:val="005B639F"/>
    <w:rsid w:val="005C2B16"/>
    <w:rsid w:val="005D1391"/>
    <w:rsid w:val="005D278E"/>
    <w:rsid w:val="005E3AD2"/>
    <w:rsid w:val="005F0980"/>
    <w:rsid w:val="0062362B"/>
    <w:rsid w:val="00630ED8"/>
    <w:rsid w:val="006577D5"/>
    <w:rsid w:val="0067099B"/>
    <w:rsid w:val="006A1A35"/>
    <w:rsid w:val="006E7A6B"/>
    <w:rsid w:val="006F74F9"/>
    <w:rsid w:val="00703C31"/>
    <w:rsid w:val="00707B71"/>
    <w:rsid w:val="00717F1B"/>
    <w:rsid w:val="007305D9"/>
    <w:rsid w:val="00732A97"/>
    <w:rsid w:val="0075155B"/>
    <w:rsid w:val="00752C6B"/>
    <w:rsid w:val="0077146D"/>
    <w:rsid w:val="00786298"/>
    <w:rsid w:val="0078687B"/>
    <w:rsid w:val="007945AC"/>
    <w:rsid w:val="007B0E83"/>
    <w:rsid w:val="007C604A"/>
    <w:rsid w:val="007D6968"/>
    <w:rsid w:val="007D6ED1"/>
    <w:rsid w:val="007D7ECE"/>
    <w:rsid w:val="007E5E3A"/>
    <w:rsid w:val="007F6A75"/>
    <w:rsid w:val="008265B8"/>
    <w:rsid w:val="00827492"/>
    <w:rsid w:val="00833EEA"/>
    <w:rsid w:val="00846C36"/>
    <w:rsid w:val="00854673"/>
    <w:rsid w:val="00860462"/>
    <w:rsid w:val="00862E64"/>
    <w:rsid w:val="0087036D"/>
    <w:rsid w:val="00893E20"/>
    <w:rsid w:val="0089651D"/>
    <w:rsid w:val="008A376F"/>
    <w:rsid w:val="008B1914"/>
    <w:rsid w:val="008B252F"/>
    <w:rsid w:val="008B589A"/>
    <w:rsid w:val="008D10EA"/>
    <w:rsid w:val="008D6BE9"/>
    <w:rsid w:val="008E26B4"/>
    <w:rsid w:val="008F413A"/>
    <w:rsid w:val="00911056"/>
    <w:rsid w:val="00926F0D"/>
    <w:rsid w:val="00932719"/>
    <w:rsid w:val="0093767D"/>
    <w:rsid w:val="009505E1"/>
    <w:rsid w:val="00972795"/>
    <w:rsid w:val="00975C9A"/>
    <w:rsid w:val="0099063A"/>
    <w:rsid w:val="009956FA"/>
    <w:rsid w:val="00997C32"/>
    <w:rsid w:val="009B0363"/>
    <w:rsid w:val="009B36C5"/>
    <w:rsid w:val="009C2C68"/>
    <w:rsid w:val="009C7FA6"/>
    <w:rsid w:val="009F1CB1"/>
    <w:rsid w:val="009F4A0B"/>
    <w:rsid w:val="00A070A0"/>
    <w:rsid w:val="00A169D0"/>
    <w:rsid w:val="00A21EFB"/>
    <w:rsid w:val="00A2731C"/>
    <w:rsid w:val="00A7073C"/>
    <w:rsid w:val="00A7429B"/>
    <w:rsid w:val="00A755A5"/>
    <w:rsid w:val="00A96049"/>
    <w:rsid w:val="00A97460"/>
    <w:rsid w:val="00AA0E8F"/>
    <w:rsid w:val="00AA14EF"/>
    <w:rsid w:val="00AB6DFD"/>
    <w:rsid w:val="00AC012A"/>
    <w:rsid w:val="00B03F75"/>
    <w:rsid w:val="00B434C6"/>
    <w:rsid w:val="00B47F09"/>
    <w:rsid w:val="00B8109E"/>
    <w:rsid w:val="00B94293"/>
    <w:rsid w:val="00BA59FD"/>
    <w:rsid w:val="00BA5B66"/>
    <w:rsid w:val="00BC12C0"/>
    <w:rsid w:val="00BC5999"/>
    <w:rsid w:val="00BE6FB2"/>
    <w:rsid w:val="00BF775C"/>
    <w:rsid w:val="00C00865"/>
    <w:rsid w:val="00C13782"/>
    <w:rsid w:val="00C23AF2"/>
    <w:rsid w:val="00C43B51"/>
    <w:rsid w:val="00C67BEC"/>
    <w:rsid w:val="00C76E03"/>
    <w:rsid w:val="00C944CB"/>
    <w:rsid w:val="00CA07EF"/>
    <w:rsid w:val="00CA3F41"/>
    <w:rsid w:val="00CE585A"/>
    <w:rsid w:val="00CE7660"/>
    <w:rsid w:val="00D21F9F"/>
    <w:rsid w:val="00D60960"/>
    <w:rsid w:val="00D73B44"/>
    <w:rsid w:val="00D808C8"/>
    <w:rsid w:val="00D903D1"/>
    <w:rsid w:val="00D92DF5"/>
    <w:rsid w:val="00D96DAF"/>
    <w:rsid w:val="00DA3C3C"/>
    <w:rsid w:val="00DC552C"/>
    <w:rsid w:val="00DF0BFC"/>
    <w:rsid w:val="00DF1CFF"/>
    <w:rsid w:val="00E01167"/>
    <w:rsid w:val="00E2174F"/>
    <w:rsid w:val="00E26DF3"/>
    <w:rsid w:val="00E379C9"/>
    <w:rsid w:val="00E61364"/>
    <w:rsid w:val="00E65E63"/>
    <w:rsid w:val="00E74AB9"/>
    <w:rsid w:val="00E90A7F"/>
    <w:rsid w:val="00E92F88"/>
    <w:rsid w:val="00EA0DDF"/>
    <w:rsid w:val="00EA64FA"/>
    <w:rsid w:val="00EC73CD"/>
    <w:rsid w:val="00ED150C"/>
    <w:rsid w:val="00EE1205"/>
    <w:rsid w:val="00F04ECF"/>
    <w:rsid w:val="00F050C4"/>
    <w:rsid w:val="00F06460"/>
    <w:rsid w:val="00F1650C"/>
    <w:rsid w:val="00F23254"/>
    <w:rsid w:val="00F26255"/>
    <w:rsid w:val="00F37AD5"/>
    <w:rsid w:val="00F5671C"/>
    <w:rsid w:val="00F56959"/>
    <w:rsid w:val="00F61923"/>
    <w:rsid w:val="00F73F22"/>
    <w:rsid w:val="00FA1643"/>
    <w:rsid w:val="00FD50C5"/>
    <w:rsid w:val="00FE162E"/>
    <w:rsid w:val="00FE488F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26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C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CE7"/>
    <w:rPr>
      <w:sz w:val="20"/>
      <w:szCs w:val="20"/>
    </w:rPr>
  </w:style>
  <w:style w:type="paragraph" w:styleId="a9">
    <w:name w:val="List Paragraph"/>
    <w:basedOn w:val="a"/>
    <w:uiPriority w:val="34"/>
    <w:qFormat/>
    <w:rsid w:val="00BA59F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26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C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CE7"/>
    <w:rPr>
      <w:sz w:val="20"/>
      <w:szCs w:val="20"/>
    </w:rPr>
  </w:style>
  <w:style w:type="paragraph" w:styleId="a9">
    <w:name w:val="List Paragraph"/>
    <w:basedOn w:val="a"/>
    <w:uiPriority w:val="34"/>
    <w:qFormat/>
    <w:rsid w:val="00BA59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F7F07-0FBD-48A2-B6E2-AF2F3CDF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交易部-溫士懿</dc:creator>
  <cp:lastModifiedBy>陳思潔csj8719</cp:lastModifiedBy>
  <cp:revision>12</cp:revision>
  <cp:lastPrinted>2017-01-11T06:37:00Z</cp:lastPrinted>
  <dcterms:created xsi:type="dcterms:W3CDTF">2017-01-10T03:36:00Z</dcterms:created>
  <dcterms:modified xsi:type="dcterms:W3CDTF">2017-03-27T08:38:00Z</dcterms:modified>
</cp:coreProperties>
</file>