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png" ContentType="image/png"/>
  <Default Extension="jpg" ContentType="image/jp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70.490997pt;margin-top:0pt;width:468.092pt;height:101.288996pt;mso-position-horizontal-relative:page;mso-position-vertical-relative:page;z-index:-231" coordorigin="1410,0" coordsize="9362,2026">
            <v:shape style="position:absolute;left:8278;top:0;width:2494;height:1494" type="#_x0000_t75">
              <v:imagedata r:id="rId9" o:title=""/>
            </v:shape>
            <v:group style="position:absolute;left:1417;top:1553;width:8220;height:465" coordorigin="1417,1553" coordsize="8220,465">
              <v:shape style="position:absolute;left:1417;top:1553;width:8220;height:465" coordorigin="1417,1553" coordsize="8220,465" path="m1417,2018l9638,2018,9638,1553,1417,1553,1417,2018e" filled="t" fillcolor="#CFD1D2" stroked="f">
                <v:path arrowok="t"/>
                <v:fill/>
              </v:shape>
            </v:group>
            <w10:wrap type="none"/>
          </v:group>
        </w:pict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7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365" w:lineRule="exact"/>
        <w:ind w:left="3144" w:right="4140"/>
        <w:jc w:val="center"/>
        <w:rPr>
          <w:rFonts w:ascii="Noto Sans CJK TC Medium" w:hAnsi="Noto Sans CJK TC Medium" w:cs="Noto Sans CJK TC Medium" w:eastAsia="Noto Sans CJK TC Medium"/>
          <w:sz w:val="32"/>
          <w:szCs w:val="32"/>
        </w:rPr>
      </w:pPr>
      <w:rPr/>
      <w:r>
        <w:rPr/>
        <w:pict>
          <v:shape style="position:absolute;margin-left:70.865997pt;margin-top:22.641344pt;width:411.023343pt;height:204.959pt;mso-position-horizontal-relative:page;mso-position-vertical-relative:paragraph;z-index:-230" type="#_x0000_t75">
            <v:imagedata r:id="rId10" o:title=""/>
          </v:shape>
        </w:pict>
      </w:r>
      <w:r>
        <w:rPr>
          <w:rFonts w:ascii="Noto Sans CJK TC Medium" w:hAnsi="Noto Sans CJK TC Medium" w:cs="Noto Sans CJK TC Medium" w:eastAsia="Noto Sans CJK TC Medium"/>
          <w:sz w:val="32"/>
          <w:szCs w:val="32"/>
          <w:color w:val="231F20"/>
          <w:spacing w:val="32"/>
          <w:position w:val="3"/>
        </w:rPr>
        <w:t>【司法常</w:t>
      </w:r>
      <w:r>
        <w:rPr>
          <w:rFonts w:ascii="Noto Sans CJK TC Medium" w:hAnsi="Noto Sans CJK TC Medium" w:cs="Noto Sans CJK TC Medium" w:eastAsia="Noto Sans CJK TC Medium"/>
          <w:sz w:val="32"/>
          <w:szCs w:val="32"/>
          <w:color w:val="231F20"/>
          <w:spacing w:val="0"/>
          <w:position w:val="3"/>
        </w:rPr>
        <w:t>識</w:t>
      </w:r>
      <w:r>
        <w:rPr>
          <w:rFonts w:ascii="Noto Sans CJK TC Medium" w:hAnsi="Noto Sans CJK TC Medium" w:cs="Noto Sans CJK TC Medium" w:eastAsia="Noto Sans CJK TC Medium"/>
          <w:sz w:val="32"/>
          <w:szCs w:val="32"/>
          <w:color w:val="231F20"/>
          <w:spacing w:val="-40"/>
          <w:position w:val="3"/>
        </w:rPr>
        <w:t> </w:t>
      </w:r>
      <w:r>
        <w:rPr>
          <w:rFonts w:ascii="Noto Sans CJK TC Medium" w:hAnsi="Noto Sans CJK TC Medium" w:cs="Noto Sans CJK TC Medium" w:eastAsia="Noto Sans CJK TC Medium"/>
          <w:sz w:val="32"/>
          <w:szCs w:val="32"/>
          <w:color w:val="231F20"/>
          <w:spacing w:val="0"/>
          <w:w w:val="100"/>
          <w:position w:val="3"/>
        </w:rPr>
        <w:t>】</w:t>
      </w:r>
      <w:r>
        <w:rPr>
          <w:rFonts w:ascii="Noto Sans CJK TC Medium" w:hAnsi="Noto Sans CJK TC Medium" w:cs="Noto Sans CJK TC Medium" w:eastAsia="Noto Sans CJK TC Medium"/>
          <w:sz w:val="32"/>
          <w:szCs w:val="32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483" w:lineRule="exact"/>
        <w:ind w:left="1873" w:right="2870"/>
        <w:jc w:val="center"/>
        <w:rPr>
          <w:rFonts w:ascii="思源宋體 TW Heavy" w:hAnsi="思源宋體 TW Heavy" w:cs="思源宋體 TW Heavy" w:eastAsia="思源宋體 TW Heavy"/>
          <w:sz w:val="46"/>
          <w:szCs w:val="46"/>
        </w:rPr>
      </w:pPr>
      <w:rPr/>
      <w:r>
        <w:rPr>
          <w:rFonts w:ascii="思源宋體 TW Heavy" w:hAnsi="思源宋體 TW Heavy" w:cs="思源宋體 TW Heavy" w:eastAsia="思源宋體 TW Heavy"/>
          <w:sz w:val="46"/>
          <w:szCs w:val="46"/>
          <w:color w:val="231F20"/>
          <w:spacing w:val="0"/>
          <w:w w:val="100"/>
          <w:b/>
          <w:bCs/>
          <w:position w:val="3"/>
        </w:rPr>
        <w:t>《國際廉政訊息摘要》</w:t>
      </w:r>
      <w:r>
        <w:rPr>
          <w:rFonts w:ascii="思源宋體 TW Heavy" w:hAnsi="思源宋體 TW Heavy" w:cs="思源宋體 TW Heavy" w:eastAsia="思源宋體 TW Heavy"/>
          <w:sz w:val="46"/>
          <w:szCs w:val="46"/>
          <w:color w:val="000000"/>
          <w:spacing w:val="0"/>
          <w:w w:val="100"/>
          <w:position w:val="0"/>
        </w:rPr>
      </w:r>
    </w:p>
    <w:p>
      <w:pPr>
        <w:spacing w:before="0" w:after="0" w:line="600" w:lineRule="exact"/>
        <w:ind w:left="723" w:right="1720"/>
        <w:jc w:val="center"/>
        <w:rPr>
          <w:rFonts w:ascii="思源宋體 TW Heavy" w:hAnsi="思源宋體 TW Heavy" w:cs="思源宋體 TW Heavy" w:eastAsia="思源宋體 TW Heavy"/>
          <w:sz w:val="46"/>
          <w:szCs w:val="46"/>
        </w:rPr>
      </w:pPr>
      <w:rPr/>
      <w:r>
        <w:rPr>
          <w:rFonts w:ascii="思源宋體 TW Heavy" w:hAnsi="思源宋體 TW Heavy" w:cs="思源宋體 TW Heavy" w:eastAsia="思源宋體 TW Heavy"/>
          <w:sz w:val="46"/>
          <w:szCs w:val="46"/>
          <w:color w:val="231F20"/>
          <w:spacing w:val="0"/>
          <w:w w:val="100"/>
          <w:b/>
          <w:bCs/>
          <w:position w:val="1"/>
        </w:rPr>
        <w:t>英國擴大企業應負之刑事責任範圍</w:t>
      </w:r>
      <w:r>
        <w:rPr>
          <w:rFonts w:ascii="思源宋體 TW Heavy" w:hAnsi="思源宋體 TW Heavy" w:cs="思源宋體 TW Heavy" w:eastAsia="思源宋體 TW Heavy"/>
          <w:sz w:val="46"/>
          <w:szCs w:val="46"/>
          <w:color w:val="000000"/>
          <w:spacing w:val="0"/>
          <w:w w:val="100"/>
          <w:position w:val="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7" w:lineRule="exact"/>
        <w:ind w:left="5818" w:right="-20"/>
        <w:jc w:val="left"/>
        <w:rPr>
          <w:rFonts w:ascii="思源黑體 Regular" w:hAnsi="思源黑體 Regular" w:cs="思源黑體 Regular" w:eastAsia="思源黑體 Regular"/>
          <w:sz w:val="28"/>
          <w:szCs w:val="28"/>
        </w:rPr>
      </w:pPr>
      <w:rPr/>
      <w:r>
        <w:rPr>
          <w:rFonts w:ascii="思源黑體 Regular" w:hAnsi="思源黑體 Regular" w:cs="思源黑體 Regular" w:eastAsia="思源黑體 Regular"/>
          <w:sz w:val="28"/>
          <w:szCs w:val="28"/>
          <w:color w:val="231F20"/>
          <w:spacing w:val="0"/>
          <w:w w:val="100"/>
          <w:position w:val="2"/>
        </w:rPr>
        <w:t>金管會證期局政風室</w:t>
      </w:r>
      <w:r>
        <w:rPr>
          <w:rFonts w:ascii="思源黑體 Regular" w:hAnsi="思源黑體 Regular" w:cs="思源黑體 Regular" w:eastAsia="思源黑體 Regular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8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599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，由英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11"/>
          <w:w w:val="100"/>
        </w:rPr>
        <w:t>、法國與瑞士最近共同成立新的檢察任務小組之後提出的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15" w:after="0" w:line="420" w:lineRule="exact"/>
        <w:ind w:left="117" w:right="1040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《2025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年英國犯罪與警政法案》（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5"/>
          <w:w w:val="100"/>
        </w:rPr>
        <w:t>U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K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Crime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"/>
          <w:w w:val="100"/>
        </w:rPr>
        <w:t>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nd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5"/>
          <w:w w:val="100"/>
        </w:rPr>
        <w:t>P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o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licing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Bill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2025）目前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正在英國國會審議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，此法案將近一步推動英國追究企業對其員工行為所應承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擔的刑事責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，外界普遍認為這是對美國暫停執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行《1977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7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6"/>
          <w:w w:val="100"/>
        </w:rPr>
        <w:t>年海外反貪腐法》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405" w:lineRule="exact"/>
        <w:ind w:left="117" w:right="4440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（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1"/>
          <w:w w:val="100"/>
          <w:position w:val="-1"/>
        </w:rPr>
        <w:t>F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o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  <w:position w:val="-1"/>
        </w:rPr>
        <w:t>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eign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Corr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"/>
          <w:w w:val="100"/>
          <w:position w:val="-1"/>
        </w:rPr>
        <w:t>u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  <w:position w:val="-1"/>
        </w:rPr>
        <w:t>p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t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  <w:position w:val="-1"/>
        </w:rPr>
        <w:t>P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  <w:position w:val="-1"/>
        </w:rPr>
        <w:t>r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actices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5"/>
          <w:w w:val="100"/>
          <w:position w:val="-1"/>
        </w:rPr>
        <w:t>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-1"/>
        </w:rPr>
        <w:t>ct）的回應。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4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599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現行英國對於追究企業刑事責任部分有三大依據：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18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17" w:right="4450"/>
        <w:jc w:val="both"/>
        <w:rPr>
          <w:rFonts w:ascii="思源黑體 Bold" w:hAnsi="思源黑體 Bold" w:cs="思源黑體 Bold" w:eastAsia="思源黑體 Bold"/>
          <w:sz w:val="24"/>
          <w:szCs w:val="24"/>
        </w:rPr>
      </w:pPr>
      <w:rPr/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一、「識別原則」(Identifi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3"/>
          <w:w w:val="100"/>
          <w:b/>
          <w:bCs/>
        </w:rPr>
        <w:t>c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5"/>
          <w:w w:val="100"/>
          <w:b/>
          <w:bCs/>
        </w:rPr>
        <w:t>a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tion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principle)</w:t>
      </w:r>
      <w:r>
        <w:rPr>
          <w:rFonts w:ascii="思源黑體 Bold" w:hAnsi="思源黑體 Bold" w:cs="思源黑體 Bold" w:eastAsia="思源黑體 Bold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420" w:lineRule="exact"/>
        <w:ind w:left="117" w:right="1043" w:firstLine="482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此為英國公司法的核心原則之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，主張由於公司是法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，而那些構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「公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司主導意志與決策中心」的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，在法律上就等同於公司本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身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。依此原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，如要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left"/>
        <w:spacing w:after="0"/>
        <w:sectPr>
          <w:pgNumType w:start="47"/>
          <w:pgMar w:header="678" w:footer="1038" w:top="960" w:bottom="1220" w:left="1300" w:right="0"/>
          <w:headerReference w:type="odd" r:id="rId5"/>
          <w:headerReference w:type="even" r:id="rId6"/>
          <w:footerReference w:type="odd" r:id="rId7"/>
          <w:footerReference w:type="even" r:id="rId8"/>
          <w:type w:val="continuous"/>
          <w:pgSz w:w="10780" w:h="1476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81" w:lineRule="exact"/>
        <w:ind w:left="1134" w:right="120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判定公司犯有刑事罪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，須證明該行為來自公司的主導意志與決策中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，通常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420" w:lineRule="exact"/>
        <w:ind w:left="1134" w:right="88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即代表董事或高階管理團隊成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。然而若發生在規模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大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、層級多的企業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，高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階管理層級較易藉由企業中的影響力來與企業中的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、下層級人員的不法行為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脫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鉤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，增加判斷主導意志與決策中心的困難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，亦為此原則遭受批評之一大原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因。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134" w:right="126"/>
        <w:jc w:val="both"/>
        <w:rPr>
          <w:rFonts w:ascii="思源黑體 Bold" w:hAnsi="思源黑體 Bold" w:cs="思源黑體 Bold" w:eastAsia="思源黑體 Bold"/>
          <w:sz w:val="24"/>
          <w:szCs w:val="24"/>
        </w:rPr>
      </w:pPr>
      <w:rPr/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二、「未能防止」類型之公司犯罪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6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(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10"/>
          <w:w w:val="100"/>
          <w:b/>
          <w:bCs/>
        </w:rPr>
        <w:t>F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ailu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3"/>
          <w:w w:val="100"/>
          <w:b/>
          <w:bCs/>
        </w:rPr>
        <w:t>r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e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5"/>
          <w:w w:val="100"/>
          <w:b/>
          <w:bCs/>
        </w:rPr>
        <w:t>t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o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p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3"/>
          <w:w w:val="100"/>
          <w:b/>
          <w:bCs/>
        </w:rPr>
        <w:t>r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1"/>
          <w:w w:val="100"/>
          <w:b/>
          <w:bCs/>
        </w:rPr>
        <w:t>e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2"/>
          <w:w w:val="100"/>
          <w:b/>
          <w:bCs/>
        </w:rPr>
        <w:t>v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ent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7"/>
          <w:w w:val="100"/>
          <w:b/>
          <w:bCs/>
        </w:rPr>
        <w:t>c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orpo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7"/>
          <w:w w:val="100"/>
          <w:b/>
          <w:bCs/>
        </w:rPr>
        <w:t>r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5"/>
          <w:w w:val="100"/>
          <w:b/>
          <w:bCs/>
        </w:rPr>
        <w:t>a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5"/>
          <w:w w:val="100"/>
          <w:b/>
          <w:bCs/>
        </w:rPr>
        <w:t>t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e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1"/>
          <w:w w:val="100"/>
          <w:b/>
          <w:bCs/>
        </w:rPr>
        <w:t>o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f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3"/>
          <w:w w:val="100"/>
          <w:b/>
          <w:bCs/>
        </w:rPr>
        <w:t>f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en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7"/>
          <w:w w:val="100"/>
          <w:b/>
          <w:bCs/>
        </w:rPr>
        <w:t>c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es)</w:t>
      </w:r>
      <w:r>
        <w:rPr>
          <w:rFonts w:ascii="思源黑體 Bold" w:hAnsi="思源黑體 Bold" w:cs="思源黑體 Bold" w:eastAsia="思源黑體 Bold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1616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0"/>
        </w:rPr>
        <w:t>企業未能防止與其有關聯的人員從事行賄行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</w:rPr>
        <w:t>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0"/>
        </w:rPr>
        <w:t>，即可被追究責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</w:rPr>
        <w:t>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0"/>
        </w:rPr>
        <w:t>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</w:rPr>
        <w:t>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2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</w:rPr>
      </w:r>
    </w:p>
    <w:p>
      <w:pPr>
        <w:spacing w:before="15" w:after="0" w:line="420" w:lineRule="exact"/>
        <w:ind w:left="1134" w:right="90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2010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年以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，英國陸續新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增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「未能防止」的公司犯罪類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7"/>
          <w:w w:val="100"/>
        </w:rPr>
        <w:t>，包括協助逃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稅，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以及最新的「未能防止詐欺」。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134" w:right="2350"/>
        <w:jc w:val="both"/>
        <w:rPr>
          <w:rFonts w:ascii="思源黑體 Bold" w:hAnsi="思源黑體 Bold" w:cs="思源黑體 Bold" w:eastAsia="思源黑體 Bold"/>
          <w:sz w:val="24"/>
          <w:szCs w:val="24"/>
        </w:rPr>
      </w:pPr>
      <w:rPr/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三、「高階經理人制度」(Senior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mana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5"/>
          <w:w w:val="100"/>
          <w:b/>
          <w:bCs/>
        </w:rPr>
        <w:t>g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er’s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3"/>
          <w:w w:val="100"/>
          <w:b/>
          <w:bCs/>
        </w:rPr>
        <w:t>r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-3"/>
          <w:w w:val="100"/>
          <w:b/>
          <w:bCs/>
        </w:rPr>
        <w:t>e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gime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)</w:t>
      </w:r>
      <w:r>
        <w:rPr>
          <w:rFonts w:ascii="思源黑體 Bold" w:hAnsi="思源黑體 Bold" w:cs="思源黑體 Bold" w:eastAsia="思源黑體 Bold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420" w:lineRule="exact"/>
        <w:ind w:left="1134" w:right="30" w:firstLine="482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「高階經理人制度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5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擴大對公司組織的刑事責任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5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舉例而言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5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若企業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5"/>
          <w:w w:val="100"/>
        </w:rPr>
        <w:t>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「高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階經理人」在其實際或表面授權範圍內從事某些類型的財務犯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（如詐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、洗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錢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51"/>
          <w:w w:val="100"/>
        </w:rPr>
        <w:t>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賄賂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51"/>
          <w:w w:val="100"/>
        </w:rPr>
        <w:t>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作假帳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51"/>
          <w:w w:val="100"/>
        </w:rPr>
        <w:t>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逃稅等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51"/>
          <w:w w:val="100"/>
        </w:rPr>
        <w:t>），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則企業本身需承擔刑事責任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51"/>
          <w:w w:val="100"/>
        </w:rPr>
        <w:t>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51"/>
          <w:w w:val="100"/>
        </w:rPr>
        <w:t>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「高階經理人」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的定義非常寬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，但重點在於該人及職位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「實質影響力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，可以從以下兩個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標準來判斷：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17" w:lineRule="auto"/>
        <w:ind w:left="1474" w:right="30"/>
        <w:jc w:val="left"/>
        <w:tabs>
          <w:tab w:pos="2200" w:val="left"/>
        </w:tabs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(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一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)</w:t>
        <w:tab/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指揮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9"/>
          <w:w w:val="100"/>
        </w:rPr>
        <w:t>者：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決定公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9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「全部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9"/>
          <w:w w:val="100"/>
        </w:rPr>
        <w:t>」或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「相當部分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39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業務應如何被管理或執行。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(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)</w:t>
        <w:tab/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執行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者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實際進行管理或組織公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司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「全部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「相當部分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9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業務者。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1134" w:right="3611"/>
        <w:jc w:val="both"/>
        <w:rPr>
          <w:rFonts w:ascii="思源黑體 Bold" w:hAnsi="思源黑體 Bold" w:cs="思源黑體 Bold" w:eastAsia="思源黑體 Bold"/>
          <w:sz w:val="24"/>
          <w:szCs w:val="24"/>
        </w:rPr>
      </w:pPr>
      <w:rPr/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《2025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 </w:t>
      </w:r>
      <w:r>
        <w:rPr>
          <w:rFonts w:ascii="思源黑體 Bold" w:hAnsi="思源黑體 Bold" w:cs="思源黑體 Bold" w:eastAsia="思源黑體 Bold"/>
          <w:sz w:val="24"/>
          <w:szCs w:val="24"/>
          <w:color w:val="231F20"/>
          <w:spacing w:val="0"/>
          <w:w w:val="100"/>
          <w:b/>
          <w:bCs/>
        </w:rPr>
        <w:t>年英國犯罪與警政法案》重點及影響</w:t>
      </w:r>
      <w:r>
        <w:rPr>
          <w:rFonts w:ascii="思源黑體 Bold" w:hAnsi="思源黑體 Bold" w:cs="思源黑體 Bold" w:eastAsia="思源黑體 Bold"/>
          <w:sz w:val="24"/>
          <w:szCs w:val="24"/>
          <w:color w:val="000000"/>
          <w:spacing w:val="0"/>
          <w:w w:val="100"/>
        </w:rPr>
      </w:r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420" w:lineRule="exact"/>
        <w:ind w:left="1614" w:right="80" w:firstLine="-480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一、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該法案擴大了上述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「高階經理人制度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，責任範圍涵蓋所有刑事犯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罪，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而非僅限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「經濟犯罪與公司透明法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」(ECC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</w:rPr>
        <w:t>T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8"/>
          <w:w w:val="100"/>
        </w:rPr>
        <w:t>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)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所列的經濟犯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，若通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9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過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，該法案將大幅擴張企業的刑事責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，實質上使企業需為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其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「高階」員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工的行為負間接法律責任。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jc w:val="both"/>
        <w:spacing w:after="0"/>
        <w:sectPr>
          <w:pgMar w:header="678" w:footer="1038" w:top="1120" w:bottom="1220" w:left="0" w:right="1240"/>
          <w:pgSz w:w="10780" w:h="1476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shape style="position:absolute;margin-left:413.886993pt;margin-top:0pt;width:124.696pt;height:74.715942pt;mso-position-horizontal-relative:page;mso-position-vertical-relative:page;z-index:-229" type="#_x0000_t75">
            <v:imagedata r:id="rId11" o:title=""/>
          </v:shape>
        </w:pict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81" w:lineRule="exact"/>
        <w:ind w:left="117" w:right="-20"/>
        <w:jc w:val="left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二、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除了上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0"/>
          <w:w w:val="100"/>
          <w:position w:val="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ECC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17"/>
          <w:w w:val="100"/>
          <w:position w:val="1"/>
        </w:rPr>
        <w:t>T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A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3"/>
          <w:w w:val="100"/>
          <w:position w:val="1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有關高階經理人之定義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外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，附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  <w:position w:val="1"/>
        </w:rPr>
        <w:t>於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  <w:position w:val="1"/>
        </w:rPr>
        <w:t>《犯罪與警政法案》草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5" w:after="0" w:line="420" w:lineRule="exact"/>
        <w:ind w:left="597" w:right="987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案的說明文件指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出，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「高階管理人員」不僅限於具有執行職務或擔任董事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會成員的人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4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4"/>
          <w:w w:val="100"/>
        </w:rPr>
        <w:t>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「無論職稱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4"/>
          <w:w w:val="100"/>
        </w:rPr>
        <w:t>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薪資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4"/>
          <w:w w:val="100"/>
        </w:rPr>
        <w:t>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資格或僱傭狀態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24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只要符合該定義」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者皆適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。儘管目前尚不明確企業是否會因高階經理人所犯的其他刑法上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0"/>
          <w:w w:val="100"/>
        </w:rPr>
        <w:t>罪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（如傷害罪等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0"/>
          <w:w w:val="100"/>
        </w:rPr>
        <w:t>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而承擔責任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-40"/>
          <w:w w:val="100"/>
        </w:rPr>
        <w:t>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但仍可能會提高企業所承擔的法律風險，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例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如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，若某高階經理人於其職權範圍內違反環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境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、健康安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全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、資料保護法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等相關法規，即可能使企業面臨刑事責任。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0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420" w:lineRule="exact"/>
        <w:ind w:left="597" w:right="1043" w:firstLine="-480"/>
        <w:jc w:val="both"/>
        <w:rPr>
          <w:rFonts w:ascii="思源宋體" w:hAnsi="思源宋體" w:cs="思源宋體" w:eastAsia="思源宋體"/>
          <w:sz w:val="24"/>
          <w:szCs w:val="24"/>
        </w:rPr>
      </w:pPr>
      <w:rPr/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三、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雖然實務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上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，這類問題可能不會真正出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現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，因為許多企業不願冒著被起訴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的風險與政府對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抗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，往往會選擇認罪並支付罰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金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，或尋求緩起訴處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，但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2"/>
          <w:w w:val="100"/>
        </w:rPr>
        <w:t> </w:t>
      </w:r>
      <w:r>
        <w:rPr>
          <w:rFonts w:ascii="思源宋體" w:hAnsi="思源宋體" w:cs="思源宋體" w:eastAsia="思源宋體"/>
          <w:sz w:val="24"/>
          <w:szCs w:val="24"/>
          <w:color w:val="231F20"/>
          <w:spacing w:val="0"/>
          <w:w w:val="100"/>
        </w:rPr>
        <w:t>若該法案最終通過，將為企業建立有效的誠信制度帶來更大挑戰。</w:t>
      </w:r>
      <w:r>
        <w:rPr>
          <w:rFonts w:ascii="思源宋體" w:hAnsi="思源宋體" w:cs="思源宋體" w:eastAsia="思源宋體"/>
          <w:sz w:val="24"/>
          <w:szCs w:val="24"/>
          <w:color w:val="000000"/>
          <w:spacing w:val="0"/>
          <w:w w:val="100"/>
        </w:rPr>
      </w:r>
    </w:p>
    <w:p>
      <w:pPr>
        <w:spacing w:before="11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300" w:lineRule="exact"/>
        <w:ind w:left="117" w:right="1053"/>
        <w:jc w:val="left"/>
        <w:rPr>
          <w:rFonts w:ascii="思源宋體" w:hAnsi="思源宋體" w:cs="思源宋體" w:eastAsia="思源宋體"/>
          <w:sz w:val="20"/>
          <w:szCs w:val="20"/>
        </w:rPr>
      </w:pPr>
      <w:rPr/>
      <w:r>
        <w:rPr>
          <w:rFonts w:ascii="思源宋體" w:hAnsi="思源宋體" w:cs="思源宋體" w:eastAsia="思源宋體"/>
          <w:sz w:val="20"/>
          <w:szCs w:val="20"/>
          <w:color w:val="231F20"/>
          <w:spacing w:val="6"/>
          <w:w w:val="100"/>
        </w:rPr>
        <w:t>資料來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源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6"/>
          <w:w w:val="100"/>
        </w:rPr>
        <w:t>：法務部廉政署全球資訊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網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/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6"/>
          <w:w w:val="100"/>
        </w:rPr>
        <w:t>廉政活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動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/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6"/>
          <w:w w:val="100"/>
        </w:rPr>
        <w:t>國際重要廉政訊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息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/114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6"/>
          <w:w w:val="100"/>
        </w:rPr>
        <w:t>年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第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2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 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6"/>
          <w:w w:val="100"/>
        </w:rPr>
        <w:t>季國際重要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6"/>
          <w:w w:val="100"/>
        </w:rPr>
        <w:t> </w:t>
      </w:r>
      <w:r>
        <w:rPr>
          <w:rFonts w:ascii="思源宋體" w:hAnsi="思源宋體" w:cs="思源宋體" w:eastAsia="思源宋體"/>
          <w:sz w:val="20"/>
          <w:szCs w:val="20"/>
          <w:color w:val="231F20"/>
          <w:spacing w:val="0"/>
          <w:w w:val="100"/>
        </w:rPr>
        <w:t>廉政訊息</w:t>
      </w:r>
      <w:r>
        <w:rPr>
          <w:rFonts w:ascii="思源宋體" w:hAnsi="思源宋體" w:cs="思源宋體" w:eastAsia="思源宋體"/>
          <w:sz w:val="20"/>
          <w:szCs w:val="20"/>
          <w:color w:val="000000"/>
          <w:spacing w:val="0"/>
          <w:w w:val="100"/>
        </w:rPr>
      </w:r>
    </w:p>
    <w:p>
      <w:pPr>
        <w:spacing w:before="6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40" w:lineRule="auto"/>
        <w:ind w:left="769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341.657589pt;height:94.815pt;mso-position-horizontal-relative:char;mso-position-vertical-relative:line" type="#_x0000_t75">
            <v:imagedata r:id="rId12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769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332.645438pt;height:187.1625pt;mso-position-horizontal-relative:char;mso-position-vertical-relative:line" type="#_x0000_t75">
            <v:imagedata r:id="rId13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jc w:val="left"/>
        <w:spacing w:after="0"/>
        <w:sectPr>
          <w:pgMar w:header="678" w:footer="1038" w:top="960" w:bottom="1220" w:left="1300" w:right="0"/>
          <w:pgSz w:w="10780" w:h="14760"/>
        </w:sectPr>
      </w:pPr>
      <w:rPr/>
    </w:p>
    <w:p>
      <w:pPr>
        <w:spacing w:before="0" w:after="0" w:line="187" w:lineRule="exact"/>
        <w:ind w:left="2133" w:right="-20"/>
        <w:jc w:val="left"/>
        <w:rPr>
          <w:rFonts w:ascii="Noto Serif TC" w:hAnsi="Noto Serif TC" w:cs="Noto Serif TC" w:eastAsia="Noto Serif TC"/>
          <w:sz w:val="11"/>
          <w:szCs w:val="11"/>
        </w:rPr>
      </w:pPr>
      <w:rPr/>
      <w:r>
        <w:rPr/>
        <w:pict>
          <v:group style="position:absolute;margin-left:117.638pt;margin-top:81.207993pt;width:285.142258pt;height:562.256696pt;mso-position-horizontal-relative:page;mso-position-vertical-relative:page;z-index:-228" coordorigin="2353,1624" coordsize="5703,11245">
            <v:shape style="position:absolute;left:2353;top:4839;width:5703;height:8030" type="#_x0000_t75">
              <v:imagedata r:id="rId14" o:title=""/>
            </v:shape>
            <v:shape style="position:absolute;left:2695;top:1624;width:4906;height:3366" type="#_x0000_t75">
              <v:imagedata r:id="rId15" o:title=""/>
            </v:shape>
            <v:group style="position:absolute;left:3294;top:3143;width:3697;height:162" coordorigin="3294,3143" coordsize="3697,162">
              <v:shape style="position:absolute;left:3294;top:3143;width:3697;height:162" coordorigin="3294,3143" coordsize="3697,162" path="m3294,3305l6991,3305,6991,3143,3294,3143,3294,3305e" filled="t" fillcolor="#FFFFFF" stroked="f">
                <v:path arrowok="t"/>
                <v:fill/>
              </v:shape>
            </v:group>
            <v:group style="position:absolute;left:3092;top:3305;width:3977;height:113" coordorigin="3092,3305" coordsize="3977,113">
              <v:shape style="position:absolute;left:3092;top:3305;width:3977;height:113" coordorigin="3092,3305" coordsize="3977,113" path="m3092,3418l7070,3418,7070,3305,3092,3305,3092,3418e" filled="t" fillcolor="#FFFFFF" stroked="f">
                <v:path arrowok="t"/>
                <v:fill/>
              </v:shape>
            </v:group>
            <v:group style="position:absolute;left:3092;top:3670;width:3977;height:114" coordorigin="3092,3670" coordsize="3977,114">
              <v:shape style="position:absolute;left:3092;top:3670;width:3977;height:114" coordorigin="3092,3670" coordsize="3977,114" path="m3092,3784l7070,3784,7070,3670,3092,3670,3092,3784e" filled="t" fillcolor="#FFFFFF" stroked="f">
                <v:path arrowok="t"/>
                <v:fill/>
              </v:shape>
            </v:group>
            <v:group style="position:absolute;left:3070;top:4334;width:4122;height:161" coordorigin="3070,4334" coordsize="4122,161">
              <v:shape style="position:absolute;left:3070;top:4334;width:4122;height:161" coordorigin="3070,4334" coordsize="4122,161" path="m3070,4494l7191,4494,7191,4334,3070,4334,3070,4494e" filled="t" fillcolor="#FFFFFF" stroked="f">
                <v:path arrowok="t"/>
                <v:fill/>
              </v:shape>
            </v:group>
            <v:group style="position:absolute;left:3070;top:4494;width:4122;height:162" coordorigin="3070,4494" coordsize="4122,162">
              <v:shape style="position:absolute;left:3070;top:4494;width:4122;height:162" coordorigin="3070,4494" coordsize="4122,162" path="m3070,4656l7191,4656,7191,4494,3070,4494,3070,4656e" filled="t" fillcolor="#FFFFFF" stroked="f">
                <v:path arrowok="t"/>
                <v:fill/>
              </v:shape>
            </v:group>
            <w10:wrap type="none"/>
          </v:group>
        </w:pict>
      </w:r>
      <w:r>
        <w:rPr>
          <w:rFonts w:ascii="Noto Serif TC" w:hAnsi="Noto Serif TC" w:cs="Noto Serif TC" w:eastAsia="Noto Serif TC"/>
          <w:sz w:val="11"/>
          <w:szCs w:val="11"/>
          <w:color w:val="231F20"/>
          <w:spacing w:val="0"/>
          <w:w w:val="100"/>
          <w:position w:val="-1"/>
        </w:rPr>
        <w:t>證券暨期貨月刊</w:t>
      </w:r>
      <w:r>
        <w:rPr>
          <w:rFonts w:ascii="Noto Serif TC" w:hAnsi="Noto Serif TC" w:cs="Noto Serif TC" w:eastAsia="Noto Serif TC"/>
          <w:sz w:val="11"/>
          <w:szCs w:val="11"/>
          <w:color w:val="231F20"/>
          <w:spacing w:val="0"/>
          <w:w w:val="100"/>
          <w:position w:val="-1"/>
        </w:rPr>
        <w:t>      </w:t>
      </w:r>
      <w:r>
        <w:rPr>
          <w:rFonts w:ascii="Noto Serif TC" w:hAnsi="Noto Serif TC" w:cs="Noto Serif TC" w:eastAsia="Noto Serif TC"/>
          <w:sz w:val="11"/>
          <w:szCs w:val="11"/>
          <w:color w:val="231F20"/>
          <w:spacing w:val="6"/>
          <w:w w:val="100"/>
          <w:position w:val="-1"/>
        </w:rPr>
        <w:t> </w:t>
      </w:r>
      <w:r>
        <w:rPr>
          <w:rFonts w:ascii="Noto Serif TC" w:hAnsi="Noto Serif TC" w:cs="Noto Serif TC" w:eastAsia="Noto Serif TC"/>
          <w:sz w:val="11"/>
          <w:szCs w:val="11"/>
          <w:color w:val="231F20"/>
          <w:spacing w:val="0"/>
          <w:w w:val="104"/>
          <w:position w:val="-1"/>
        </w:rPr>
        <w:t>第四十二卷第十二期</w:t>
      </w:r>
      <w:r>
        <w:rPr>
          <w:rFonts w:ascii="Noto Serif TC" w:hAnsi="Noto Serif TC" w:cs="Noto Serif TC" w:eastAsia="Noto Serif TC"/>
          <w:sz w:val="11"/>
          <w:szCs w:val="11"/>
          <w:color w:val="000000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324" w:lineRule="exact"/>
        <w:ind w:left="3695" w:right="-20"/>
        <w:jc w:val="left"/>
        <w:rPr>
          <w:rFonts w:ascii="Microsoft JhengHei UI" w:hAnsi="Microsoft JhengHei UI" w:cs="Microsoft JhengHei UI" w:eastAsia="Microsoft JhengHei UI"/>
          <w:sz w:val="25"/>
          <w:szCs w:val="25"/>
        </w:rPr>
      </w:pPr>
      <w:rPr/>
      <w:r>
        <w:rPr>
          <w:rFonts w:ascii="Microsoft JhengHei UI" w:hAnsi="Microsoft JhengHei UI" w:cs="Microsoft JhengHei UI" w:eastAsia="Microsoft JhengHei UI"/>
          <w:sz w:val="25"/>
          <w:szCs w:val="25"/>
          <w:color w:val="D94D41"/>
          <w:spacing w:val="12"/>
          <w:w w:val="100"/>
          <w:b/>
          <w:bCs/>
        </w:rPr>
        <w:t>全民來防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94D41"/>
          <w:spacing w:val="0"/>
          <w:w w:val="100"/>
          <w:b/>
          <w:bCs/>
        </w:rPr>
        <w:t>詐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94D41"/>
          <w:spacing w:val="0"/>
          <w:w w:val="100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94D41"/>
          <w:spacing w:val="38"/>
          <w:w w:val="100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94D41"/>
          <w:spacing w:val="11"/>
          <w:w w:val="100"/>
          <w:b/>
          <w:bCs/>
        </w:rPr>
        <w:t>投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94D41"/>
          <w:spacing w:val="12"/>
          <w:w w:val="100"/>
          <w:b/>
          <w:bCs/>
        </w:rPr>
        <w:t>資停看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D94D41"/>
          <w:spacing w:val="0"/>
          <w:w w:val="100"/>
          <w:b/>
          <w:bCs/>
        </w:rPr>
        <w:t>聽</w:t>
      </w:r>
      <w:r>
        <w:rPr>
          <w:rFonts w:ascii="Microsoft JhengHei UI" w:hAnsi="Microsoft JhengHei UI" w:cs="Microsoft JhengHei UI" w:eastAsia="Microsoft JhengHei UI"/>
          <w:sz w:val="25"/>
          <w:szCs w:val="25"/>
          <w:color w:val="000000"/>
          <w:spacing w:val="0"/>
          <w:w w:val="100"/>
        </w:rPr>
      </w:r>
    </w:p>
    <w:p>
      <w:pPr>
        <w:spacing w:before="60" w:after="0" w:line="240" w:lineRule="auto"/>
        <w:ind w:left="3681" w:right="3415"/>
        <w:jc w:val="center"/>
        <w:rPr>
          <w:rFonts w:ascii="Microsoft JhengHei UI" w:hAnsi="Microsoft JhengHei UI" w:cs="Microsoft JhengHei UI" w:eastAsia="Microsoft JhengHei UI"/>
          <w:sz w:val="11"/>
          <w:szCs w:val="11"/>
        </w:rPr>
      </w:pPr>
      <w:rPr/>
      <w:r>
        <w:rPr>
          <w:rFonts w:ascii="Microsoft JhengHei UI" w:hAnsi="Microsoft JhengHei UI" w:cs="Microsoft JhengHei UI" w:eastAsia="Microsoft JhengHei UI"/>
          <w:sz w:val="11"/>
          <w:szCs w:val="11"/>
          <w:color w:val="231F20"/>
          <w:w w:val="106"/>
          <w:b/>
          <w:bCs/>
        </w:rPr>
        <w:t>請利用</w:t>
      </w:r>
      <w:r>
        <w:rPr>
          <w:rFonts w:ascii="Microsoft JhengHei UI" w:hAnsi="Microsoft JhengHei UI" w:cs="Microsoft JhengHei UI" w:eastAsia="Microsoft JhengHei UI"/>
          <w:sz w:val="11"/>
          <w:szCs w:val="11"/>
          <w:color w:val="231F20"/>
          <w:spacing w:val="-1"/>
          <w:w w:val="106"/>
          <w:b/>
          <w:bCs/>
        </w:rPr>
        <w:t>如</w:t>
      </w:r>
      <w:r>
        <w:rPr>
          <w:rFonts w:ascii="Microsoft JhengHei UI" w:hAnsi="Microsoft JhengHei UI" w:cs="Microsoft JhengHei UI" w:eastAsia="Microsoft JhengHei UI"/>
          <w:sz w:val="11"/>
          <w:szCs w:val="11"/>
          <w:color w:val="231F20"/>
          <w:spacing w:val="0"/>
          <w:w w:val="106"/>
          <w:b/>
          <w:bCs/>
        </w:rPr>
        <w:t>下</w:t>
      </w:r>
      <w:r>
        <w:rPr>
          <w:rFonts w:ascii="Microsoft JhengHei UI" w:hAnsi="Microsoft JhengHei UI" w:cs="Microsoft JhengHei UI" w:eastAsia="Microsoft JhengHei UI"/>
          <w:sz w:val="11"/>
          <w:szCs w:val="11"/>
          <w:color w:val="231F20"/>
          <w:spacing w:val="-1"/>
          <w:w w:val="106"/>
          <w:b/>
          <w:bCs/>
        </w:rPr>
        <w:t>工</w:t>
      </w:r>
      <w:r>
        <w:rPr>
          <w:rFonts w:ascii="Microsoft JhengHei UI" w:hAnsi="Microsoft JhengHei UI" w:cs="Microsoft JhengHei UI" w:eastAsia="Microsoft JhengHei UI"/>
          <w:sz w:val="11"/>
          <w:szCs w:val="11"/>
          <w:color w:val="231F20"/>
          <w:spacing w:val="0"/>
          <w:w w:val="106"/>
          <w:b/>
          <w:bCs/>
        </w:rPr>
        <w:t>具查詢</w:t>
      </w:r>
      <w:r>
        <w:rPr>
          <w:rFonts w:ascii="Microsoft JhengHei UI" w:hAnsi="Microsoft JhengHei UI" w:cs="Microsoft JhengHei UI" w:eastAsia="Microsoft JhengHei UI"/>
          <w:sz w:val="11"/>
          <w:szCs w:val="11"/>
          <w:color w:val="231F20"/>
          <w:spacing w:val="-1"/>
          <w:w w:val="106"/>
          <w:b/>
          <w:bCs/>
        </w:rPr>
        <w:t>合</w:t>
      </w:r>
      <w:r>
        <w:rPr>
          <w:rFonts w:ascii="Microsoft JhengHei UI" w:hAnsi="Microsoft JhengHei UI" w:cs="Microsoft JhengHei UI" w:eastAsia="Microsoft JhengHei UI"/>
          <w:sz w:val="11"/>
          <w:szCs w:val="11"/>
          <w:color w:val="231F20"/>
          <w:spacing w:val="0"/>
          <w:w w:val="106"/>
          <w:b/>
          <w:bCs/>
        </w:rPr>
        <w:t>法</w:t>
      </w:r>
      <w:r>
        <w:rPr>
          <w:rFonts w:ascii="Microsoft JhengHei UI" w:hAnsi="Microsoft JhengHei UI" w:cs="Microsoft JhengHei UI" w:eastAsia="Microsoft JhengHei UI"/>
          <w:sz w:val="11"/>
          <w:szCs w:val="11"/>
          <w:color w:val="231F20"/>
          <w:spacing w:val="-1"/>
          <w:w w:val="106"/>
          <w:b/>
          <w:bCs/>
        </w:rPr>
        <w:t>業</w:t>
      </w:r>
      <w:r>
        <w:rPr>
          <w:rFonts w:ascii="Microsoft JhengHei UI" w:hAnsi="Microsoft JhengHei UI" w:cs="Microsoft JhengHei UI" w:eastAsia="Microsoft JhengHei UI"/>
          <w:sz w:val="11"/>
          <w:szCs w:val="11"/>
          <w:color w:val="231F20"/>
          <w:spacing w:val="0"/>
          <w:w w:val="106"/>
          <w:b/>
          <w:bCs/>
        </w:rPr>
        <w:t>者及非</w:t>
      </w:r>
      <w:r>
        <w:rPr>
          <w:rFonts w:ascii="Microsoft JhengHei UI" w:hAnsi="Microsoft JhengHei UI" w:cs="Microsoft JhengHei UI" w:eastAsia="Microsoft JhengHei UI"/>
          <w:sz w:val="11"/>
          <w:szCs w:val="11"/>
          <w:color w:val="231F20"/>
          <w:spacing w:val="-1"/>
          <w:w w:val="106"/>
          <w:b/>
          <w:bCs/>
        </w:rPr>
        <w:t>法</w:t>
      </w:r>
      <w:r>
        <w:rPr>
          <w:rFonts w:ascii="Microsoft JhengHei UI" w:hAnsi="Microsoft JhengHei UI" w:cs="Microsoft JhengHei UI" w:eastAsia="Microsoft JhengHei UI"/>
          <w:sz w:val="11"/>
          <w:szCs w:val="11"/>
          <w:color w:val="231F20"/>
          <w:spacing w:val="0"/>
          <w:w w:val="106"/>
          <w:b/>
          <w:bCs/>
        </w:rPr>
        <w:t>業者</w:t>
      </w:r>
      <w:r>
        <w:rPr>
          <w:rFonts w:ascii="Microsoft JhengHei UI" w:hAnsi="Microsoft JhengHei UI" w:cs="Microsoft JhengHei UI" w:eastAsia="Microsoft JhengHei UI"/>
          <w:sz w:val="11"/>
          <w:szCs w:val="11"/>
          <w:color w:val="000000"/>
          <w:spacing w:val="0"/>
          <w:w w:val="100"/>
        </w:rPr>
      </w:r>
    </w:p>
    <w:p>
      <w:pPr>
        <w:spacing w:before="55" w:after="0" w:line="240" w:lineRule="auto"/>
        <w:ind w:left="3674" w:right="-20"/>
        <w:jc w:val="left"/>
        <w:rPr>
          <w:rFonts w:ascii="Microsoft JhengHei UI" w:hAnsi="Microsoft JhengHei UI" w:cs="Microsoft JhengHei UI" w:eastAsia="Microsoft JhengHei UI"/>
          <w:sz w:val="9"/>
          <w:szCs w:val="9"/>
        </w:rPr>
      </w:pPr>
      <w:rPr/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0"/>
          <w:w w:val="103"/>
        </w:rPr>
        <w:t>【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0"/>
          <w:w w:val="103"/>
          <w:b/>
          <w:bCs/>
        </w:rPr>
        <w:t>金管會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1"/>
          <w:w w:val="103"/>
          <w:b/>
          <w:bCs/>
        </w:rPr>
        <w:t>證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0"/>
          <w:w w:val="103"/>
          <w:b/>
          <w:bCs/>
        </w:rPr>
        <w:t>券期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1"/>
          <w:w w:val="103"/>
          <w:b/>
          <w:bCs/>
        </w:rPr>
        <w:t>貨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0"/>
          <w:w w:val="103"/>
          <w:b/>
          <w:bCs/>
        </w:rPr>
        <w:t>局】網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1"/>
          <w:w w:val="103"/>
          <w:b/>
          <w:bCs/>
        </w:rPr>
        <w:t>站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0"/>
          <w:w w:val="103"/>
          <w:b/>
          <w:bCs/>
        </w:rPr>
        <w:t>首頁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0"/>
          <w:w w:val="103"/>
          <w:b/>
          <w:bCs/>
        </w:rPr>
        <w:t>: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0"/>
          <w:w w:val="103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1"/>
          <w:w w:val="103"/>
          <w:b/>
          <w:bCs/>
        </w:rPr>
        <w:t>投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0"/>
          <w:w w:val="103"/>
          <w:b/>
          <w:bCs/>
        </w:rPr>
        <w:t>資人園地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1"/>
          <w:w w:val="103"/>
          <w:b/>
          <w:bCs/>
        </w:rPr>
        <w:t>/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0"/>
          <w:w w:val="103"/>
          <w:b/>
          <w:bCs/>
        </w:rPr>
        <w:t>防範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1"/>
          <w:w w:val="103"/>
          <w:b/>
          <w:bCs/>
        </w:rPr>
        <w:t>非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0"/>
          <w:w w:val="103"/>
          <w:b/>
          <w:bCs/>
        </w:rPr>
        <w:t>法及詐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1"/>
          <w:w w:val="103"/>
          <w:b/>
          <w:bCs/>
        </w:rPr>
        <w:t>騙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0"/>
          <w:w w:val="103"/>
          <w:b/>
          <w:bCs/>
        </w:rPr>
        <w:t>專區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000000"/>
          <w:spacing w:val="0"/>
          <w:w w:val="100"/>
        </w:rPr>
      </w:r>
    </w:p>
    <w:p>
      <w:pPr>
        <w:spacing w:before="49" w:after="0" w:line="240" w:lineRule="auto"/>
        <w:ind w:left="3680" w:right="3307"/>
        <w:jc w:val="center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1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0"/>
          <w:b/>
          <w:bCs/>
        </w:rPr>
        <w:t>.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5"/>
          <w:w w:val="100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4"/>
          <w:b/>
          <w:bCs/>
        </w:rPr>
        <w:t>本會核准之合法證券期貨、投信投顧業者名單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6" w:after="0" w:line="240" w:lineRule="auto"/>
        <w:ind w:left="3784" w:right="3309"/>
        <w:jc w:val="center"/>
        <w:rPr>
          <w:rFonts w:ascii="Microsoft JhengHei UI" w:hAnsi="Microsoft JhengHei UI" w:cs="Microsoft JhengHei UI" w:eastAsia="Microsoft JhengHei UI"/>
          <w:sz w:val="9"/>
          <w:szCs w:val="9"/>
        </w:rPr>
      </w:pPr>
      <w:rPr/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0"/>
          <w:w w:val="100"/>
        </w:rPr>
        <w:t>證券期貨局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1"/>
          <w:w w:val="100"/>
        </w:rPr>
        <w:t>網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0"/>
          <w:w w:val="100"/>
        </w:rPr>
        <w:t>站首頁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0"/>
          <w:w w:val="100"/>
        </w:rPr>
        <w:t>: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0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4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5"/>
          <w:w w:val="100"/>
        </w:rPr>
        <w:t>金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6"/>
          <w:w w:val="100"/>
        </w:rPr>
        <w:t>融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0"/>
        </w:rPr>
        <w:t>資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-8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</w:rPr>
        <w:t>訊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-17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231F20"/>
          <w:spacing w:val="0"/>
          <w:w w:val="103"/>
        </w:rPr>
        <w:t>/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6"/>
          <w:w w:val="103"/>
        </w:rPr>
        <w:t>證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</w:rPr>
        <w:t>券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-16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5"/>
          <w:w w:val="100"/>
        </w:rPr>
        <w:t>期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6"/>
          <w:w w:val="100"/>
        </w:rPr>
        <w:t>貨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0"/>
        </w:rPr>
        <w:t>特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-8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5"/>
          <w:w w:val="103"/>
        </w:rPr>
        <w:t>許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</w:rPr>
        <w:t>事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-16"/>
          <w:w w:val="100"/>
        </w:rPr>
        <w:t> 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</w:rPr>
        <w:t>業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000000"/>
          <w:spacing w:val="0"/>
          <w:w w:val="100"/>
        </w:rPr>
      </w:r>
    </w:p>
    <w:p>
      <w:pPr>
        <w:spacing w:before="0" w:after="0" w:line="132" w:lineRule="exact"/>
        <w:ind w:left="3792" w:right="-20"/>
        <w:jc w:val="left"/>
        <w:rPr>
          <w:rFonts w:ascii="Calibri" w:hAnsi="Calibri" w:cs="Calibri" w:eastAsia="Calibri"/>
          <w:sz w:val="9"/>
          <w:szCs w:val="9"/>
        </w:rPr>
      </w:pPr>
      <w:rPr/>
      <w:r>
        <w:rPr>
          <w:rFonts w:ascii="Calibri" w:hAnsi="Calibri" w:cs="Calibri" w:eastAsia="Calibri"/>
          <w:sz w:val="9"/>
          <w:szCs w:val="9"/>
          <w:color w:val="E17D70"/>
          <w:w w:val="103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 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h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Malgun Gothic" w:hAnsi="Malgun Gothic" w:cs="Malgun Gothic" w:eastAsia="Malgun Gothic"/>
          <w:sz w:val="9"/>
          <w:szCs w:val="9"/>
          <w:color w:val="E17D70"/>
          <w:w w:val="65"/>
          <w:u w:val="single" w:color="E17D70"/>
        </w:rPr>
        <w:t>�</w:t>
      </w:r>
      <w:r>
        <w:rPr>
          <w:rFonts w:ascii="Malgun Gothic" w:hAnsi="Malgun Gothic" w:cs="Malgun Gothic" w:eastAsia="Malgun Gothic"/>
          <w:sz w:val="9"/>
          <w:szCs w:val="9"/>
          <w:color w:val="E17D70"/>
          <w:w w:val="65"/>
          <w:u w:val="single" w:color="E17D70"/>
        </w:rPr>
      </w:r>
      <w:r>
        <w:rPr>
          <w:rFonts w:ascii="Malgun Gothic" w:hAnsi="Malgun Gothic" w:cs="Malgun Gothic" w:eastAsia="Malgun Gothic"/>
          <w:sz w:val="9"/>
          <w:szCs w:val="9"/>
          <w:color w:val="E17D70"/>
          <w:w w:val="65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ps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: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/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/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www.s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Malgun Gothic" w:hAnsi="Malgun Gothic" w:cs="Malgun Gothic" w:eastAsia="Malgun Gothic"/>
          <w:sz w:val="9"/>
          <w:szCs w:val="9"/>
          <w:color w:val="E17D70"/>
          <w:w w:val="85"/>
          <w:u w:val="single" w:color="E17D70"/>
        </w:rPr>
        <w:t>�</w:t>
      </w:r>
      <w:r>
        <w:rPr>
          <w:rFonts w:ascii="Malgun Gothic" w:hAnsi="Malgun Gothic" w:cs="Malgun Gothic" w:eastAsia="Malgun Gothic"/>
          <w:sz w:val="9"/>
          <w:szCs w:val="9"/>
          <w:color w:val="E17D70"/>
          <w:w w:val="85"/>
          <w:u w:val="single" w:color="E17D70"/>
        </w:rPr>
      </w:r>
      <w:r>
        <w:rPr>
          <w:rFonts w:ascii="Malgun Gothic" w:hAnsi="Malgun Gothic" w:cs="Malgun Gothic" w:eastAsia="Malgun Gothic"/>
          <w:sz w:val="9"/>
          <w:szCs w:val="9"/>
          <w:color w:val="E17D70"/>
          <w:w w:val="85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1"/>
          <w:w w:val="103"/>
          <w:u w:val="single" w:color="E17D70"/>
        </w:rPr>
        <w:t>.</w:t>
      </w:r>
      <w:r>
        <w:rPr>
          <w:rFonts w:ascii="Calibri" w:hAnsi="Calibri" w:cs="Calibri" w:eastAsia="Calibri"/>
          <w:sz w:val="9"/>
          <w:szCs w:val="9"/>
          <w:color w:val="E17D70"/>
          <w:spacing w:val="1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gov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.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t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w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/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ch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/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1"/>
          <w:w w:val="103"/>
          <w:u w:val="single" w:color="E17D70"/>
        </w:rPr>
        <w:t>h</w:t>
      </w:r>
      <w:r>
        <w:rPr>
          <w:rFonts w:ascii="Calibri" w:hAnsi="Calibri" w:cs="Calibri" w:eastAsia="Calibri"/>
          <w:sz w:val="9"/>
          <w:szCs w:val="9"/>
          <w:color w:val="E17D70"/>
          <w:spacing w:val="1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o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m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e.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j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sp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?i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d=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1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0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15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&amp;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p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1"/>
          <w:w w:val="103"/>
          <w:u w:val="single" w:color="E17D70"/>
        </w:rPr>
        <w:t>a</w:t>
      </w:r>
      <w:r>
        <w:rPr>
          <w:rFonts w:ascii="Calibri" w:hAnsi="Calibri" w:cs="Calibri" w:eastAsia="Calibri"/>
          <w:sz w:val="9"/>
          <w:szCs w:val="9"/>
          <w:color w:val="E17D70"/>
          <w:spacing w:val="1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r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e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n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t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p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a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t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h=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0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,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4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</w:rPr>
      </w:r>
      <w:r>
        <w:rPr>
          <w:rFonts w:ascii="Calibri" w:hAnsi="Calibri" w:cs="Calibri" w:eastAsia="Calibri"/>
          <w:sz w:val="9"/>
          <w:szCs w:val="9"/>
          <w:color w:val="000000"/>
          <w:spacing w:val="0"/>
          <w:w w:val="100"/>
        </w:rPr>
      </w:r>
    </w:p>
    <w:p>
      <w:pPr>
        <w:spacing w:before="67" w:after="0" w:line="240" w:lineRule="auto"/>
        <w:ind w:left="3768" w:right="4371"/>
        <w:jc w:val="center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-1"/>
          <w:w w:val="104"/>
          <w:b/>
          <w:bCs/>
        </w:rPr>
        <w:t>合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4"/>
          <w:b/>
          <w:bCs/>
        </w:rPr>
        <w:t>法境內外基金一覽表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0" w:after="0" w:line="133" w:lineRule="exact"/>
        <w:ind w:left="3813" w:right="-20"/>
        <w:jc w:val="left"/>
        <w:rPr>
          <w:rFonts w:ascii="Calibri" w:hAnsi="Calibri" w:cs="Calibri" w:eastAsia="Calibri"/>
          <w:sz w:val="9"/>
          <w:szCs w:val="9"/>
        </w:rPr>
      </w:pPr>
      <w:rPr/>
      <w:r>
        <w:rPr>
          <w:rFonts w:ascii="Calibri" w:hAnsi="Calibri" w:cs="Calibri" w:eastAsia="Calibri"/>
          <w:sz w:val="9"/>
          <w:szCs w:val="9"/>
          <w:color w:val="E17D70"/>
          <w:w w:val="103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h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Malgun Gothic" w:hAnsi="Malgun Gothic" w:cs="Malgun Gothic" w:eastAsia="Malgun Gothic"/>
          <w:sz w:val="9"/>
          <w:szCs w:val="9"/>
          <w:color w:val="E17D70"/>
          <w:w w:val="65"/>
          <w:u w:val="single" w:color="E17D70"/>
        </w:rPr>
        <w:t>�</w:t>
      </w:r>
      <w:r>
        <w:rPr>
          <w:rFonts w:ascii="Malgun Gothic" w:hAnsi="Malgun Gothic" w:cs="Malgun Gothic" w:eastAsia="Malgun Gothic"/>
          <w:sz w:val="9"/>
          <w:szCs w:val="9"/>
          <w:color w:val="E17D70"/>
          <w:w w:val="65"/>
          <w:u w:val="single" w:color="E17D70"/>
        </w:rPr>
      </w:r>
      <w:r>
        <w:rPr>
          <w:rFonts w:ascii="Malgun Gothic" w:hAnsi="Malgun Gothic" w:cs="Malgun Gothic" w:eastAsia="Malgun Gothic"/>
          <w:sz w:val="9"/>
          <w:szCs w:val="9"/>
          <w:color w:val="E17D70"/>
          <w:w w:val="65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ps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: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/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/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www.s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Malgun Gothic" w:hAnsi="Malgun Gothic" w:cs="Malgun Gothic" w:eastAsia="Malgun Gothic"/>
          <w:sz w:val="9"/>
          <w:szCs w:val="9"/>
          <w:color w:val="E17D70"/>
          <w:w w:val="85"/>
          <w:u w:val="single" w:color="E17D70"/>
        </w:rPr>
        <w:t>�</w:t>
      </w:r>
      <w:r>
        <w:rPr>
          <w:rFonts w:ascii="Malgun Gothic" w:hAnsi="Malgun Gothic" w:cs="Malgun Gothic" w:eastAsia="Malgun Gothic"/>
          <w:sz w:val="9"/>
          <w:szCs w:val="9"/>
          <w:color w:val="E17D70"/>
          <w:w w:val="85"/>
          <w:u w:val="single" w:color="E17D70"/>
        </w:rPr>
      </w:r>
      <w:r>
        <w:rPr>
          <w:rFonts w:ascii="Malgun Gothic" w:hAnsi="Malgun Gothic" w:cs="Malgun Gothic" w:eastAsia="Malgun Gothic"/>
          <w:sz w:val="9"/>
          <w:szCs w:val="9"/>
          <w:color w:val="E17D70"/>
          <w:w w:val="85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1"/>
          <w:w w:val="103"/>
          <w:u w:val="single" w:color="E17D70"/>
        </w:rPr>
        <w:t>.</w:t>
      </w:r>
      <w:r>
        <w:rPr>
          <w:rFonts w:ascii="Calibri" w:hAnsi="Calibri" w:cs="Calibri" w:eastAsia="Calibri"/>
          <w:sz w:val="9"/>
          <w:szCs w:val="9"/>
          <w:color w:val="E17D70"/>
          <w:spacing w:val="1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gov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.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t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w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/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ch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/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1"/>
          <w:w w:val="103"/>
          <w:u w:val="single" w:color="E17D70"/>
        </w:rPr>
        <w:t>h</w:t>
      </w:r>
      <w:r>
        <w:rPr>
          <w:rFonts w:ascii="Calibri" w:hAnsi="Calibri" w:cs="Calibri" w:eastAsia="Calibri"/>
          <w:sz w:val="9"/>
          <w:szCs w:val="9"/>
          <w:color w:val="E17D70"/>
          <w:spacing w:val="1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o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m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e.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j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sp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?i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d=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9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9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7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&amp;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p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a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1"/>
          <w:w w:val="103"/>
          <w:u w:val="single" w:color="E17D70"/>
        </w:rPr>
        <w:t>r</w:t>
      </w:r>
      <w:r>
        <w:rPr>
          <w:rFonts w:ascii="Calibri" w:hAnsi="Calibri" w:cs="Calibri" w:eastAsia="Calibri"/>
          <w:sz w:val="9"/>
          <w:szCs w:val="9"/>
          <w:color w:val="E17D70"/>
          <w:spacing w:val="1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ent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p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a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t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h=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0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,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5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</w:rPr>
      </w:r>
      <w:r>
        <w:rPr>
          <w:rFonts w:ascii="Calibri" w:hAnsi="Calibri" w:cs="Calibri" w:eastAsia="Calibri"/>
          <w:sz w:val="9"/>
          <w:szCs w:val="9"/>
          <w:color w:val="000000"/>
          <w:spacing w:val="0"/>
          <w:w w:val="100"/>
        </w:rPr>
      </w:r>
    </w:p>
    <w:p>
      <w:pPr>
        <w:spacing w:before="68" w:after="0" w:line="240" w:lineRule="auto"/>
        <w:ind w:left="3751" w:right="-20"/>
        <w:jc w:val="left"/>
        <w:rPr>
          <w:rFonts w:ascii="Microsoft JhengHei UI" w:hAnsi="Microsoft JhengHei UI" w:cs="Microsoft JhengHei UI" w:eastAsia="Microsoft JhengHei UI"/>
          <w:sz w:val="10"/>
          <w:szCs w:val="10"/>
        </w:rPr>
      </w:pPr>
      <w:rPr/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4"/>
          <w:b/>
          <w:bCs/>
        </w:rPr>
        <w:t>2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4"/>
          <w:b/>
          <w:bCs/>
        </w:rPr>
        <w:t>.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4"/>
          <w:b/>
          <w:bCs/>
        </w:rPr>
        <w:t>【非法警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1"/>
          <w:w w:val="104"/>
          <w:b/>
          <w:bCs/>
        </w:rPr>
        <w:t>示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231F20"/>
          <w:spacing w:val="0"/>
          <w:w w:val="104"/>
          <w:b/>
          <w:bCs/>
        </w:rPr>
        <w:t>專區】非金管會核准之證券期貨業者及商品</w:t>
      </w:r>
      <w:r>
        <w:rPr>
          <w:rFonts w:ascii="Microsoft JhengHei UI" w:hAnsi="Microsoft JhengHei UI" w:cs="Microsoft JhengHei UI" w:eastAsia="Microsoft JhengHei UI"/>
          <w:sz w:val="10"/>
          <w:szCs w:val="10"/>
          <w:color w:val="000000"/>
          <w:spacing w:val="0"/>
          <w:w w:val="100"/>
        </w:rPr>
      </w:r>
    </w:p>
    <w:p>
      <w:pPr>
        <w:spacing w:before="0" w:after="0" w:line="133" w:lineRule="exact"/>
        <w:ind w:left="3829" w:right="4381"/>
        <w:jc w:val="center"/>
        <w:rPr>
          <w:rFonts w:ascii="Calibri" w:hAnsi="Calibri" w:cs="Calibri" w:eastAsia="Calibri"/>
          <w:sz w:val="9"/>
          <w:szCs w:val="9"/>
        </w:rPr>
      </w:pPr>
      <w:rPr/>
      <w:r>
        <w:rPr>
          <w:rFonts w:ascii="Calibri" w:hAnsi="Calibri" w:cs="Calibri" w:eastAsia="Calibri"/>
          <w:sz w:val="9"/>
          <w:szCs w:val="9"/>
          <w:color w:val="E17D70"/>
          <w:w w:val="103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h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Malgun Gothic" w:hAnsi="Malgun Gothic" w:cs="Malgun Gothic" w:eastAsia="Malgun Gothic"/>
          <w:sz w:val="9"/>
          <w:szCs w:val="9"/>
          <w:color w:val="E17D70"/>
          <w:w w:val="65"/>
          <w:u w:val="single" w:color="E17D70"/>
        </w:rPr>
        <w:t>�</w:t>
      </w:r>
      <w:r>
        <w:rPr>
          <w:rFonts w:ascii="Malgun Gothic" w:hAnsi="Malgun Gothic" w:cs="Malgun Gothic" w:eastAsia="Malgun Gothic"/>
          <w:sz w:val="9"/>
          <w:szCs w:val="9"/>
          <w:color w:val="E17D70"/>
          <w:w w:val="65"/>
          <w:u w:val="single" w:color="E17D70"/>
        </w:rPr>
      </w:r>
      <w:r>
        <w:rPr>
          <w:rFonts w:ascii="Malgun Gothic" w:hAnsi="Malgun Gothic" w:cs="Malgun Gothic" w:eastAsia="Malgun Gothic"/>
          <w:sz w:val="9"/>
          <w:szCs w:val="9"/>
          <w:color w:val="E17D70"/>
          <w:w w:val="65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ps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: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/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/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3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4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34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.t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  <w:t>ws</w:t>
      </w:r>
      <w:r>
        <w:rPr>
          <w:rFonts w:ascii="Calibri" w:hAnsi="Calibri" w:cs="Calibri" w:eastAsia="Calibri"/>
          <w:sz w:val="9"/>
          <w:szCs w:val="9"/>
          <w:color w:val="E17D7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1"/>
          <w:w w:val="103"/>
          <w:u w:val="single" w:color="E17D70"/>
        </w:rPr>
        <w:t>a</w:t>
      </w:r>
      <w:r>
        <w:rPr>
          <w:rFonts w:ascii="Calibri" w:hAnsi="Calibri" w:cs="Calibri" w:eastAsia="Calibri"/>
          <w:sz w:val="9"/>
          <w:szCs w:val="9"/>
          <w:color w:val="E17D70"/>
          <w:spacing w:val="1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.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o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r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g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.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t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  <w:u w:val="single" w:color="E17D70"/>
        </w:rPr>
        <w:t>w/</w:t>
      </w:r>
      <w:r>
        <w:rPr>
          <w:rFonts w:ascii="Calibri" w:hAnsi="Calibri" w:cs="Calibri" w:eastAsia="Calibri"/>
          <w:sz w:val="9"/>
          <w:szCs w:val="9"/>
          <w:color w:val="E17D70"/>
          <w:spacing w:val="0"/>
          <w:w w:val="103"/>
        </w:rPr>
      </w:r>
      <w:r>
        <w:rPr>
          <w:rFonts w:ascii="Calibri" w:hAnsi="Calibri" w:cs="Calibri" w:eastAsia="Calibri"/>
          <w:sz w:val="9"/>
          <w:szCs w:val="9"/>
          <w:color w:val="000000"/>
          <w:spacing w:val="0"/>
          <w:w w:val="100"/>
        </w:rPr>
      </w:r>
    </w:p>
    <w:p>
      <w:pPr>
        <w:spacing w:before="1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10" w:after="0" w:line="240" w:lineRule="auto"/>
        <w:ind w:left="3685" w:right="3742"/>
        <w:jc w:val="center"/>
        <w:rPr>
          <w:rFonts w:ascii="Microsoft JhengHei UI" w:hAnsi="Microsoft JhengHei UI" w:cs="Microsoft JhengHei UI" w:eastAsia="Microsoft JhengHei UI"/>
          <w:sz w:val="9"/>
          <w:szCs w:val="9"/>
        </w:rPr>
      </w:pPr>
      <w:rPr/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</w:rPr>
        <w:t>反詐騙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1"/>
          <w:w w:val="103"/>
          <w:b/>
          <w:bCs/>
        </w:rPr>
        <w:t>檢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</w:rPr>
        <w:t>舉專線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1"/>
          <w:w w:val="103"/>
          <w:b/>
          <w:bCs/>
        </w:rPr>
        <w:t>(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</w:rPr>
        <w:t>內政部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1"/>
          <w:w w:val="103"/>
          <w:b/>
          <w:bCs/>
        </w:rPr>
        <w:t>警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</w:rPr>
        <w:t>政署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</w:rPr>
        <w:t>)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1"/>
          <w:w w:val="103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1"/>
          <w:w w:val="100"/>
          <w:b/>
          <w:bCs/>
        </w:rPr>
        <w:t>：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0"/>
          <w:b/>
          <w:bCs/>
        </w:rPr>
        <w:t>撥打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9"/>
          <w:w w:val="100"/>
          <w:b/>
          <w:bCs/>
        </w:rPr>
        <w:t> 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</w:rPr>
        <w:t>165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000000"/>
          <w:spacing w:val="0"/>
          <w:w w:val="100"/>
        </w:rPr>
      </w:r>
    </w:p>
    <w:p>
      <w:pPr>
        <w:spacing w:before="13" w:after="0" w:line="143" w:lineRule="exact"/>
        <w:ind w:left="3712" w:right="-20"/>
        <w:jc w:val="left"/>
        <w:rPr>
          <w:rFonts w:ascii="Microsoft JhengHei UI" w:hAnsi="Microsoft JhengHei UI" w:cs="Microsoft JhengHei UI" w:eastAsia="Microsoft JhengHei UI"/>
          <w:sz w:val="9"/>
          <w:szCs w:val="9"/>
        </w:rPr>
      </w:pPr>
      <w:rPr/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  <w:position w:val="-1"/>
        </w:rPr>
        <w:t>證券期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1"/>
          <w:w w:val="103"/>
          <w:b/>
          <w:bCs/>
          <w:position w:val="-1"/>
        </w:rPr>
        <w:t>貨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  <w:position w:val="-1"/>
        </w:rPr>
        <w:t>反詐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1"/>
          <w:w w:val="103"/>
          <w:b/>
          <w:bCs/>
          <w:position w:val="-1"/>
        </w:rPr>
        <w:t>騙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  <w:position w:val="-1"/>
        </w:rPr>
        <w:t>法律諮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1"/>
          <w:w w:val="103"/>
          <w:b/>
          <w:bCs/>
          <w:position w:val="-1"/>
        </w:rPr>
        <w:t>詢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  <w:position w:val="-1"/>
        </w:rPr>
        <w:t>專線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  <w:position w:val="-1"/>
        </w:rPr>
        <w:t>   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1"/>
          <w:w w:val="103"/>
          <w:b/>
          <w:bCs/>
          <w:position w:val="-1"/>
        </w:rPr>
        <w:t> 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  <w:position w:val="-1"/>
        </w:rPr>
        <w:t>：（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  <w:position w:val="-1"/>
        </w:rPr>
        <w:t>02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  <w:position w:val="-1"/>
        </w:rPr>
        <w:t>）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  <w:position w:val="-1"/>
        </w:rPr>
        <w:t>2737-343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1"/>
          <w:w w:val="103"/>
          <w:b/>
          <w:bCs/>
          <w:position w:val="-1"/>
        </w:rPr>
        <w:t>4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  <w:position w:val="-1"/>
        </w:rPr>
        <w:t>（諧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1"/>
          <w:w w:val="103"/>
          <w:b/>
          <w:bCs/>
          <w:position w:val="-1"/>
        </w:rPr>
        <w:t>音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  <w:position w:val="-1"/>
        </w:rPr>
        <w:t>：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1"/>
          <w:w w:val="103"/>
          <w:b/>
          <w:bCs/>
          <w:position w:val="-1"/>
        </w:rPr>
        <w:t>三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58595B"/>
          <w:spacing w:val="0"/>
          <w:w w:val="103"/>
          <w:b/>
          <w:bCs/>
          <w:position w:val="-1"/>
        </w:rPr>
        <w:t>思三思）</w:t>
      </w:r>
      <w:r>
        <w:rPr>
          <w:rFonts w:ascii="Microsoft JhengHei UI" w:hAnsi="Microsoft JhengHei UI" w:cs="Microsoft JhengHei UI" w:eastAsia="Microsoft JhengHei UI"/>
          <w:sz w:val="9"/>
          <w:szCs w:val="9"/>
          <w:color w:val="000000"/>
          <w:spacing w:val="0"/>
          <w:w w:val="100"/>
          <w:position w:val="0"/>
        </w:rPr>
      </w:r>
    </w:p>
    <w:p>
      <w:pPr>
        <w:spacing w:before="3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185" w:lineRule="exact"/>
        <w:ind w:left="2233" w:right="-20"/>
        <w:jc w:val="left"/>
        <w:rPr>
          <w:rFonts w:ascii="UD Digi Kyokasho N-R" w:hAnsi="UD Digi Kyokasho N-R" w:cs="UD Digi Kyokasho N-R" w:eastAsia="UD Digi Kyokasho N-R"/>
          <w:sz w:val="13"/>
          <w:szCs w:val="13"/>
        </w:rPr>
      </w:pPr>
      <w:rPr/>
      <w:r>
        <w:rPr>
          <w:rFonts w:ascii="UD Digi Kyokasho N-R" w:hAnsi="UD Digi Kyokasho N-R" w:cs="UD Digi Kyokasho N-R" w:eastAsia="UD Digi Kyokasho N-R"/>
          <w:sz w:val="13"/>
          <w:szCs w:val="13"/>
          <w:color w:val="231F20"/>
          <w:spacing w:val="0"/>
          <w:w w:val="103"/>
          <w:position w:val="-1"/>
        </w:rPr>
        <w:t>32</w:t>
      </w:r>
      <w:r>
        <w:rPr>
          <w:rFonts w:ascii="UD Digi Kyokasho N-R" w:hAnsi="UD Digi Kyokasho N-R" w:cs="UD Digi Kyokasho N-R" w:eastAsia="UD Digi Kyokasho N-R"/>
          <w:sz w:val="13"/>
          <w:szCs w:val="13"/>
          <w:color w:val="000000"/>
          <w:spacing w:val="0"/>
          <w:w w:val="100"/>
          <w:position w:val="0"/>
        </w:rPr>
      </w:r>
    </w:p>
    <w:p>
      <w:pPr>
        <w:spacing w:before="60" w:after="0" w:line="240" w:lineRule="auto"/>
        <w:ind w:left="2125" w:right="-20"/>
        <w:jc w:val="left"/>
        <w:rPr>
          <w:rFonts w:ascii="Noto Serif TC" w:hAnsi="Noto Serif TC" w:cs="Noto Serif TC" w:eastAsia="Noto Serif TC"/>
          <w:sz w:val="9"/>
          <w:szCs w:val="9"/>
        </w:rPr>
      </w:pPr>
      <w:rPr/>
      <w:r>
        <w:rPr>
          <w:rFonts w:ascii="UD Digi Kyokasho N-R" w:hAnsi="UD Digi Kyokasho N-R" w:cs="UD Digi Kyokasho N-R" w:eastAsia="UD Digi Kyokasho N-R"/>
          <w:sz w:val="9"/>
          <w:szCs w:val="9"/>
          <w:color w:val="231F20"/>
          <w:spacing w:val="0"/>
          <w:w w:val="100"/>
        </w:rPr>
        <w:t>202</w:t>
      </w:r>
      <w:r>
        <w:rPr>
          <w:rFonts w:ascii="Noto Serif TC" w:hAnsi="Noto Serif TC" w:cs="Noto Serif TC" w:eastAsia="Noto Serif TC"/>
          <w:sz w:val="9"/>
          <w:szCs w:val="9"/>
          <w:color w:val="231F20"/>
          <w:spacing w:val="1"/>
          <w:w w:val="100"/>
        </w:rPr>
        <w:t>4</w:t>
      </w:r>
      <w:r>
        <w:rPr>
          <w:rFonts w:ascii="Noto Serif TC" w:hAnsi="Noto Serif TC" w:cs="Noto Serif TC" w:eastAsia="Noto Serif TC"/>
          <w:sz w:val="9"/>
          <w:szCs w:val="9"/>
          <w:color w:val="231F20"/>
          <w:spacing w:val="7"/>
          <w:w w:val="100"/>
        </w:rPr>
        <w:t> </w:t>
      </w:r>
      <w:r>
        <w:rPr>
          <w:rFonts w:ascii="Noto Serif TC" w:hAnsi="Noto Serif TC" w:cs="Noto Serif TC" w:eastAsia="Noto Serif TC"/>
          <w:sz w:val="9"/>
          <w:szCs w:val="9"/>
          <w:color w:val="231F20"/>
          <w:spacing w:val="0"/>
          <w:w w:val="100"/>
        </w:rPr>
        <w:t>年</w:t>
      </w:r>
      <w:r>
        <w:rPr>
          <w:rFonts w:ascii="Noto Serif TC" w:hAnsi="Noto Serif TC" w:cs="Noto Serif TC" w:eastAsia="Noto Serif TC"/>
          <w:sz w:val="9"/>
          <w:szCs w:val="9"/>
          <w:color w:val="231F20"/>
          <w:spacing w:val="2"/>
          <w:w w:val="100"/>
        </w:rPr>
        <w:t> </w:t>
      </w:r>
      <w:r>
        <w:rPr>
          <w:rFonts w:ascii="UD Digi Kyokasho N-R" w:hAnsi="UD Digi Kyokasho N-R" w:cs="UD Digi Kyokasho N-R" w:eastAsia="UD Digi Kyokasho N-R"/>
          <w:sz w:val="9"/>
          <w:szCs w:val="9"/>
          <w:color w:val="231F20"/>
          <w:spacing w:val="0"/>
          <w:w w:val="100"/>
        </w:rPr>
        <w:t>1</w:t>
      </w:r>
      <w:r>
        <w:rPr>
          <w:rFonts w:ascii="Noto Serif TC" w:hAnsi="Noto Serif TC" w:cs="Noto Serif TC" w:eastAsia="Noto Serif TC"/>
          <w:sz w:val="9"/>
          <w:szCs w:val="9"/>
          <w:color w:val="231F20"/>
          <w:spacing w:val="1"/>
          <w:w w:val="100"/>
        </w:rPr>
        <w:t>2</w:t>
      </w:r>
      <w:r>
        <w:rPr>
          <w:rFonts w:ascii="Noto Serif TC" w:hAnsi="Noto Serif TC" w:cs="Noto Serif TC" w:eastAsia="Noto Serif TC"/>
          <w:sz w:val="9"/>
          <w:szCs w:val="9"/>
          <w:color w:val="231F20"/>
          <w:spacing w:val="3"/>
          <w:w w:val="100"/>
        </w:rPr>
        <w:t> </w:t>
      </w:r>
      <w:r>
        <w:rPr>
          <w:rFonts w:ascii="Noto Serif TC" w:hAnsi="Noto Serif TC" w:cs="Noto Serif TC" w:eastAsia="Noto Serif TC"/>
          <w:sz w:val="9"/>
          <w:szCs w:val="9"/>
          <w:color w:val="231F20"/>
          <w:spacing w:val="0"/>
          <w:w w:val="100"/>
        </w:rPr>
        <w:t>月</w:t>
      </w:r>
      <w:r>
        <w:rPr>
          <w:rFonts w:ascii="Noto Serif TC" w:hAnsi="Noto Serif TC" w:cs="Noto Serif TC" w:eastAsia="Noto Serif TC"/>
          <w:sz w:val="9"/>
          <w:szCs w:val="9"/>
          <w:color w:val="231F20"/>
          <w:spacing w:val="2"/>
          <w:w w:val="100"/>
        </w:rPr>
        <w:t> </w:t>
      </w:r>
      <w:r>
        <w:rPr>
          <w:rFonts w:ascii="UD Digi Kyokasho N-R" w:hAnsi="UD Digi Kyokasho N-R" w:cs="UD Digi Kyokasho N-R" w:eastAsia="UD Digi Kyokasho N-R"/>
          <w:sz w:val="9"/>
          <w:szCs w:val="9"/>
          <w:color w:val="231F20"/>
          <w:spacing w:val="0"/>
          <w:w w:val="100"/>
        </w:rPr>
        <w:t>16</w:t>
      </w:r>
      <w:r>
        <w:rPr>
          <w:rFonts w:ascii="UD Digi Kyokasho N-R" w:hAnsi="UD Digi Kyokasho N-R" w:cs="UD Digi Kyokasho N-R" w:eastAsia="UD Digi Kyokasho N-R"/>
          <w:sz w:val="9"/>
          <w:szCs w:val="9"/>
          <w:color w:val="231F20"/>
          <w:spacing w:val="-16"/>
          <w:w w:val="100"/>
        </w:rPr>
        <w:t> </w:t>
      </w:r>
      <w:r>
        <w:rPr>
          <w:rFonts w:ascii="Noto Serif TC" w:hAnsi="Noto Serif TC" w:cs="Noto Serif TC" w:eastAsia="Noto Serif TC"/>
          <w:sz w:val="9"/>
          <w:szCs w:val="9"/>
          <w:color w:val="231F20"/>
          <w:spacing w:val="0"/>
          <w:w w:val="105"/>
        </w:rPr>
        <w:t>日出版</w:t>
      </w:r>
      <w:r>
        <w:rPr>
          <w:rFonts w:ascii="Noto Serif TC" w:hAnsi="Noto Serif TC" w:cs="Noto Serif TC" w:eastAsia="Noto Serif TC"/>
          <w:sz w:val="9"/>
          <w:szCs w:val="9"/>
          <w:color w:val="000000"/>
          <w:spacing w:val="0"/>
          <w:w w:val="100"/>
        </w:rPr>
      </w:r>
    </w:p>
    <w:sectPr>
      <w:pgMar w:header="678" w:footer="1038" w:top="1120" w:bottom="1220" w:left="0" w:right="1500"/>
      <w:pgSz w:w="10780" w:h="147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思源宋體 TW">
    <w:altName w:val="思源宋體 TW"/>
    <w:charset w:val="128"/>
    <w:family w:val="roman"/>
    <w:pitch w:val="variable"/>
  </w:font>
  <w:font w:name="Noto Sans CJK TC Medium">
    <w:altName w:val="Noto Sans CJK TC Medium"/>
    <w:charset w:val="128"/>
    <w:family w:val="swiss"/>
    <w:pitch w:val="variable"/>
  </w:font>
  <w:font w:name="思源黑體 Regular">
    <w:altName w:val="思源黑體 Regular"/>
    <w:charset w:val="128"/>
    <w:family w:val="swiss"/>
    <w:pitch w:val="variable"/>
  </w:font>
  <w:font w:name="思源宋體">
    <w:altName w:val="思源宋體"/>
    <w:charset w:val="128"/>
    <w:family w:val="roman"/>
    <w:pitch w:val="variable"/>
  </w:font>
  <w:font w:name="思源黑體 Bold">
    <w:altName w:val="思源黑體 Bold"/>
    <w:charset w:val="128"/>
    <w:family w:val="swiss"/>
    <w:pitch w:val="variable"/>
  </w:font>
  <w:font w:name="思源宋體 TW Heavy">
    <w:altName w:val="思源宋體 TW Heavy"/>
    <w:charset w:val="128"/>
    <w:family w:val="roman"/>
    <w:pitch w:val="variable"/>
  </w:font>
  <w:font w:name="思源宋體 TW Light">
    <w:altName w:val="思源宋體 TW Light"/>
    <w:charset w:val="128"/>
    <w:family w:val="roman"/>
    <w:pitch w:val="variable"/>
  </w:font>
  <w:font w:name="Noto Serif TC">
    <w:altName w:val="Noto Serif TC"/>
    <w:charset w:val="136"/>
    <w:family w:val="roman"/>
    <w:pitch w:val="variable"/>
  </w:font>
  <w:font w:name="Microsoft JhengHei UI">
    <w:altName w:val="Microsoft JhengHei UI"/>
    <w:charset w:val="136"/>
    <w:family w:val="swiss"/>
    <w:pitch w:val="variable"/>
  </w:font>
  <w:font w:name="Calibri">
    <w:altName w:val="Calibri"/>
    <w:charset w:val="0"/>
    <w:family w:val="swiss"/>
    <w:pitch w:val="variable"/>
  </w:font>
  <w:font w:name="UD Digi Kyokasho N-R">
    <w:altName w:val="UD Digi Kyokasho N-R"/>
    <w:charset w:val="128"/>
    <w:family w:val="roman"/>
    <w:pitch w:val="fixed"/>
  </w:font>
  <w:font w:name="Malgun Gothic">
    <w:altName w:val="Malgun Gothic"/>
    <w:charset w:val="0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487.559113pt;margin-top:688.8255pt;width:51.0239pt;height:.1pt;mso-position-horizontal-relative:page;mso-position-vertical-relative:page;z-index:-228" coordorigin="9751,13777" coordsize="1020,2">
          <v:shape style="position:absolute;left:9751;top:13777;width:1020;height:2" coordorigin="9751,13777" coordsize="1020,0" path="m9751,13777l10772,13777e" filled="f" stroked="t" strokeweight=".7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43.381714pt;margin-top:674.132019pt;width:75.934003pt;height:27.81788pt;mso-position-horizontal-relative:page;mso-position-vertical-relative:page;z-index:-227" type="#_x0000_t202" filled="f" stroked="f">
          <v:textbox inset="0,0,0,0">
            <w:txbxContent>
              <w:p>
                <w:pPr>
                  <w:spacing w:before="0" w:after="0" w:line="204" w:lineRule="exact"/>
                  <w:ind w:left="893" w:right="-20"/>
                  <w:jc w:val="left"/>
                  <w:rPr>
                    <w:rFonts w:ascii="思源宋體 TW" w:hAnsi="思源宋體 TW" w:cs="思源宋體 TW" w:eastAsia="思源宋體 TW"/>
                    <w:sz w:val="20"/>
                    <w:szCs w:val="20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position w:val="2"/>
                  </w:rPr>
                </w:r>
                <w:r>
                  <w:rPr/>
                  <w:fldChar w:fldCharType="begin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47</w:t>
                </w:r>
                <w:r>
                  <w:rPr/>
                  <w:fldChar w:fldCharType="end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61" w:after="0" w:line="240" w:lineRule="auto"/>
                  <w:ind w:left="20" w:right="-41"/>
                  <w:jc w:val="left"/>
                  <w:rPr>
                    <w:rFonts w:ascii="思源宋體 TW" w:hAnsi="思源宋體 TW" w:cs="思源宋體 TW" w:eastAsia="思源宋體 TW"/>
                    <w:sz w:val="14"/>
                    <w:szCs w:val="14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2025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年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12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16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日出版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.0pt;margin-top:688.8255pt;width:52.4406pt;height:.1pt;mso-position-horizontal-relative:page;mso-position-vertical-relative:page;z-index:-226" coordorigin="0,13777" coordsize="1049,2">
          <v:shape style="position:absolute;left:0;top:13777;width:1049;height:2" coordorigin="0,13777" coordsize="1049,0" path="m726,13777l1774,13777e" filled="f" stroked="t" strokeweight=".7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.0158pt;margin-top:674.132019pt;width:75.934003pt;height:27.81788pt;mso-position-horizontal-relative:page;mso-position-vertical-relative:page;z-index:-225" type="#_x0000_t202" filled="f" stroked="f">
          <v:textbox inset="0,0,0,0">
            <w:txbxContent>
              <w:p>
                <w:pPr>
                  <w:spacing w:before="0" w:after="0" w:line="204" w:lineRule="exact"/>
                  <w:ind w:left="180" w:right="-20"/>
                  <w:jc w:val="left"/>
                  <w:rPr>
                    <w:rFonts w:ascii="思源宋體 TW" w:hAnsi="思源宋體 TW" w:cs="思源宋體 TW" w:eastAsia="思源宋體 TW"/>
                    <w:sz w:val="20"/>
                    <w:szCs w:val="20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position w:val="2"/>
                  </w:rPr>
                </w:r>
                <w:r>
                  <w:rPr/>
                  <w:fldChar w:fldCharType="begin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231F20"/>
                    <w:spacing w:val="0"/>
                    <w:w w:val="100"/>
                    <w:position w:val="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48</w:t>
                </w:r>
                <w:r>
                  <w:rPr/>
                  <w:fldChar w:fldCharType="end"/>
                </w:r>
                <w:r>
                  <w:rPr>
                    <w:rFonts w:ascii="思源宋體 TW" w:hAnsi="思源宋體 TW" w:cs="思源宋體 TW" w:eastAsia="思源宋體 TW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  <w:p>
                <w:pPr>
                  <w:spacing w:before="61" w:after="0" w:line="240" w:lineRule="auto"/>
                  <w:ind w:left="20" w:right="-41"/>
                  <w:jc w:val="left"/>
                  <w:rPr>
                    <w:rFonts w:ascii="思源宋體 TW" w:hAnsi="思源宋體 TW" w:cs="思源宋體 TW" w:eastAsia="思源宋體 TW"/>
                    <w:sz w:val="14"/>
                    <w:szCs w:val="14"/>
                  </w:rPr>
                </w:pPr>
                <w:rPr/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2025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年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12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16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-1"/>
                    <w:w w:val="100"/>
                  </w:rPr>
                  <w:t> 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231F20"/>
                    <w:spacing w:val="0"/>
                    <w:w w:val="100"/>
                  </w:rPr>
                  <w:t>日出版</w:t>
                </w:r>
                <w:r>
                  <w:rPr>
                    <w:rFonts w:ascii="思源宋體 TW" w:hAnsi="思源宋體 TW" w:cs="思源宋體 TW" w:eastAsia="思源宋體 TW"/>
                    <w:sz w:val="14"/>
                    <w:szCs w:val="14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41.020294pt;margin-top:32.886898pt;width:70.955003pt;height:17pt;mso-position-horizontal-relative:page;mso-position-vertical-relative:page;z-index:-231" type="#_x0000_t202" filled="f" stroked="f">
          <v:textbox inset="0,0,0,0">
            <w:txbxContent>
              <w:p>
                <w:pPr>
                  <w:spacing w:before="0" w:after="0" w:line="306" w:lineRule="exact"/>
                  <w:ind w:left="20" w:right="-65"/>
                  <w:jc w:val="left"/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</w:rPr>
                </w:pPr>
                <w:rPr/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60"/>
                    <w:w w:val="100"/>
                    <w:position w:val="3"/>
                  </w:rPr>
                  <w:t>司法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w w:val="100"/>
                    <w:position w:val="3"/>
                  </w:rPr>
                  <w:t>常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-8"/>
                    <w:w w:val="100"/>
                    <w:position w:val="3"/>
                  </w:rPr>
                  <w:t> 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231F20"/>
                    <w:spacing w:val="0"/>
                    <w:w w:val="100"/>
                    <w:position w:val="3"/>
                  </w:rPr>
                  <w:t>識</w:t>
                </w:r>
                <w:r>
                  <w:rPr>
                    <w:rFonts w:ascii="Noto Sans CJK TC Medium" w:hAnsi="Noto Sans CJK TC Medium" w:cs="Noto Sans CJK TC Medium" w:eastAsia="Noto Sans CJK TC Medium"/>
                    <w:sz w:val="30"/>
                    <w:szCs w:val="30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34.582699pt;margin-top:56.644394pt;width:142.579pt;height:.1pt;mso-position-horizontal-relative:page;mso-position-vertical-relative:page;z-index:-230" coordorigin="692,1133" coordsize="2852,2">
          <v:shape style="position:absolute;left:692;top:1133;width:2852;height:2" coordorigin="692,1133" coordsize="2852,0" path="m692,1133l3543,1133e" filled="f" stroked="t" strokeweight=".45pt" strokecolor="#231F20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3.582699pt;margin-top:46.114925pt;width:144.579007pt;height:10.5pt;mso-position-horizontal-relative:page;mso-position-vertical-relative:page;z-index:-229" type="#_x0000_t202" filled="f" stroked="f">
          <v:textbox inset="0,0,0,0">
            <w:txbxContent>
              <w:p>
                <w:pPr>
                  <w:spacing w:before="0" w:after="0" w:line="176" w:lineRule="exact"/>
                  <w:ind w:left="20" w:right="-46"/>
                  <w:jc w:val="left"/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</w:rPr>
                </w:pPr>
                <w:rPr/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證券暨期貨月刊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 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44"/>
                    <w:w w:val="100"/>
                    <w:position w:val="1"/>
                  </w:rPr>
                  <w:t> 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231F20"/>
                    <w:spacing w:val="0"/>
                    <w:w w:val="100"/>
                    <w:position w:val="1"/>
                  </w:rPr>
                  <w:t>第四十三卷第十二期</w:t>
                </w:r>
                <w:r>
                  <w:rPr>
                    <w:rFonts w:ascii="思源宋體 TW Light" w:hAnsi="思源宋體 TW Light" w:cs="思源宋體 TW Light" w:eastAsia="思源宋體 TW Light"/>
                    <w:sz w:val="17"/>
                    <w:szCs w:val="17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  <w:evenAndOddHeader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footer" Target="footer1.xml"/><Relationship Id="rId8" Type="http://schemas.openxmlformats.org/officeDocument/2006/relationships/footer" Target="footer2.xml"/><Relationship Id="rId9" Type="http://schemas.openxmlformats.org/officeDocument/2006/relationships/image" Target="media/image1.png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jpg"/><Relationship Id="rId13" Type="http://schemas.openxmlformats.org/officeDocument/2006/relationships/image" Target="media/image5.jpg"/><Relationship Id="rId14" Type="http://schemas.openxmlformats.org/officeDocument/2006/relationships/image" Target="media/image6.jpg"/><Relationship Id="rId15" Type="http://schemas.openxmlformats.org/officeDocument/2006/relationships/image" Target="media/image7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2025-12-11T09:09:40Z</dcterms:created>
  <dcterms:modified xsi:type="dcterms:W3CDTF">2025-12-11T09:09:40Z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2025-12-11T00:00:00Z</vt:filetime>
  </property>
  <property fmtid="{D5CDD505-2E9C-101B-9397-08002B2CF9AE}" pid="3" name="LastSaved">
    <vt:filetime>2025-12-11T00:00:00Z</vt:filetime>
  </property>
</Properties>
</file>