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0" w:after="0" w:line="150" w:lineRule="auto"/>
        <w:ind w:left="7791" w:right="265"/>
        <w:jc w:val="right"/>
        <w:rPr>
          <w:rFonts w:ascii="Noto Sans CJK TC Medium" w:hAnsi="Noto Sans CJK TC Medium" w:cs="Noto Sans CJK TC Medium" w:eastAsia="Noto Sans CJK TC Medium"/>
          <w:sz w:val="30"/>
          <w:szCs w:val="30"/>
        </w:rPr>
      </w:pPr>
      <w:rPr/>
      <w:r>
        <w:rPr/>
        <w:pict>
          <v:group style="position:absolute;margin-left:487.559113pt;margin-top:688.8255pt;width:51.0239pt;height:.1pt;mso-position-horizontal-relative:page;mso-position-vertical-relative:page;z-index:-154" coordorigin="9751,13777" coordsize="1020,2">
            <v:shape style="position:absolute;left:9751;top:13777;width:1020;height:2" coordorigin="9751,13777" coordsize="1020,0" path="m9751,13777l10772,13777e" filled="f" stroked="t" strokeweight=".75pt" strokecolor="#231F20">
              <v:path arrowok="t"/>
            </v:shape>
          </v:group>
          <w10:wrap type="none"/>
        </w:pict>
      </w:r>
      <w:r>
        <w:rPr/>
        <w:pict>
          <v:shape style="position:absolute;margin-left:413.886993pt;margin-top:0pt;width:124.696pt;height:74.477249pt;mso-position-horizontal-relative:page;mso-position-vertical-relative:page;z-index:-153" type="#_x0000_t75">
            <v:imagedata r:id="rId5" o:title=""/>
          </v:shape>
        </w:pict>
      </w:r>
      <w:r>
        <w:rPr/>
        <w:pict>
          <v:group style="position:absolute;margin-left:55.748001pt;margin-top:71.830437pt;width:443.149pt;height:204.96pt;mso-position-horizontal-relative:page;mso-position-vertical-relative:paragraph;z-index:-152" coordorigin="1115,1437" coordsize="8863,4099">
            <v:shape style="position:absolute;left:1115;top:1437;width:8863;height:4099" type="#_x0000_t75">
              <v:imagedata r:id="rId6" o:title=""/>
            </v:shape>
            <v:group style="position:absolute;left:2629;top:2871;width:998;height:998" coordorigin="2629,2871" coordsize="998,998">
              <v:shape style="position:absolute;left:2629;top:2871;width:998;height:998" coordorigin="2629,2871" coordsize="998,998" path="m2990,2871l2677,3115,2629,3509,2873,3821,3266,3869,3579,3625,3627,3232,3383,2920,2990,2871e" filled="t" fillcolor="#FFFFFF" stroked="f">
                <v:path arrowok="t"/>
                <v:fill/>
              </v:shape>
            </v:group>
            <v:group style="position:absolute;left:1594;top:2878;width:1027;height:1027" coordorigin="1594,2878" coordsize="1027,1027">
              <v:shape style="position:absolute;left:1594;top:2878;width:1027;height:1027" coordorigin="1594,2878" coordsize="1027,1027" path="m2040,2878l1697,3076,1594,3459,1793,3802,2175,3905,2519,3707,2621,3324,2423,2981,2040,2878e" filled="t" fillcolor="#FFFFFF" stroked="f">
                <v:path arrowok="t"/>
                <v:fill/>
              </v:shape>
            </v:group>
            <v:group style="position:absolute;left:3600;top:2858;width:1027;height:1027" coordorigin="3600,2858" coordsize="1027,1027">
              <v:shape style="position:absolute;left:3600;top:2858;width:1027;height:1027" coordorigin="3600,2858" coordsize="1027,1027" path="m4046,2858l3703,3056,3600,3439,3798,3782,4181,3885,4524,3687,4627,3304,4429,2961,4046,2858e" filled="t" fillcolor="#FFFFFF" stroked="f">
                <v:path arrowok="t"/>
                <v:fill/>
              </v:shape>
            </v:group>
            <v:group style="position:absolute;left:4585;top:2887;width:998;height:998" coordorigin="4585,2887" coordsize="998,998">
              <v:shape style="position:absolute;left:4585;top:2887;width:998;height:998" coordorigin="4585,2887" coordsize="998,998" path="m4946,2887l4633,3131,4585,3524,4829,3836,5222,3885,5535,3641,5583,3247,5339,2935,4946,2887e" filled="t" fillcolor="#FFFFFF" stroked="f">
                <v:path arrowok="t"/>
                <v:fill/>
              </v:shape>
            </v:group>
            <v:group style="position:absolute;left:5465;top:2858;width:1027;height:1027" coordorigin="5465,2858" coordsize="1027,1027">
              <v:shape style="position:absolute;left:5465;top:2858;width:1027;height:1027" coordorigin="5465,2858" coordsize="1027,1027" path="m5911,2858l5568,3056,5465,3439,5663,3782,6046,3885,6389,3687,6492,3304,6294,2961,5911,2858e" filled="t" fillcolor="#FFFFFF" stroked="f">
                <v:path arrowok="t"/>
                <v:fill/>
              </v:shape>
            </v:group>
            <v:group style="position:absolute;left:6450;top:2887;width:998;height:998" coordorigin="6450,2887" coordsize="998,998">
              <v:shape style="position:absolute;left:6450;top:2887;width:998;height:998" coordorigin="6450,2887" coordsize="998,998" path="m6811,2887l6498,3131,6450,3524,6694,3836,7087,3885,7400,3641,7448,3247,7204,2935,6811,2887e" filled="t" fillcolor="#FFFFFF" stroked="f">
                <v:path arrowok="t"/>
                <v:fill/>
              </v:shape>
            </v:group>
            <v:group style="position:absolute;left:7393;top:2843;width:1027;height:1027" coordorigin="7393,2843" coordsize="1027,1027">
              <v:shape style="position:absolute;left:7393;top:2843;width:1027;height:1027" coordorigin="7393,2843" coordsize="1027,1027" path="m7838,2843l7495,3041,7393,3424,7591,3767,7974,3870,8317,3671,8419,3289,8221,2945,7838,2843e" filled="t" fillcolor="#FFFFFF" stroked="f">
                <v:path arrowok="t"/>
                <v:fill/>
              </v:shape>
            </v:group>
            <v:group style="position:absolute;left:8378;top:2872;width:998;height:998" coordorigin="8378,2872" coordsize="998,998">
              <v:shape style="position:absolute;left:8378;top:2872;width:998;height:998" coordorigin="8378,2872" coordsize="998,998" path="m8738,2872l8426,3116,8378,3509,8622,3821,9015,3870,9327,3626,9376,3232,9132,2920,8738,2872e" filled="t" fillcolor="#FFFFFF" stroked="f">
                <v:path arrowok="t"/>
                <v:fill/>
              </v:shape>
            </v:group>
            <w10:wrap type="none"/>
          </v:group>
        </w:pict>
      </w:r>
      <w:r>
        <w:rPr>
          <w:rFonts w:ascii="Noto Sans CJK TC Medium" w:hAnsi="Noto Sans CJK TC Medium" w:cs="Noto Sans CJK TC Medium" w:eastAsia="Noto Sans CJK TC Medium"/>
          <w:sz w:val="30"/>
          <w:szCs w:val="30"/>
          <w:color w:val="231F20"/>
          <w:spacing w:val="30"/>
        </w:rPr>
        <w:t>發行</w:t>
      </w:r>
      <w:r>
        <w:rPr>
          <w:rFonts w:ascii="Noto Sans CJK TC Medium" w:hAnsi="Noto Sans CJK TC Medium" w:cs="Noto Sans CJK TC Medium" w:eastAsia="Noto Sans CJK TC Medium"/>
          <w:sz w:val="30"/>
          <w:szCs w:val="30"/>
          <w:color w:val="231F20"/>
          <w:spacing w:val="0"/>
        </w:rPr>
        <w:t>公</w:t>
      </w:r>
      <w:r>
        <w:rPr>
          <w:rFonts w:ascii="Noto Sans CJK TC Medium" w:hAnsi="Noto Sans CJK TC Medium" w:cs="Noto Sans CJK TC Medium" w:eastAsia="Noto Sans CJK TC Medium"/>
          <w:sz w:val="30"/>
          <w:szCs w:val="30"/>
          <w:color w:val="231F20"/>
          <w:spacing w:val="-38"/>
        </w:rPr>
        <w:t> </w:t>
      </w:r>
      <w:r>
        <w:rPr>
          <w:rFonts w:ascii="Noto Sans CJK TC Medium" w:hAnsi="Noto Sans CJK TC Medium" w:cs="Noto Sans CJK TC Medium" w:eastAsia="Noto Sans CJK TC Medium"/>
          <w:sz w:val="30"/>
          <w:szCs w:val="30"/>
          <w:color w:val="231F20"/>
          <w:spacing w:val="0"/>
          <w:w w:val="100"/>
        </w:rPr>
        <w:t>司</w:t>
      </w:r>
      <w:r>
        <w:rPr>
          <w:rFonts w:ascii="Noto Sans CJK TC Medium" w:hAnsi="Noto Sans CJK TC Medium" w:cs="Noto Sans CJK TC Medium" w:eastAsia="Noto Sans CJK TC Medium"/>
          <w:sz w:val="30"/>
          <w:szCs w:val="30"/>
          <w:color w:val="231F20"/>
          <w:spacing w:val="0"/>
          <w:w w:val="100"/>
        </w:rPr>
        <w:t> </w:t>
      </w:r>
      <w:r>
        <w:rPr>
          <w:rFonts w:ascii="Noto Sans CJK TC Medium" w:hAnsi="Noto Sans CJK TC Medium" w:cs="Noto Sans CJK TC Medium" w:eastAsia="Noto Sans CJK TC Medium"/>
          <w:sz w:val="30"/>
          <w:szCs w:val="30"/>
          <w:color w:val="231F20"/>
          <w:spacing w:val="30"/>
          <w:w w:val="100"/>
        </w:rPr>
        <w:t>動態</w:t>
      </w:r>
      <w:r>
        <w:rPr>
          <w:rFonts w:ascii="Noto Sans CJK TC Medium" w:hAnsi="Noto Sans CJK TC Medium" w:cs="Noto Sans CJK TC Medium" w:eastAsia="Noto Sans CJK TC Medium"/>
          <w:sz w:val="30"/>
          <w:szCs w:val="30"/>
          <w:color w:val="231F20"/>
          <w:spacing w:val="0"/>
          <w:w w:val="100"/>
        </w:rPr>
        <w:t>報</w:t>
      </w:r>
      <w:r>
        <w:rPr>
          <w:rFonts w:ascii="Noto Sans CJK TC Medium" w:hAnsi="Noto Sans CJK TC Medium" w:cs="Noto Sans CJK TC Medium" w:eastAsia="Noto Sans CJK TC Medium"/>
          <w:sz w:val="30"/>
          <w:szCs w:val="30"/>
          <w:color w:val="231F20"/>
          <w:spacing w:val="-38"/>
          <w:w w:val="100"/>
        </w:rPr>
        <w:t> </w:t>
      </w:r>
      <w:r>
        <w:rPr>
          <w:rFonts w:ascii="Noto Sans CJK TC Medium" w:hAnsi="Noto Sans CJK TC Medium" w:cs="Noto Sans CJK TC Medium" w:eastAsia="Noto Sans CJK TC Medium"/>
          <w:sz w:val="30"/>
          <w:szCs w:val="30"/>
          <w:color w:val="231F20"/>
          <w:spacing w:val="0"/>
          <w:w w:val="100"/>
        </w:rPr>
        <w:t>導</w:t>
      </w:r>
      <w:r>
        <w:rPr>
          <w:rFonts w:ascii="Noto Sans CJK TC Medium" w:hAnsi="Noto Sans CJK TC Medium" w:cs="Noto Sans CJK TC Medium" w:eastAsia="Noto Sans CJK TC Medium"/>
          <w:sz w:val="30"/>
          <w:szCs w:val="3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795" w:lineRule="exact"/>
        <w:ind w:left="710" w:right="-20"/>
        <w:jc w:val="left"/>
        <w:rPr>
          <w:rFonts w:ascii="思源宋體 Heavy" w:hAnsi="思源宋體 Heavy" w:cs="思源宋體 Heavy" w:eastAsia="思源宋體 Heavy"/>
          <w:sz w:val="80"/>
          <w:szCs w:val="80"/>
        </w:rPr>
      </w:pPr>
      <w:rPr/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發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-38"/>
          <w:w w:val="100"/>
          <w:b/>
          <w:bCs/>
          <w:position w:val="7"/>
        </w:rPr>
        <w:t> 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行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-38"/>
          <w:w w:val="100"/>
          <w:b/>
          <w:bCs/>
          <w:position w:val="7"/>
        </w:rPr>
        <w:t> 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公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-38"/>
          <w:w w:val="100"/>
          <w:b/>
          <w:bCs/>
          <w:position w:val="7"/>
        </w:rPr>
        <w:t> 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司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-38"/>
          <w:w w:val="100"/>
          <w:b/>
          <w:bCs/>
          <w:position w:val="7"/>
        </w:rPr>
        <w:t> 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動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-38"/>
          <w:w w:val="100"/>
          <w:b/>
          <w:bCs/>
          <w:position w:val="7"/>
        </w:rPr>
        <w:t> 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態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-38"/>
          <w:w w:val="100"/>
          <w:b/>
          <w:bCs/>
          <w:position w:val="7"/>
        </w:rPr>
        <w:t> 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報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-38"/>
          <w:w w:val="100"/>
          <w:b/>
          <w:bCs/>
          <w:position w:val="7"/>
        </w:rPr>
        <w:t> </w:t>
      </w:r>
      <w:r>
        <w:rPr>
          <w:rFonts w:ascii="思源宋體 Heavy" w:hAnsi="思源宋體 Heavy" w:cs="思源宋體 Heavy" w:eastAsia="思源宋體 Heavy"/>
          <w:sz w:val="80"/>
          <w:szCs w:val="80"/>
          <w:color w:val="231F20"/>
          <w:spacing w:val="0"/>
          <w:w w:val="100"/>
          <w:b/>
          <w:bCs/>
          <w:position w:val="7"/>
        </w:rPr>
        <w:t>導</w:t>
      </w:r>
      <w:r>
        <w:rPr>
          <w:rFonts w:ascii="思源宋體 Heavy" w:hAnsi="思源宋體 Heavy" w:cs="思源宋體 Heavy" w:eastAsia="思源宋體 Heavy"/>
          <w:sz w:val="80"/>
          <w:szCs w:val="80"/>
          <w:color w:val="000000"/>
          <w:spacing w:val="0"/>
          <w:w w:val="100"/>
          <w:position w:val="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7" w:lineRule="exact"/>
        <w:ind w:left="11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b/>
          <w:bCs/>
          <w:position w:val="2"/>
        </w:rPr>
        <w:t>壹、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-64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公開發行公司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114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年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11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6"/>
          <w:w w:val="100"/>
          <w:b/>
          <w:bCs/>
          <w:position w:val="2"/>
        </w:rPr>
        <w:t> </w:t>
      </w:r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月份董事、監察人、經理人及持股超過百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410" w:lineRule="exact"/>
        <w:ind w:left="67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1"/>
        </w:rPr>
        <w:t>分之十股東申報轉讓持股彙總表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6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681" w:right="524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網站查詢路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8"/>
          <w:w w:val="100"/>
        </w:rPr>
        <w:t>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6"/>
          <w:w w:val="100"/>
        </w:rPr>
        <w:t>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「公開資訊觀測站網站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8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∕基本資料∕董監大股東持股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8"/>
          <w:w w:val="100"/>
        </w:rPr>
        <w:t>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質押、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轉讓∕股權轉讓資料查詢∕上市公司持股轉讓日報表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8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1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貳、公開發行公司∕未結申報生效案件辦理情形彙總表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</w:rPr>
      </w:r>
    </w:p>
    <w:p>
      <w:pPr>
        <w:spacing w:before="6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624" w:right="584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網站查詢路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證期局網站∕便民服務∕申辦案件∕受理申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（請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案件情形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查詢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5" w:after="0" w:line="240" w:lineRule="auto"/>
        <w:ind w:left="114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參、現金增資案件彙總表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681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網站查詢路徑：同上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1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4" w:lineRule="exact"/>
        <w:ind w:right="475"/>
        <w:jc w:val="right"/>
        <w:rPr>
          <w:rFonts w:ascii="思源宋體 TW" w:hAnsi="思源宋體 TW" w:cs="思源宋體 TW" w:eastAsia="思源宋體 TW"/>
          <w:sz w:val="20"/>
          <w:szCs w:val="20"/>
        </w:rPr>
      </w:pPr>
      <w:rPr/>
      <w:r>
        <w:rPr>
          <w:rFonts w:ascii="思源宋體 TW" w:hAnsi="思源宋體 TW" w:cs="思源宋體 TW" w:eastAsia="思源宋體 TW"/>
          <w:sz w:val="20"/>
          <w:szCs w:val="20"/>
          <w:color w:val="231F20"/>
          <w:spacing w:val="0"/>
          <w:w w:val="100"/>
          <w:position w:val="1"/>
        </w:rPr>
        <w:t>51</w:t>
      </w:r>
      <w:r>
        <w:rPr>
          <w:rFonts w:ascii="思源宋體 TW" w:hAnsi="思源宋體 TW" w:cs="思源宋體 TW" w:eastAsia="思源宋體 TW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61" w:after="0" w:line="240" w:lineRule="auto"/>
        <w:ind w:right="85"/>
        <w:jc w:val="right"/>
        <w:rPr>
          <w:rFonts w:ascii="思源宋體 TW" w:hAnsi="思源宋體 TW" w:cs="思源宋體 TW" w:eastAsia="思源宋體 TW"/>
          <w:sz w:val="14"/>
          <w:szCs w:val="14"/>
        </w:rPr>
      </w:pPr>
      <w:rPr/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0"/>
          <w:w w:val="100"/>
        </w:rPr>
        <w:t>2025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-1"/>
          <w:w w:val="100"/>
        </w:rPr>
        <w:t> 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0"/>
          <w:w w:val="100"/>
        </w:rPr>
        <w:t>年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-1"/>
          <w:w w:val="100"/>
        </w:rPr>
        <w:t> 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0"/>
          <w:w w:val="100"/>
        </w:rPr>
        <w:t>12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-1"/>
          <w:w w:val="100"/>
        </w:rPr>
        <w:t> 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0"/>
          <w:w w:val="100"/>
        </w:rPr>
        <w:t>月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-1"/>
          <w:w w:val="100"/>
        </w:rPr>
        <w:t> 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0"/>
          <w:w w:val="100"/>
        </w:rPr>
        <w:t>16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-1"/>
          <w:w w:val="100"/>
        </w:rPr>
        <w:t> 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0"/>
          <w:w w:val="100"/>
        </w:rPr>
        <w:t>日出版</w:t>
      </w:r>
      <w:r>
        <w:rPr>
          <w:rFonts w:ascii="思源宋體 TW" w:hAnsi="思源宋體 TW" w:cs="思源宋體 TW" w:eastAsia="思源宋體 TW"/>
          <w:sz w:val="14"/>
          <w:szCs w:val="14"/>
          <w:color w:val="000000"/>
          <w:spacing w:val="0"/>
          <w:w w:val="100"/>
        </w:rPr>
      </w:r>
    </w:p>
    <w:p>
      <w:pPr>
        <w:jc w:val="right"/>
        <w:spacing w:after="0"/>
        <w:sectPr>
          <w:type w:val="continuous"/>
          <w:pgSz w:w="10780" w:h="14760"/>
          <w:pgMar w:top="360" w:bottom="280" w:left="1020" w:right="300"/>
        </w:sectPr>
      </w:pPr>
      <w:rPr/>
    </w:p>
    <w:p>
      <w:pPr>
        <w:spacing w:before="0" w:after="0" w:line="258" w:lineRule="exact"/>
        <w:ind w:left="112" w:right="-20"/>
        <w:jc w:val="left"/>
        <w:rPr>
          <w:rFonts w:ascii="思源宋體 TW Light" w:hAnsi="思源宋體 TW Light" w:cs="思源宋體 TW Light" w:eastAsia="思源宋體 TW Light"/>
          <w:sz w:val="17"/>
          <w:szCs w:val="17"/>
        </w:rPr>
      </w:pPr>
      <w:rPr/>
      <w:r>
        <w:rPr/>
        <w:pict>
          <v:group style="position:absolute;margin-left:34.582699pt;margin-top:14.6364pt;width:142.579pt;height:.1pt;mso-position-horizontal-relative:page;mso-position-vertical-relative:paragraph;z-index:-151" coordorigin="692,293" coordsize="2852,2">
            <v:shape style="position:absolute;left:692;top:293;width:2852;height:2" coordorigin="692,293" coordsize="2852,0" path="m692,293l3543,293e" filled="f" stroked="t" strokeweight=".45pt" strokecolor="#231F20">
              <v:path arrowok="t"/>
            </v:shape>
          </v:group>
          <w10:wrap type="none"/>
        </w:pict>
      </w:r>
      <w:r>
        <w:rPr/>
        <w:pict>
          <v:group style="position:absolute;margin-left:.0pt;margin-top:688.8255pt;width:52.4406pt;height:.1pt;mso-position-horizontal-relative:page;mso-position-vertical-relative:page;z-index:-150" coordorigin="0,13777" coordsize="1049,2">
            <v:shape style="position:absolute;left:0;top:13777;width:1049;height:2" coordorigin="0,13777" coordsize="1049,0" path="m726,13777l1774,13777e" filled="f" stroked="t" strokeweight=".75pt" strokecolor="#231F20">
              <v:path arrowok="t"/>
            </v:shape>
          </v:group>
          <w10:wrap type="none"/>
        </w:pict>
      </w:r>
      <w:r>
        <w:rPr>
          <w:rFonts w:ascii="思源宋體 TW Light" w:hAnsi="思源宋體 TW Light" w:cs="思源宋體 TW Light" w:eastAsia="思源宋體 TW Light"/>
          <w:sz w:val="17"/>
          <w:szCs w:val="17"/>
          <w:color w:val="231F20"/>
          <w:spacing w:val="0"/>
          <w:w w:val="100"/>
        </w:rPr>
        <w:t>證券暨期貨月刊</w:t>
      </w:r>
      <w:r>
        <w:rPr>
          <w:rFonts w:ascii="思源宋體 TW Light" w:hAnsi="思源宋體 TW Light" w:cs="思源宋體 TW Light" w:eastAsia="思源宋體 TW Light"/>
          <w:sz w:val="17"/>
          <w:szCs w:val="17"/>
          <w:color w:val="231F20"/>
          <w:spacing w:val="0"/>
          <w:w w:val="100"/>
        </w:rPr>
        <w:t> </w:t>
      </w:r>
      <w:r>
        <w:rPr>
          <w:rFonts w:ascii="思源宋體 TW Light" w:hAnsi="思源宋體 TW Light" w:cs="思源宋體 TW Light" w:eastAsia="思源宋體 TW Light"/>
          <w:sz w:val="17"/>
          <w:szCs w:val="17"/>
          <w:color w:val="231F20"/>
          <w:spacing w:val="44"/>
          <w:w w:val="100"/>
        </w:rPr>
        <w:t> </w:t>
      </w:r>
      <w:r>
        <w:rPr>
          <w:rFonts w:ascii="思源宋體 TW Light" w:hAnsi="思源宋體 TW Light" w:cs="思源宋體 TW Light" w:eastAsia="思源宋體 TW Light"/>
          <w:sz w:val="17"/>
          <w:szCs w:val="17"/>
          <w:color w:val="231F20"/>
          <w:spacing w:val="0"/>
          <w:w w:val="100"/>
        </w:rPr>
        <w:t>第四十三卷第十二期</w:t>
      </w:r>
      <w:r>
        <w:rPr>
          <w:rFonts w:ascii="思源宋體 TW Light" w:hAnsi="思源宋體 TW Light" w:cs="思源宋體 TW Light" w:eastAsia="思源宋體 TW Light"/>
          <w:sz w:val="17"/>
          <w:szCs w:val="17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27" w:lineRule="exact"/>
        <w:ind w:left="270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  <w:position w:val="2"/>
        </w:rPr>
        <w:t>肆、停止申報生效案件彙總表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837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網站查詢路徑：同上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70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伍、退件案件彙總表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837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網站查詢路徑：同上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70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陸、廢止（撤銷）案件彙總表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837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網站查詢路徑：同上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70" w:right="-20"/>
        <w:jc w:val="left"/>
        <w:rPr>
          <w:rFonts w:ascii="思源黑體 Bold" w:hAnsi="思源黑體 Bold" w:cs="思源黑體 Bold" w:eastAsia="思源黑體 Bold"/>
          <w:sz w:val="28"/>
          <w:szCs w:val="28"/>
        </w:rPr>
      </w:pPr>
      <w:rPr/>
      <w:r>
        <w:rPr>
          <w:rFonts w:ascii="思源黑體 Bold" w:hAnsi="思源黑體 Bold" w:cs="思源黑體 Bold" w:eastAsia="思源黑體 Bold"/>
          <w:sz w:val="28"/>
          <w:szCs w:val="28"/>
          <w:color w:val="231F20"/>
          <w:spacing w:val="0"/>
          <w:w w:val="100"/>
          <w:b/>
          <w:bCs/>
        </w:rPr>
        <w:t>柒、自行撤回案件彙總表</w:t>
      </w:r>
      <w:r>
        <w:rPr>
          <w:rFonts w:ascii="思源黑體 Bold" w:hAnsi="思源黑體 Bold" w:cs="思源黑體 Bold" w:eastAsia="思源黑體 Bold"/>
          <w:sz w:val="28"/>
          <w:szCs w:val="28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837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網站查詢路徑：同上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4" w:lineRule="exact"/>
        <w:ind w:left="261" w:right="-20"/>
        <w:jc w:val="left"/>
        <w:rPr>
          <w:rFonts w:ascii="思源宋體 TW" w:hAnsi="思源宋體 TW" w:cs="思源宋體 TW" w:eastAsia="思源宋體 TW"/>
          <w:sz w:val="20"/>
          <w:szCs w:val="20"/>
        </w:rPr>
      </w:pPr>
      <w:rPr/>
      <w:r>
        <w:rPr>
          <w:rFonts w:ascii="思源宋體 TW" w:hAnsi="思源宋體 TW" w:cs="思源宋體 TW" w:eastAsia="思源宋體 TW"/>
          <w:sz w:val="20"/>
          <w:szCs w:val="20"/>
          <w:color w:val="231F20"/>
          <w:spacing w:val="0"/>
          <w:w w:val="100"/>
          <w:position w:val="1"/>
        </w:rPr>
        <w:t>52</w:t>
      </w:r>
      <w:r>
        <w:rPr>
          <w:rFonts w:ascii="思源宋體 TW" w:hAnsi="思源宋體 TW" w:cs="思源宋體 TW" w:eastAsia="思源宋體 TW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61" w:after="0" w:line="240" w:lineRule="auto"/>
        <w:ind w:left="100" w:right="-20"/>
        <w:jc w:val="left"/>
        <w:rPr>
          <w:rFonts w:ascii="思源宋體 TW" w:hAnsi="思源宋體 TW" w:cs="思源宋體 TW" w:eastAsia="思源宋體 TW"/>
          <w:sz w:val="14"/>
          <w:szCs w:val="14"/>
        </w:rPr>
      </w:pPr>
      <w:rPr/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0"/>
          <w:w w:val="100"/>
        </w:rPr>
        <w:t>2025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-1"/>
          <w:w w:val="100"/>
        </w:rPr>
        <w:t> 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0"/>
          <w:w w:val="100"/>
        </w:rPr>
        <w:t>年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-1"/>
          <w:w w:val="100"/>
        </w:rPr>
        <w:t> 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0"/>
          <w:w w:val="100"/>
        </w:rPr>
        <w:t>12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-1"/>
          <w:w w:val="100"/>
        </w:rPr>
        <w:t> 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0"/>
          <w:w w:val="100"/>
        </w:rPr>
        <w:t>月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-1"/>
          <w:w w:val="100"/>
        </w:rPr>
        <w:t> 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0"/>
          <w:w w:val="100"/>
        </w:rPr>
        <w:t>16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-1"/>
          <w:w w:val="100"/>
        </w:rPr>
        <w:t> </w:t>
      </w:r>
      <w:r>
        <w:rPr>
          <w:rFonts w:ascii="思源宋體 TW" w:hAnsi="思源宋體 TW" w:cs="思源宋體 TW" w:eastAsia="思源宋體 TW"/>
          <w:sz w:val="14"/>
          <w:szCs w:val="14"/>
          <w:color w:val="231F20"/>
          <w:spacing w:val="0"/>
          <w:w w:val="100"/>
        </w:rPr>
        <w:t>日出版</w:t>
      </w:r>
      <w:r>
        <w:rPr>
          <w:rFonts w:ascii="思源宋體 TW" w:hAnsi="思源宋體 TW" w:cs="思源宋體 TW" w:eastAsia="思源宋體 TW"/>
          <w:sz w:val="14"/>
          <w:szCs w:val="14"/>
          <w:color w:val="000000"/>
          <w:spacing w:val="0"/>
          <w:w w:val="100"/>
        </w:rPr>
      </w:r>
    </w:p>
    <w:sectPr>
      <w:pgSz w:w="10780" w:h="14760"/>
      <w:pgMar w:top="840" w:bottom="280" w:left="580" w:right="15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思源宋體 TW">
    <w:altName w:val="思源宋體 TW"/>
    <w:charset w:val="128"/>
    <w:family w:val="roman"/>
    <w:pitch w:val="variable"/>
  </w:font>
  <w:font w:name="Noto Sans CJK TC Medium">
    <w:altName w:val="Noto Sans CJK TC Medium"/>
    <w:charset w:val="128"/>
    <w:family w:val="swiss"/>
    <w:pitch w:val="variable"/>
  </w:font>
  <w:font w:name="思源宋體 Heavy">
    <w:altName w:val="思源宋體 Heavy"/>
    <w:charset w:val="128"/>
    <w:family w:val="roman"/>
    <w:pitch w:val="variable"/>
  </w:font>
  <w:font w:name="思源黑體 Bold">
    <w:altName w:val="思源黑體 Bold"/>
    <w:charset w:val="128"/>
    <w:family w:val="swiss"/>
    <w:pitch w:val="variable"/>
  </w:font>
  <w:font w:name="思源宋體">
    <w:altName w:val="思源宋體"/>
    <w:charset w:val="128"/>
    <w:family w:val="roman"/>
    <w:pitch w:val="variable"/>
  </w:font>
  <w:font w:name="Noto Sans CJK TC Black">
    <w:altName w:val="Noto Sans CJK TC Black"/>
    <w:charset w:val="128"/>
    <w:family w:val="swiss"/>
    <w:pitch w:val="variable"/>
  </w:font>
  <w:font w:name="思源宋體 TW Light">
    <w:altName w:val="思源宋體 TW Light"/>
    <w:charset w:val="128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2025-12-11T09:10:37Z</dcterms:created>
  <dcterms:modified xsi:type="dcterms:W3CDTF">2025-12-11T09:10:37Z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2025-12-11T00:00:00Z</vt:filetime>
  </property>
  <property fmtid="{D5CDD505-2E9C-101B-9397-08002B2CF9AE}" pid="3" name="LastSaved">
    <vt:filetime>2025-12-11T00:00:00Z</vt:filetime>
  </property>
</Properties>
</file>