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FDF" w:rsidRPr="0022397A" w:rsidRDefault="005D2D82" w:rsidP="00443FDB">
      <w:pPr>
        <w:widowControl/>
        <w:spacing w:line="440" w:lineRule="exact"/>
        <w:rPr>
          <w:rFonts w:ascii="標楷體" w:eastAsia="標楷體" w:hAnsi="標楷體" w:cs="新細明體"/>
          <w:b/>
          <w:bCs/>
          <w:kern w:val="0"/>
          <w:sz w:val="36"/>
          <w:szCs w:val="36"/>
          <w:shd w:val="pct15" w:color="auto" w:fill="FFFFFF"/>
          <w14:shadow w14:blurRad="50800" w14:dist="38100" w14:dir="2700000" w14:sx="100000" w14:sy="100000" w14:kx="0" w14:ky="0" w14:algn="tl">
            <w14:srgbClr w14:val="000000">
              <w14:alpha w14:val="60000"/>
            </w14:srgbClr>
          </w14:shadow>
        </w:rPr>
      </w:pPr>
      <w:r>
        <w:rPr>
          <w:rFonts w:ascii="標楷體" w:eastAsia="標楷體" w:hAnsi="標楷體" w:cs="新細明體" w:hint="eastAsia"/>
          <w:b/>
          <w:kern w:val="0"/>
          <w:sz w:val="32"/>
          <w:szCs w:val="32"/>
          <w:shd w:val="pct15" w:color="auto" w:fill="FFFFFF"/>
        </w:rPr>
        <w:t>非法證券商仲介未上市</w:t>
      </w:r>
      <w:r w:rsidRPr="005D2D82">
        <w:rPr>
          <w:rFonts w:ascii="標楷體" w:eastAsia="標楷體" w:hAnsi="標楷體" w:cs="新細明體" w:hint="eastAsia"/>
          <w:b/>
          <w:kern w:val="0"/>
          <w:sz w:val="32"/>
          <w:szCs w:val="32"/>
          <w:shd w:val="pct15" w:color="auto" w:fill="FFFFFF"/>
        </w:rPr>
        <w:t>(櫃)</w:t>
      </w:r>
      <w:r>
        <w:rPr>
          <w:rFonts w:ascii="標楷體" w:eastAsia="標楷體" w:hAnsi="標楷體" w:cs="新細明體" w:hint="eastAsia"/>
          <w:b/>
          <w:kern w:val="0"/>
          <w:sz w:val="32"/>
          <w:szCs w:val="32"/>
          <w:shd w:val="pct15" w:color="auto" w:fill="FFFFFF"/>
        </w:rPr>
        <w:t>有價證券</w:t>
      </w:r>
    </w:p>
    <w:p w:rsidR="00611C8F" w:rsidRDefault="0002715B" w:rsidP="00611C8F">
      <w:pPr>
        <w:widowControl/>
        <w:tabs>
          <w:tab w:val="left" w:pos="360"/>
        </w:tabs>
        <w:spacing w:line="600" w:lineRule="exact"/>
        <w:ind w:left="1602" w:hangingChars="500" w:hanging="1602"/>
        <w:jc w:val="both"/>
        <w:rPr>
          <w:rFonts w:ascii="標楷體" w:eastAsia="標楷體" w:hAnsi="標楷體" w:cs="新細明體"/>
          <w:b/>
          <w:kern w:val="0"/>
          <w:sz w:val="32"/>
          <w:szCs w:val="32"/>
        </w:rPr>
      </w:pPr>
      <w:r w:rsidRPr="00B3519F">
        <w:rPr>
          <w:rFonts w:ascii="標楷體" w:eastAsia="標楷體" w:hAnsi="標楷體" w:cs="新細明體" w:hint="eastAsia"/>
          <w:b/>
          <w:kern w:val="0"/>
          <w:sz w:val="32"/>
          <w:szCs w:val="32"/>
        </w:rPr>
        <w:t>一、案例</w:t>
      </w:r>
      <w:r w:rsidR="00A00185">
        <w:rPr>
          <w:rFonts w:ascii="標楷體" w:eastAsia="標楷體" w:hAnsi="標楷體" w:cs="新細明體" w:hint="eastAsia"/>
          <w:b/>
          <w:kern w:val="0"/>
          <w:sz w:val="32"/>
          <w:szCs w:val="32"/>
        </w:rPr>
        <w:t>：</w:t>
      </w:r>
    </w:p>
    <w:p w:rsidR="00FB260E" w:rsidRPr="005D2D82" w:rsidRDefault="00FB260E" w:rsidP="002A1518">
      <w:pPr>
        <w:widowControl/>
        <w:spacing w:line="600" w:lineRule="exact"/>
        <w:ind w:leftChars="295" w:left="708"/>
        <w:jc w:val="both"/>
        <w:rPr>
          <w:rFonts w:ascii="標楷體" w:eastAsia="標楷體" w:hAnsi="標楷體" w:cs="新細明體"/>
          <w:kern w:val="0"/>
          <w:sz w:val="32"/>
          <w:szCs w:val="32"/>
        </w:rPr>
      </w:pPr>
      <w:r w:rsidRPr="005D2D82">
        <w:rPr>
          <w:rFonts w:ascii="標楷體" w:eastAsia="標楷體" w:hAnsi="標楷體" w:cs="新細明體"/>
          <w:kern w:val="0"/>
          <w:sz w:val="32"/>
          <w:szCs w:val="32"/>
        </w:rPr>
        <w:t>某</w:t>
      </w:r>
      <w:r w:rsidRPr="005D2D82">
        <w:rPr>
          <w:rFonts w:ascii="標楷體" w:eastAsia="標楷體" w:hAnsi="標楷體" w:cs="新細明體" w:hint="eastAsia"/>
          <w:kern w:val="0"/>
          <w:sz w:val="32"/>
          <w:szCs w:val="32"/>
        </w:rPr>
        <w:t>資訊公司/投資公司</w:t>
      </w:r>
      <w:r w:rsidR="006E4DC3" w:rsidRPr="005D2D82">
        <w:rPr>
          <w:rFonts w:ascii="標楷體" w:eastAsia="標楷體" w:hAnsi="標楷體" w:cs="新細明體" w:hint="eastAsia"/>
          <w:kern w:val="0"/>
          <w:sz w:val="32"/>
          <w:szCs w:val="32"/>
        </w:rPr>
        <w:t>透過撥打電話、</w:t>
      </w:r>
      <w:r w:rsidRPr="005D2D82">
        <w:rPr>
          <w:rFonts w:ascii="標楷體" w:eastAsia="標楷體" w:hAnsi="標楷體" w:cs="新細明體" w:hint="eastAsia"/>
          <w:kern w:val="0"/>
          <w:sz w:val="32"/>
          <w:szCs w:val="32"/>
        </w:rPr>
        <w:t>召開說明會</w:t>
      </w:r>
      <w:r w:rsidR="005D2D82" w:rsidRPr="005D2D82">
        <w:rPr>
          <w:rFonts w:ascii="標楷體" w:eastAsia="標楷體" w:hAnsi="標楷體" w:cs="新細明體" w:hint="eastAsia"/>
          <w:kern w:val="0"/>
          <w:sz w:val="32"/>
          <w:szCs w:val="32"/>
        </w:rPr>
        <w:t>或</w:t>
      </w:r>
      <w:r w:rsidR="006E4DC3" w:rsidRPr="005D2D82">
        <w:rPr>
          <w:rFonts w:ascii="標楷體" w:eastAsia="標楷體" w:hAnsi="標楷體" w:cs="新細明體" w:hint="eastAsia"/>
          <w:kern w:val="0"/>
          <w:sz w:val="32"/>
          <w:szCs w:val="32"/>
        </w:rPr>
        <w:t>透過網路</w:t>
      </w:r>
      <w:r w:rsidR="005D2D82" w:rsidRPr="005D2D82">
        <w:rPr>
          <w:rFonts w:ascii="標楷體" w:eastAsia="標楷體" w:hAnsi="標楷體" w:cs="新細明體" w:hint="eastAsia"/>
          <w:kern w:val="0"/>
          <w:sz w:val="32"/>
          <w:szCs w:val="32"/>
        </w:rPr>
        <w:t>、</w:t>
      </w:r>
      <w:r w:rsidR="006E4DC3" w:rsidRPr="005D2D82">
        <w:rPr>
          <w:rFonts w:ascii="標楷體" w:eastAsia="標楷體" w:hAnsi="標楷體" w:cs="新細明體" w:hint="eastAsia"/>
          <w:kern w:val="0"/>
          <w:sz w:val="32"/>
          <w:szCs w:val="32"/>
        </w:rPr>
        <w:t>媒體發表言論</w:t>
      </w:r>
      <w:r w:rsidRPr="005D2D82">
        <w:rPr>
          <w:rFonts w:ascii="標楷體" w:eastAsia="標楷體" w:hAnsi="標楷體" w:cs="新細明體" w:hint="eastAsia"/>
          <w:kern w:val="0"/>
          <w:sz w:val="32"/>
          <w:szCs w:val="32"/>
        </w:rPr>
        <w:t>等方式，推銷未上市(櫃)公司股票，聲稱</w:t>
      </w:r>
      <w:r w:rsidR="005D2D82">
        <w:rPr>
          <w:rFonts w:ascii="標楷體" w:eastAsia="標楷體" w:hAnsi="標楷體" w:cs="新細明體" w:hint="eastAsia"/>
          <w:kern w:val="0"/>
          <w:sz w:val="32"/>
          <w:szCs w:val="32"/>
        </w:rPr>
        <w:t>該等</w:t>
      </w:r>
      <w:r w:rsidRPr="005D2D82">
        <w:rPr>
          <w:rFonts w:ascii="標楷體" w:eastAsia="標楷體" w:hAnsi="標楷體" w:cs="新細明體" w:hint="eastAsia"/>
          <w:kern w:val="0"/>
          <w:sz w:val="32"/>
          <w:szCs w:val="32"/>
        </w:rPr>
        <w:t>公司產業前景看好，預計將陸續上市(櫃)交易，並提供相關投資營運計畫書</w:t>
      </w:r>
      <w:r w:rsidR="006E4DC3" w:rsidRPr="005D2D82">
        <w:rPr>
          <w:rFonts w:ascii="標楷體" w:eastAsia="標楷體" w:hAnsi="標楷體" w:cs="新細明體" w:hint="eastAsia"/>
          <w:kern w:val="0"/>
          <w:sz w:val="32"/>
          <w:szCs w:val="32"/>
        </w:rPr>
        <w:t>或投資評估報告</w:t>
      </w:r>
      <w:r w:rsidRPr="005D2D82">
        <w:rPr>
          <w:rFonts w:ascii="標楷體" w:eastAsia="標楷體" w:hAnsi="標楷體" w:cs="新細明體" w:hint="eastAsia"/>
          <w:kern w:val="0"/>
          <w:sz w:val="32"/>
          <w:szCs w:val="32"/>
        </w:rPr>
        <w:t>等宣傳文件，</w:t>
      </w:r>
      <w:r w:rsidR="006E4DC3" w:rsidRPr="005D2D82">
        <w:rPr>
          <w:rFonts w:ascii="標楷體" w:eastAsia="標楷體" w:hAnsi="標楷體" w:cs="新細明體" w:hint="eastAsia"/>
          <w:kern w:val="0"/>
          <w:sz w:val="32"/>
          <w:szCs w:val="32"/>
        </w:rPr>
        <w:t>告稱投資人如能先買進這些未上市(櫃)公司股票，將來股價必然大漲並獲取高額利益，鼓吹不知情的投資大眾買進未上市櫃公司股票。</w:t>
      </w:r>
    </w:p>
    <w:p w:rsidR="00B5666A" w:rsidRPr="00B5666A" w:rsidRDefault="00611C8F" w:rsidP="00611C8F">
      <w:pPr>
        <w:widowControl/>
        <w:tabs>
          <w:tab w:val="left" w:pos="360"/>
        </w:tabs>
        <w:spacing w:line="600" w:lineRule="exact"/>
        <w:jc w:val="both"/>
        <w:rPr>
          <w:rFonts w:ascii="標楷體" w:eastAsia="標楷體" w:hAnsi="標楷體" w:cs="新細明體"/>
          <w:b/>
          <w:kern w:val="0"/>
          <w:sz w:val="32"/>
          <w:szCs w:val="32"/>
        </w:rPr>
      </w:pPr>
      <w:r>
        <w:rPr>
          <w:rFonts w:ascii="標楷體" w:eastAsia="標楷體" w:hAnsi="標楷體" w:cs="新細明體" w:hint="eastAsia"/>
          <w:kern w:val="0"/>
          <w:sz w:val="32"/>
          <w:szCs w:val="32"/>
        </w:rPr>
        <w:t>二、</w:t>
      </w:r>
      <w:r w:rsidR="00B5666A" w:rsidRPr="00611C8F">
        <w:rPr>
          <w:rFonts w:ascii="標楷體" w:eastAsia="標楷體" w:hAnsi="標楷體" w:cs="新細明體" w:hint="eastAsia"/>
          <w:b/>
          <w:kern w:val="0"/>
          <w:sz w:val="32"/>
          <w:szCs w:val="32"/>
        </w:rPr>
        <w:t>案例</w:t>
      </w:r>
      <w:r w:rsidR="00B5666A" w:rsidRPr="00B5666A">
        <w:rPr>
          <w:rFonts w:ascii="標楷體" w:eastAsia="標楷體" w:hAnsi="標楷體" w:cs="新細明體" w:hint="eastAsia"/>
          <w:b/>
          <w:kern w:val="0"/>
          <w:sz w:val="32"/>
          <w:szCs w:val="32"/>
        </w:rPr>
        <w:t>分析：</w:t>
      </w:r>
    </w:p>
    <w:p w:rsidR="005D2D82" w:rsidRPr="002A1518" w:rsidRDefault="00B5666A" w:rsidP="005D2D82">
      <w:pPr>
        <w:widowControl/>
        <w:numPr>
          <w:ilvl w:val="0"/>
          <w:numId w:val="25"/>
        </w:numPr>
        <w:tabs>
          <w:tab w:val="left" w:pos="360"/>
        </w:tabs>
        <w:spacing w:line="600" w:lineRule="exact"/>
        <w:ind w:left="993" w:hanging="709"/>
        <w:jc w:val="both"/>
        <w:rPr>
          <w:rFonts w:ascii="標楷體" w:eastAsia="標楷體" w:hAnsi="標楷體" w:cs="新細明體"/>
          <w:kern w:val="0"/>
          <w:sz w:val="32"/>
          <w:szCs w:val="32"/>
        </w:rPr>
      </w:pPr>
      <w:r w:rsidRPr="002A1518">
        <w:rPr>
          <w:rFonts w:ascii="標楷體" w:eastAsia="標楷體" w:hAnsi="標楷體" w:cs="新細明體"/>
          <w:kern w:val="0"/>
          <w:sz w:val="32"/>
          <w:szCs w:val="32"/>
        </w:rPr>
        <w:t>坊間常見有許多財務投資公司</w:t>
      </w:r>
      <w:r w:rsidRPr="002A1518">
        <w:rPr>
          <w:rFonts w:ascii="標楷體" w:eastAsia="標楷體" w:hAnsi="標楷體" w:cs="新細明體" w:hint="eastAsia"/>
          <w:kern w:val="0"/>
          <w:sz w:val="32"/>
          <w:szCs w:val="32"/>
        </w:rPr>
        <w:t>、</w:t>
      </w:r>
      <w:r w:rsidRPr="002A1518">
        <w:rPr>
          <w:rFonts w:ascii="標楷體" w:eastAsia="標楷體" w:hAnsi="標楷體" w:cs="新細明體"/>
          <w:kern w:val="0"/>
          <w:sz w:val="32"/>
          <w:szCs w:val="32"/>
        </w:rPr>
        <w:t>財務顧問公司、資訊公司</w:t>
      </w:r>
      <w:r w:rsidRPr="002A1518">
        <w:rPr>
          <w:rFonts w:ascii="標楷體" w:eastAsia="標楷體" w:hAnsi="標楷體" w:cs="新細明體" w:hint="eastAsia"/>
          <w:kern w:val="0"/>
          <w:sz w:val="32"/>
          <w:szCs w:val="32"/>
        </w:rPr>
        <w:t>等，以未上市(櫃)公司獲利能力佳，產業前景看好，未來並計畫以股票上市(櫃)方式對外公開募集資金來拓展業務規模，如能事先購買這些公司股票，將來這些公司完成上市(櫃)後股價將倍數成長，</w:t>
      </w:r>
      <w:r w:rsidR="005D2D82" w:rsidRPr="002A1518">
        <w:rPr>
          <w:rFonts w:ascii="標楷體" w:eastAsia="標楷體" w:hAnsi="標楷體" w:cs="新細明體" w:hint="eastAsia"/>
          <w:kern w:val="0"/>
          <w:sz w:val="32"/>
          <w:szCs w:val="32"/>
        </w:rPr>
        <w:t>吸引投資大眾並仲介投資人買進該未上市(櫃)股票。</w:t>
      </w:r>
    </w:p>
    <w:p w:rsidR="00B5666A" w:rsidRPr="00B5666A" w:rsidRDefault="00B5666A" w:rsidP="00B5666A">
      <w:pPr>
        <w:widowControl/>
        <w:numPr>
          <w:ilvl w:val="0"/>
          <w:numId w:val="25"/>
        </w:numPr>
        <w:tabs>
          <w:tab w:val="left" w:pos="360"/>
        </w:tabs>
        <w:spacing w:line="600" w:lineRule="exact"/>
        <w:ind w:left="993" w:hanging="709"/>
        <w:jc w:val="both"/>
        <w:rPr>
          <w:rFonts w:ascii="標楷體" w:eastAsia="標楷體" w:hAnsi="標楷體" w:cs="新細明體"/>
          <w:kern w:val="0"/>
          <w:sz w:val="32"/>
          <w:szCs w:val="32"/>
        </w:rPr>
      </w:pPr>
      <w:r w:rsidRPr="00B5666A">
        <w:rPr>
          <w:rFonts w:ascii="標楷體" w:eastAsia="標楷體" w:hAnsi="標楷體" w:cs="新細明體"/>
          <w:kern w:val="0"/>
          <w:sz w:val="32"/>
          <w:szCs w:val="32"/>
        </w:rPr>
        <w:t>依</w:t>
      </w:r>
      <w:r w:rsidRPr="00B5666A">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B5666A">
        <w:rPr>
          <w:rFonts w:ascii="標楷體" w:eastAsia="標楷體" w:hAnsi="標楷體" w:cs="新細明體"/>
          <w:kern w:val="0"/>
          <w:sz w:val="32"/>
          <w:szCs w:val="32"/>
        </w:rPr>
        <w:t>。未經許可擅自經營</w:t>
      </w:r>
      <w:r w:rsidRPr="00B5666A">
        <w:rPr>
          <w:rFonts w:ascii="標楷體" w:eastAsia="標楷體" w:hAnsi="標楷體" w:cs="新細明體" w:hint="eastAsia"/>
          <w:kern w:val="0"/>
          <w:sz w:val="32"/>
          <w:szCs w:val="32"/>
        </w:rPr>
        <w:t>證券業務</w:t>
      </w:r>
      <w:r w:rsidRPr="00B5666A">
        <w:rPr>
          <w:rFonts w:ascii="標楷體" w:eastAsia="標楷體" w:hAnsi="標楷體" w:cs="新細明體"/>
          <w:kern w:val="0"/>
          <w:sz w:val="32"/>
          <w:szCs w:val="32"/>
        </w:rPr>
        <w:t>者，依</w:t>
      </w:r>
      <w:r w:rsidRPr="00B5666A">
        <w:rPr>
          <w:rFonts w:ascii="標楷體" w:eastAsia="標楷體" w:hAnsi="標楷體" w:cs="新細明體" w:hint="eastAsia"/>
          <w:kern w:val="0"/>
          <w:sz w:val="32"/>
          <w:szCs w:val="32"/>
        </w:rPr>
        <w:t>證券</w:t>
      </w:r>
      <w:r w:rsidRPr="00B5666A">
        <w:rPr>
          <w:rFonts w:ascii="標楷體" w:eastAsia="標楷體" w:hAnsi="標楷體" w:cs="新細明體"/>
          <w:kern w:val="0"/>
          <w:sz w:val="32"/>
          <w:szCs w:val="32"/>
        </w:rPr>
        <w:t>交易法第1</w:t>
      </w:r>
      <w:r w:rsidRPr="00B5666A">
        <w:rPr>
          <w:rFonts w:ascii="標楷體" w:eastAsia="標楷體" w:hAnsi="標楷體" w:cs="新細明體" w:hint="eastAsia"/>
          <w:kern w:val="0"/>
          <w:sz w:val="32"/>
          <w:szCs w:val="32"/>
        </w:rPr>
        <w:t>75</w:t>
      </w:r>
      <w:r w:rsidRPr="00B5666A">
        <w:rPr>
          <w:rFonts w:ascii="標楷體" w:eastAsia="標楷體" w:hAnsi="標楷體" w:cs="新細明體"/>
          <w:kern w:val="0"/>
          <w:sz w:val="32"/>
          <w:szCs w:val="32"/>
        </w:rPr>
        <w:t>條第</w:t>
      </w:r>
      <w:r w:rsidRPr="00B5666A">
        <w:rPr>
          <w:rFonts w:ascii="標楷體" w:eastAsia="標楷體" w:hAnsi="標楷體" w:cs="新細明體" w:hint="eastAsia"/>
          <w:kern w:val="0"/>
          <w:sz w:val="32"/>
          <w:szCs w:val="32"/>
        </w:rPr>
        <w:t>1項</w:t>
      </w:r>
      <w:r w:rsidRPr="00B5666A">
        <w:rPr>
          <w:rFonts w:ascii="標楷體" w:eastAsia="標楷體" w:hAnsi="標楷體" w:cs="新細明體"/>
          <w:kern w:val="0"/>
          <w:sz w:val="32"/>
          <w:szCs w:val="32"/>
        </w:rPr>
        <w:t>規定，處</w:t>
      </w:r>
      <w:r w:rsidRPr="00B5666A">
        <w:rPr>
          <w:rFonts w:ascii="標楷體" w:eastAsia="標楷體" w:hAnsi="標楷體" w:cs="新細明體" w:hint="eastAsia"/>
          <w:kern w:val="0"/>
          <w:sz w:val="32"/>
          <w:szCs w:val="32"/>
        </w:rPr>
        <w:t>2年以下有期徒刑、拘役或科或併科新臺幣180萬元以下罰金</w:t>
      </w:r>
      <w:r w:rsidRPr="00B5666A">
        <w:rPr>
          <w:rFonts w:ascii="標楷體" w:eastAsia="標楷體" w:hAnsi="標楷體" w:cs="新細明體"/>
          <w:kern w:val="0"/>
          <w:sz w:val="32"/>
          <w:szCs w:val="32"/>
        </w:rPr>
        <w:t>。</w:t>
      </w:r>
    </w:p>
    <w:p w:rsidR="00B5666A" w:rsidRPr="00B5666A" w:rsidRDefault="00B5666A" w:rsidP="00B5666A">
      <w:pPr>
        <w:widowControl/>
        <w:numPr>
          <w:ilvl w:val="0"/>
          <w:numId w:val="25"/>
        </w:numPr>
        <w:tabs>
          <w:tab w:val="left" w:pos="360"/>
        </w:tabs>
        <w:spacing w:line="600" w:lineRule="exact"/>
        <w:ind w:left="993" w:hanging="709"/>
        <w:jc w:val="both"/>
        <w:rPr>
          <w:rFonts w:ascii="標楷體" w:eastAsia="標楷體" w:hAnsi="標楷體" w:cs="新細明體"/>
          <w:kern w:val="0"/>
          <w:sz w:val="32"/>
          <w:szCs w:val="32"/>
        </w:rPr>
      </w:pPr>
      <w:r w:rsidRPr="00B5666A">
        <w:rPr>
          <w:rFonts w:ascii="標楷體" w:eastAsia="標楷體" w:hAnsi="標楷體" w:cs="新細明體" w:hint="eastAsia"/>
          <w:kern w:val="0"/>
          <w:sz w:val="32"/>
          <w:szCs w:val="32"/>
        </w:rPr>
        <w:t>任何人（包括公司、行號或個人）經營證券業務，均應受證券交易法之規範。</w:t>
      </w:r>
    </w:p>
    <w:p w:rsidR="00B5666A" w:rsidRDefault="00B5666A" w:rsidP="00B3519F">
      <w:pPr>
        <w:widowControl/>
        <w:tabs>
          <w:tab w:val="left" w:pos="360"/>
        </w:tabs>
        <w:spacing w:line="600" w:lineRule="exact"/>
        <w:ind w:left="567"/>
        <w:jc w:val="both"/>
        <w:rPr>
          <w:rFonts w:ascii="標楷體" w:eastAsia="標楷體" w:hAnsi="標楷體" w:cs="新細明體"/>
          <w:kern w:val="0"/>
          <w:sz w:val="32"/>
          <w:szCs w:val="32"/>
        </w:rPr>
      </w:pPr>
    </w:p>
    <w:p w:rsidR="00156F8A" w:rsidRPr="00156F8A" w:rsidRDefault="00A00185" w:rsidP="002150C2">
      <w:pPr>
        <w:widowControl/>
        <w:tabs>
          <w:tab w:val="left" w:pos="360"/>
        </w:tabs>
        <w:spacing w:line="600" w:lineRule="exact"/>
        <w:jc w:val="both"/>
        <w:rPr>
          <w:rFonts w:ascii="標楷體" w:eastAsia="標楷體" w:hAnsi="標楷體" w:cs="新細明體"/>
          <w:kern w:val="0"/>
          <w:sz w:val="32"/>
          <w:szCs w:val="32"/>
          <w:shd w:val="pct15" w:color="auto" w:fill="FFFFFF"/>
        </w:rPr>
      </w:pPr>
      <w:r>
        <w:rPr>
          <w:rFonts w:ascii="標楷體" w:eastAsia="標楷體" w:hAnsi="標楷體" w:cs="新細明體"/>
          <w:kern w:val="0"/>
          <w:sz w:val="32"/>
          <w:szCs w:val="32"/>
        </w:rPr>
        <w:br w:type="page"/>
      </w:r>
      <w:r w:rsidR="00156F8A" w:rsidRPr="00156F8A">
        <w:rPr>
          <w:rFonts w:ascii="標楷體" w:eastAsia="標楷體" w:hAnsi="標楷體" w:cs="新細明體" w:hint="eastAsia"/>
          <w:b/>
          <w:kern w:val="0"/>
          <w:sz w:val="32"/>
          <w:szCs w:val="32"/>
          <w:shd w:val="pct15" w:color="auto" w:fill="FFFFFF"/>
        </w:rPr>
        <w:lastRenderedPageBreak/>
        <w:t>國外證券商網路交易平台開戶買賣外國有價證券</w:t>
      </w:r>
    </w:p>
    <w:p w:rsidR="005F1CE2" w:rsidRPr="005F1CE2" w:rsidRDefault="00156F8A" w:rsidP="005F1CE2">
      <w:pPr>
        <w:widowControl/>
        <w:spacing w:line="600" w:lineRule="exact"/>
        <w:ind w:left="566" w:hangingChars="177" w:hanging="566"/>
        <w:jc w:val="both"/>
        <w:rPr>
          <w:rFonts w:ascii="標楷體" w:eastAsia="標楷體" w:hAnsi="標楷體" w:cs="新細明體"/>
          <w:kern w:val="0"/>
          <w:sz w:val="32"/>
          <w:szCs w:val="32"/>
        </w:rPr>
      </w:pPr>
      <w:r>
        <w:rPr>
          <w:rFonts w:ascii="標楷體" w:eastAsia="標楷體" w:hAnsi="標楷體" w:cs="新細明體" w:hint="eastAsia"/>
          <w:kern w:val="0"/>
          <w:sz w:val="32"/>
          <w:szCs w:val="32"/>
        </w:rPr>
        <w:t>一</w:t>
      </w:r>
      <w:r w:rsidR="005F1CE2" w:rsidRPr="005F1CE2">
        <w:rPr>
          <w:rFonts w:ascii="標楷體" w:eastAsia="標楷體" w:hAnsi="標楷體" w:cs="新細明體" w:hint="eastAsia"/>
          <w:b/>
          <w:kern w:val="0"/>
          <w:sz w:val="32"/>
          <w:szCs w:val="32"/>
        </w:rPr>
        <w:t>、案例</w:t>
      </w:r>
      <w:r w:rsidR="005F1CE2" w:rsidRPr="005F1CE2">
        <w:rPr>
          <w:rFonts w:ascii="標楷體" w:eastAsia="標楷體" w:hAnsi="標楷體" w:cs="新細明體" w:hint="eastAsia"/>
          <w:kern w:val="0"/>
          <w:sz w:val="32"/>
          <w:szCs w:val="32"/>
        </w:rPr>
        <w:t>：</w:t>
      </w:r>
    </w:p>
    <w:p w:rsidR="005F1CE2" w:rsidRPr="005F1CE2" w:rsidRDefault="005F1CE2" w:rsidP="00FA3B93">
      <w:pPr>
        <w:widowControl/>
        <w:spacing w:line="600" w:lineRule="exact"/>
        <w:ind w:leftChars="236" w:left="604" w:hangingChars="12" w:hanging="38"/>
        <w:jc w:val="both"/>
        <w:rPr>
          <w:rFonts w:ascii="標楷體" w:eastAsia="標楷體" w:hAnsi="標楷體" w:cs="新細明體"/>
          <w:kern w:val="0"/>
          <w:sz w:val="32"/>
          <w:szCs w:val="32"/>
        </w:rPr>
      </w:pPr>
      <w:r w:rsidRPr="005F1CE2">
        <w:rPr>
          <w:rFonts w:ascii="標楷體" w:eastAsia="標楷體" w:hAnsi="標楷體" w:cs="新細明體" w:hint="eastAsia"/>
          <w:kern w:val="0"/>
          <w:sz w:val="32"/>
          <w:szCs w:val="32"/>
        </w:rPr>
        <w:t>投資人</w:t>
      </w:r>
      <w:r w:rsidR="00FB070A">
        <w:rPr>
          <w:rFonts w:ascii="標楷體" w:eastAsia="標楷體" w:hAnsi="標楷體" w:cs="新細明體" w:hint="eastAsia"/>
          <w:kern w:val="0"/>
          <w:sz w:val="32"/>
          <w:szCs w:val="32"/>
        </w:rPr>
        <w:t>王小姐經常於網路上看到許多外國證券商之網站，介紹投資人於其網站開戶後，即可買賣全球各地之外國有價證券，故王小姐便透過</w:t>
      </w:r>
      <w:r w:rsidRPr="005F1CE2">
        <w:rPr>
          <w:rFonts w:ascii="標楷體" w:eastAsia="標楷體" w:hAnsi="標楷體" w:cs="新細明體" w:hint="eastAsia"/>
          <w:kern w:val="0"/>
          <w:sz w:val="32"/>
          <w:szCs w:val="32"/>
        </w:rPr>
        <w:t>網際網路自行至國外證券商架設之網路交易平開戶買賣外國有價證券。</w:t>
      </w:r>
    </w:p>
    <w:p w:rsidR="00FA3B93" w:rsidRPr="00FA3B93" w:rsidRDefault="00156F8A" w:rsidP="00156F8A">
      <w:pPr>
        <w:widowControl/>
        <w:spacing w:line="600" w:lineRule="exact"/>
        <w:jc w:val="both"/>
        <w:rPr>
          <w:rFonts w:ascii="標楷體" w:eastAsia="標楷體" w:hAnsi="標楷體" w:cs="新細明體"/>
          <w:kern w:val="0"/>
          <w:sz w:val="32"/>
          <w:szCs w:val="32"/>
        </w:rPr>
      </w:pPr>
      <w:r>
        <w:rPr>
          <w:rFonts w:ascii="標楷體" w:eastAsia="標楷體" w:hAnsi="標楷體" w:cs="新細明體" w:hint="eastAsia"/>
          <w:b/>
          <w:kern w:val="0"/>
          <w:sz w:val="32"/>
          <w:szCs w:val="32"/>
        </w:rPr>
        <w:t>二、</w:t>
      </w:r>
      <w:r w:rsidR="00FA3B93" w:rsidRPr="00FA3B93">
        <w:rPr>
          <w:rFonts w:ascii="標楷體" w:eastAsia="標楷體" w:hAnsi="標楷體" w:cs="新細明體" w:hint="eastAsia"/>
          <w:b/>
          <w:kern w:val="0"/>
          <w:sz w:val="32"/>
          <w:szCs w:val="32"/>
        </w:rPr>
        <w:t>案例分析</w:t>
      </w:r>
      <w:r w:rsidR="00FA3B93" w:rsidRPr="00FA3B93">
        <w:rPr>
          <w:rFonts w:ascii="標楷體" w:eastAsia="標楷體" w:hAnsi="標楷體" w:cs="新細明體" w:hint="eastAsia"/>
          <w:kern w:val="0"/>
          <w:sz w:val="32"/>
          <w:szCs w:val="32"/>
        </w:rPr>
        <w:t>：</w:t>
      </w:r>
    </w:p>
    <w:p w:rsidR="00FA3B93" w:rsidRPr="00FA3B93" w:rsidRDefault="00FA3B93" w:rsidP="00FA3B93">
      <w:pPr>
        <w:widowControl/>
        <w:spacing w:line="600" w:lineRule="exact"/>
        <w:ind w:leftChars="168" w:left="1046" w:hangingChars="201" w:hanging="643"/>
        <w:jc w:val="both"/>
        <w:rPr>
          <w:rFonts w:ascii="標楷體" w:eastAsia="標楷體" w:hAnsi="標楷體" w:cs="新細明體"/>
          <w:kern w:val="0"/>
          <w:sz w:val="32"/>
          <w:szCs w:val="32"/>
        </w:rPr>
      </w:pPr>
      <w:r w:rsidRPr="00FA3B93">
        <w:rPr>
          <w:rFonts w:ascii="標楷體" w:eastAsia="標楷體" w:hAnsi="標楷體" w:cs="新細明體" w:hint="eastAsia"/>
          <w:kern w:val="0"/>
          <w:sz w:val="32"/>
          <w:szCs w:val="32"/>
        </w:rPr>
        <w:t>(一)</w:t>
      </w:r>
      <w:r w:rsidR="00FB070A">
        <w:rPr>
          <w:rFonts w:ascii="標楷體" w:eastAsia="標楷體" w:hAnsi="標楷體" w:cs="新細明體" w:hint="eastAsia"/>
          <w:kern w:val="0"/>
          <w:sz w:val="32"/>
          <w:szCs w:val="32"/>
        </w:rPr>
        <w:t>非</w:t>
      </w:r>
      <w:r w:rsidRPr="00FA3B93">
        <w:rPr>
          <w:rFonts w:ascii="標楷體" w:eastAsia="標楷體" w:hAnsi="標楷體" w:cs="新細明體" w:hint="eastAsia"/>
          <w:kern w:val="0"/>
          <w:sz w:val="32"/>
          <w:szCs w:val="32"/>
        </w:rPr>
        <w:t>經本會核准之</w:t>
      </w:r>
      <w:r w:rsidR="009328FB">
        <w:rPr>
          <w:rFonts w:ascii="標楷體" w:eastAsia="標楷體" w:hAnsi="標楷體" w:cs="新細明體" w:hint="eastAsia"/>
          <w:kern w:val="0"/>
          <w:sz w:val="32"/>
          <w:szCs w:val="32"/>
        </w:rPr>
        <w:t>外國</w:t>
      </w:r>
      <w:r w:rsidRPr="00FA3B93">
        <w:rPr>
          <w:rFonts w:ascii="標楷體" w:eastAsia="標楷體" w:hAnsi="標楷體" w:cs="新細明體" w:hint="eastAsia"/>
          <w:kern w:val="0"/>
          <w:sz w:val="32"/>
          <w:szCs w:val="32"/>
        </w:rPr>
        <w:t>證券商網路交易平台，</w:t>
      </w:r>
      <w:r w:rsidR="009328FB">
        <w:rPr>
          <w:rFonts w:ascii="標楷體" w:eastAsia="標楷體" w:hAnsi="標楷體" w:cs="新細明體" w:hint="eastAsia"/>
          <w:kern w:val="0"/>
          <w:sz w:val="32"/>
          <w:szCs w:val="32"/>
        </w:rPr>
        <w:t>如投資人透過該</w:t>
      </w:r>
      <w:r w:rsidRPr="00FA3B93">
        <w:rPr>
          <w:rFonts w:ascii="標楷體" w:eastAsia="標楷體" w:hAnsi="標楷體" w:cs="新細明體" w:hint="eastAsia"/>
          <w:kern w:val="0"/>
          <w:sz w:val="32"/>
          <w:szCs w:val="32"/>
        </w:rPr>
        <w:t>網站平台開戶及買賣美國、香港及大陸等地區掛牌之有價證券，</w:t>
      </w:r>
      <w:r w:rsidR="009328FB">
        <w:rPr>
          <w:rFonts w:ascii="標楷體" w:eastAsia="標楷體" w:hAnsi="標楷體" w:cs="新細明體" w:hint="eastAsia"/>
          <w:kern w:val="0"/>
          <w:sz w:val="32"/>
          <w:szCs w:val="32"/>
        </w:rPr>
        <w:t>如</w:t>
      </w:r>
      <w:r w:rsidRPr="00FA3B93">
        <w:rPr>
          <w:rFonts w:ascii="標楷體" w:eastAsia="標楷體" w:hAnsi="標楷體" w:cs="新細明體" w:hint="eastAsia"/>
          <w:kern w:val="0"/>
          <w:sz w:val="32"/>
          <w:szCs w:val="32"/>
        </w:rPr>
        <w:t>發生交易糾紛時，權益將無法獲得保障，</w:t>
      </w:r>
      <w:r w:rsidR="009328FB">
        <w:rPr>
          <w:rFonts w:ascii="標楷體" w:eastAsia="標楷體" w:hAnsi="標楷體" w:cs="新細明體" w:hint="eastAsia"/>
          <w:kern w:val="0"/>
          <w:sz w:val="32"/>
          <w:szCs w:val="32"/>
        </w:rPr>
        <w:t>故投資人欲</w:t>
      </w:r>
      <w:r w:rsidRPr="00FA3B93">
        <w:rPr>
          <w:rFonts w:ascii="標楷體" w:eastAsia="標楷體" w:hAnsi="標楷體" w:cs="新細明體" w:hint="eastAsia"/>
          <w:kern w:val="0"/>
          <w:sz w:val="32"/>
          <w:szCs w:val="32"/>
        </w:rPr>
        <w:t>投資外國有價證券時，應透過我國合法立案之證券商或金融機構，以維護自身權益。</w:t>
      </w:r>
    </w:p>
    <w:p w:rsidR="00FA3B93" w:rsidRPr="00FA3B93" w:rsidRDefault="00FA3B93" w:rsidP="009328FB">
      <w:pPr>
        <w:widowControl/>
        <w:spacing w:line="600" w:lineRule="exact"/>
        <w:ind w:leftChars="168" w:left="1046" w:hangingChars="201" w:hanging="643"/>
        <w:jc w:val="both"/>
        <w:rPr>
          <w:rFonts w:ascii="標楷體" w:eastAsia="標楷體" w:hAnsi="標楷體" w:cs="新細明體"/>
          <w:kern w:val="0"/>
          <w:sz w:val="32"/>
          <w:szCs w:val="32"/>
        </w:rPr>
      </w:pPr>
      <w:r w:rsidRPr="00FA3B93">
        <w:rPr>
          <w:rFonts w:ascii="標楷體" w:eastAsia="標楷體" w:hAnsi="標楷體" w:cs="新細明體" w:hint="eastAsia"/>
          <w:kern w:val="0"/>
          <w:sz w:val="32"/>
          <w:szCs w:val="32"/>
        </w:rPr>
        <w:t>(二)</w:t>
      </w:r>
      <w:r w:rsidRPr="00FA3B93">
        <w:rPr>
          <w:rFonts w:ascii="標楷體" w:eastAsia="標楷體" w:hAnsi="標楷體" w:cs="新細明體"/>
          <w:kern w:val="0"/>
          <w:sz w:val="32"/>
          <w:szCs w:val="32"/>
        </w:rPr>
        <w:t>依</w:t>
      </w:r>
      <w:r w:rsidRPr="00FA3B93">
        <w:rPr>
          <w:rFonts w:ascii="標楷體" w:eastAsia="標楷體" w:hAnsi="標楷體" w:cs="新細明體" w:hint="eastAsia"/>
          <w:kern w:val="0"/>
          <w:sz w:val="32"/>
          <w:szCs w:val="32"/>
        </w:rPr>
        <w:t>證券交易法第44條第1項規定，證券商須經主管機關之許可及發給許可證照，方得營業；非證券商不得經營證券業務</w:t>
      </w:r>
      <w:r w:rsidRPr="00FA3B93">
        <w:rPr>
          <w:rFonts w:ascii="標楷體" w:eastAsia="標楷體" w:hAnsi="標楷體" w:cs="新細明體"/>
          <w:kern w:val="0"/>
          <w:sz w:val="32"/>
          <w:szCs w:val="32"/>
        </w:rPr>
        <w:t>。未經許可擅自經營</w:t>
      </w:r>
      <w:r w:rsidRPr="00FA3B93">
        <w:rPr>
          <w:rFonts w:ascii="標楷體" w:eastAsia="標楷體" w:hAnsi="標楷體" w:cs="新細明體" w:hint="eastAsia"/>
          <w:kern w:val="0"/>
          <w:sz w:val="32"/>
          <w:szCs w:val="32"/>
        </w:rPr>
        <w:t>證券業務</w:t>
      </w:r>
      <w:r w:rsidRPr="00FA3B93">
        <w:rPr>
          <w:rFonts w:ascii="標楷體" w:eastAsia="標楷體" w:hAnsi="標楷體" w:cs="新細明體"/>
          <w:kern w:val="0"/>
          <w:sz w:val="32"/>
          <w:szCs w:val="32"/>
        </w:rPr>
        <w:t>者，依</w:t>
      </w:r>
      <w:r w:rsidRPr="00FA3B93">
        <w:rPr>
          <w:rFonts w:ascii="標楷體" w:eastAsia="標楷體" w:hAnsi="標楷體" w:cs="新細明體" w:hint="eastAsia"/>
          <w:kern w:val="0"/>
          <w:sz w:val="32"/>
          <w:szCs w:val="32"/>
        </w:rPr>
        <w:t>證券</w:t>
      </w:r>
      <w:r w:rsidRPr="00FA3B93">
        <w:rPr>
          <w:rFonts w:ascii="標楷體" w:eastAsia="標楷體" w:hAnsi="標楷體" w:cs="新細明體"/>
          <w:kern w:val="0"/>
          <w:sz w:val="32"/>
          <w:szCs w:val="32"/>
        </w:rPr>
        <w:t>交易法第1</w:t>
      </w:r>
      <w:r w:rsidRPr="00FA3B93">
        <w:rPr>
          <w:rFonts w:ascii="標楷體" w:eastAsia="標楷體" w:hAnsi="標楷體" w:cs="新細明體" w:hint="eastAsia"/>
          <w:kern w:val="0"/>
          <w:sz w:val="32"/>
          <w:szCs w:val="32"/>
        </w:rPr>
        <w:t>75</w:t>
      </w:r>
      <w:r w:rsidRPr="00FA3B93">
        <w:rPr>
          <w:rFonts w:ascii="標楷體" w:eastAsia="標楷體" w:hAnsi="標楷體" w:cs="新細明體"/>
          <w:kern w:val="0"/>
          <w:sz w:val="32"/>
          <w:szCs w:val="32"/>
        </w:rPr>
        <w:t>條第</w:t>
      </w:r>
      <w:r w:rsidRPr="00FA3B93">
        <w:rPr>
          <w:rFonts w:ascii="標楷體" w:eastAsia="標楷體" w:hAnsi="標楷體" w:cs="新細明體" w:hint="eastAsia"/>
          <w:kern w:val="0"/>
          <w:sz w:val="32"/>
          <w:szCs w:val="32"/>
        </w:rPr>
        <w:t>1項</w:t>
      </w:r>
      <w:r w:rsidRPr="00FA3B93">
        <w:rPr>
          <w:rFonts w:ascii="標楷體" w:eastAsia="標楷體" w:hAnsi="標楷體" w:cs="新細明體"/>
          <w:kern w:val="0"/>
          <w:sz w:val="32"/>
          <w:szCs w:val="32"/>
        </w:rPr>
        <w:t>規定，處</w:t>
      </w:r>
      <w:r w:rsidRPr="00FA3B93">
        <w:rPr>
          <w:rFonts w:ascii="標楷體" w:eastAsia="標楷體" w:hAnsi="標楷體" w:cs="新細明體" w:hint="eastAsia"/>
          <w:kern w:val="0"/>
          <w:sz w:val="32"/>
          <w:szCs w:val="32"/>
        </w:rPr>
        <w:t>2年以下有期徒刑、拘役或科或併科新臺幣180萬元以下罰金</w:t>
      </w:r>
      <w:r w:rsidRPr="00FA3B93">
        <w:rPr>
          <w:rFonts w:ascii="標楷體" w:eastAsia="標楷體" w:hAnsi="標楷體" w:cs="新細明體"/>
          <w:kern w:val="0"/>
          <w:sz w:val="32"/>
          <w:szCs w:val="32"/>
        </w:rPr>
        <w:t>。</w:t>
      </w:r>
    </w:p>
    <w:p w:rsidR="00FA3B93" w:rsidRPr="00FA3B93" w:rsidRDefault="00FA3B93" w:rsidP="009328FB">
      <w:pPr>
        <w:widowControl/>
        <w:spacing w:line="600" w:lineRule="exact"/>
        <w:ind w:leftChars="168" w:left="1046" w:hangingChars="201" w:hanging="643"/>
        <w:jc w:val="both"/>
        <w:rPr>
          <w:rFonts w:ascii="標楷體" w:eastAsia="標楷體" w:hAnsi="標楷體" w:cs="新細明體"/>
          <w:kern w:val="0"/>
          <w:sz w:val="32"/>
          <w:szCs w:val="32"/>
        </w:rPr>
      </w:pPr>
      <w:r w:rsidRPr="00FA3B93">
        <w:rPr>
          <w:rFonts w:ascii="標楷體" w:eastAsia="標楷體" w:hAnsi="標楷體" w:cs="新細明體" w:hint="eastAsia"/>
          <w:kern w:val="0"/>
          <w:sz w:val="32"/>
          <w:szCs w:val="32"/>
        </w:rPr>
        <w:t>(三)</w:t>
      </w:r>
      <w:bookmarkStart w:id="0" w:name="_GoBack"/>
      <w:bookmarkEnd w:id="0"/>
      <w:r w:rsidRPr="00FA3B93">
        <w:rPr>
          <w:rFonts w:ascii="標楷體" w:eastAsia="標楷體" w:hAnsi="標楷體" w:cs="新細明體" w:hint="eastAsia"/>
          <w:kern w:val="0"/>
          <w:sz w:val="32"/>
          <w:szCs w:val="32"/>
        </w:rPr>
        <w:t>任何人（包括公司、行號或個人）未經本會許可在臺經營證券業務，均應受證券交易法之規範。</w:t>
      </w:r>
    </w:p>
    <w:p w:rsidR="00D873A9" w:rsidRPr="00D873A9" w:rsidRDefault="00D873A9" w:rsidP="00FF0F61">
      <w:pPr>
        <w:widowControl/>
        <w:spacing w:line="600" w:lineRule="exact"/>
        <w:jc w:val="both"/>
        <w:rPr>
          <w:rFonts w:ascii="標楷體" w:eastAsia="標楷體" w:hAnsi="標楷體" w:cs="新細明體"/>
          <w:b/>
          <w:kern w:val="0"/>
          <w:sz w:val="32"/>
          <w:szCs w:val="32"/>
        </w:rPr>
      </w:pPr>
    </w:p>
    <w:sectPr w:rsidR="00D873A9" w:rsidRPr="00D873A9" w:rsidSect="00A223A0">
      <w:footerReference w:type="even" r:id="rId7"/>
      <w:pgSz w:w="11906" w:h="16838"/>
      <w:pgMar w:top="1134" w:right="1134" w:bottom="1134" w:left="1134"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D4" w:rsidRDefault="00CA3AD4">
      <w:r>
        <w:separator/>
      </w:r>
    </w:p>
  </w:endnote>
  <w:endnote w:type="continuationSeparator" w:id="0">
    <w:p w:rsidR="00CA3AD4" w:rsidRDefault="00CA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F3C" w:rsidRDefault="00527F3C" w:rsidP="00134D0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F3C" w:rsidRDefault="00527F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D4" w:rsidRDefault="00CA3AD4">
      <w:r>
        <w:separator/>
      </w:r>
    </w:p>
  </w:footnote>
  <w:footnote w:type="continuationSeparator" w:id="0">
    <w:p w:rsidR="00CA3AD4" w:rsidRDefault="00CA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12F"/>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621BC"/>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D43D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862D9"/>
    <w:multiLevelType w:val="hybridMultilevel"/>
    <w:tmpl w:val="D4788C2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A1268B"/>
    <w:multiLevelType w:val="multilevel"/>
    <w:tmpl w:val="C0F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74D3D"/>
    <w:multiLevelType w:val="hybridMultilevel"/>
    <w:tmpl w:val="812ABD10"/>
    <w:lvl w:ilvl="0" w:tplc="286C3BF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A6081"/>
    <w:multiLevelType w:val="hybridMultilevel"/>
    <w:tmpl w:val="2B7A48DC"/>
    <w:lvl w:ilvl="0" w:tplc="8130AA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370403C"/>
    <w:multiLevelType w:val="hybridMultilevel"/>
    <w:tmpl w:val="D9EEF8F6"/>
    <w:lvl w:ilvl="0" w:tplc="B9101EE2">
      <w:start w:val="1"/>
      <w:numFmt w:val="bullet"/>
      <w:lvlText w:val=""/>
      <w:lvlJc w:val="left"/>
      <w:pPr>
        <w:tabs>
          <w:tab w:val="num" w:pos="720"/>
        </w:tabs>
        <w:ind w:left="720" w:hanging="360"/>
      </w:pPr>
      <w:rPr>
        <w:rFonts w:ascii="Wingdings" w:hAnsi="Wingdings" w:hint="default"/>
      </w:rPr>
    </w:lvl>
    <w:lvl w:ilvl="1" w:tplc="07408924" w:tentative="1">
      <w:start w:val="1"/>
      <w:numFmt w:val="bullet"/>
      <w:lvlText w:val=""/>
      <w:lvlJc w:val="left"/>
      <w:pPr>
        <w:tabs>
          <w:tab w:val="num" w:pos="1440"/>
        </w:tabs>
        <w:ind w:left="1440" w:hanging="360"/>
      </w:pPr>
      <w:rPr>
        <w:rFonts w:ascii="Wingdings" w:hAnsi="Wingdings" w:hint="default"/>
      </w:rPr>
    </w:lvl>
    <w:lvl w:ilvl="2" w:tplc="D1903B7A" w:tentative="1">
      <w:start w:val="1"/>
      <w:numFmt w:val="bullet"/>
      <w:lvlText w:val=""/>
      <w:lvlJc w:val="left"/>
      <w:pPr>
        <w:tabs>
          <w:tab w:val="num" w:pos="2160"/>
        </w:tabs>
        <w:ind w:left="2160" w:hanging="360"/>
      </w:pPr>
      <w:rPr>
        <w:rFonts w:ascii="Wingdings" w:hAnsi="Wingdings" w:hint="default"/>
      </w:rPr>
    </w:lvl>
    <w:lvl w:ilvl="3" w:tplc="0BE00F94" w:tentative="1">
      <w:start w:val="1"/>
      <w:numFmt w:val="bullet"/>
      <w:lvlText w:val=""/>
      <w:lvlJc w:val="left"/>
      <w:pPr>
        <w:tabs>
          <w:tab w:val="num" w:pos="2880"/>
        </w:tabs>
        <w:ind w:left="2880" w:hanging="360"/>
      </w:pPr>
      <w:rPr>
        <w:rFonts w:ascii="Wingdings" w:hAnsi="Wingdings" w:hint="default"/>
      </w:rPr>
    </w:lvl>
    <w:lvl w:ilvl="4" w:tplc="1CF437A2" w:tentative="1">
      <w:start w:val="1"/>
      <w:numFmt w:val="bullet"/>
      <w:lvlText w:val=""/>
      <w:lvlJc w:val="left"/>
      <w:pPr>
        <w:tabs>
          <w:tab w:val="num" w:pos="3600"/>
        </w:tabs>
        <w:ind w:left="3600" w:hanging="360"/>
      </w:pPr>
      <w:rPr>
        <w:rFonts w:ascii="Wingdings" w:hAnsi="Wingdings" w:hint="default"/>
      </w:rPr>
    </w:lvl>
    <w:lvl w:ilvl="5" w:tplc="B41ADA4C" w:tentative="1">
      <w:start w:val="1"/>
      <w:numFmt w:val="bullet"/>
      <w:lvlText w:val=""/>
      <w:lvlJc w:val="left"/>
      <w:pPr>
        <w:tabs>
          <w:tab w:val="num" w:pos="4320"/>
        </w:tabs>
        <w:ind w:left="4320" w:hanging="360"/>
      </w:pPr>
      <w:rPr>
        <w:rFonts w:ascii="Wingdings" w:hAnsi="Wingdings" w:hint="default"/>
      </w:rPr>
    </w:lvl>
    <w:lvl w:ilvl="6" w:tplc="3F6EAFC4" w:tentative="1">
      <w:start w:val="1"/>
      <w:numFmt w:val="bullet"/>
      <w:lvlText w:val=""/>
      <w:lvlJc w:val="left"/>
      <w:pPr>
        <w:tabs>
          <w:tab w:val="num" w:pos="5040"/>
        </w:tabs>
        <w:ind w:left="5040" w:hanging="360"/>
      </w:pPr>
      <w:rPr>
        <w:rFonts w:ascii="Wingdings" w:hAnsi="Wingdings" w:hint="default"/>
      </w:rPr>
    </w:lvl>
    <w:lvl w:ilvl="7" w:tplc="5DA042FA" w:tentative="1">
      <w:start w:val="1"/>
      <w:numFmt w:val="bullet"/>
      <w:lvlText w:val=""/>
      <w:lvlJc w:val="left"/>
      <w:pPr>
        <w:tabs>
          <w:tab w:val="num" w:pos="5760"/>
        </w:tabs>
        <w:ind w:left="5760" w:hanging="360"/>
      </w:pPr>
      <w:rPr>
        <w:rFonts w:ascii="Wingdings" w:hAnsi="Wingdings" w:hint="default"/>
      </w:rPr>
    </w:lvl>
    <w:lvl w:ilvl="8" w:tplc="D99AAB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01B5E"/>
    <w:multiLevelType w:val="hybridMultilevel"/>
    <w:tmpl w:val="4B62873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AEF4CF8"/>
    <w:multiLevelType w:val="hybridMultilevel"/>
    <w:tmpl w:val="7A522436"/>
    <w:lvl w:ilvl="0" w:tplc="49E8ABA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142440"/>
    <w:multiLevelType w:val="hybridMultilevel"/>
    <w:tmpl w:val="773CD880"/>
    <w:lvl w:ilvl="0" w:tplc="9EDE2BB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19C63D2"/>
    <w:multiLevelType w:val="multilevel"/>
    <w:tmpl w:val="900EC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B7CD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45836"/>
    <w:multiLevelType w:val="hybridMultilevel"/>
    <w:tmpl w:val="2B7A48DC"/>
    <w:lvl w:ilvl="0" w:tplc="8130AAC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A050DC1"/>
    <w:multiLevelType w:val="hybridMultilevel"/>
    <w:tmpl w:val="CB32E82E"/>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7032BC"/>
    <w:multiLevelType w:val="multilevel"/>
    <w:tmpl w:val="205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00F9"/>
    <w:multiLevelType w:val="hybridMultilevel"/>
    <w:tmpl w:val="7278F4A8"/>
    <w:lvl w:ilvl="0" w:tplc="0A4428E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D36BA0"/>
    <w:multiLevelType w:val="multilevel"/>
    <w:tmpl w:val="5E6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4C4760"/>
    <w:multiLevelType w:val="multilevel"/>
    <w:tmpl w:val="F7BA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0240E"/>
    <w:multiLevelType w:val="hybridMultilevel"/>
    <w:tmpl w:val="D78EDF24"/>
    <w:lvl w:ilvl="0" w:tplc="5AB0933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CE13EC"/>
    <w:multiLevelType w:val="multilevel"/>
    <w:tmpl w:val="8C7AAFAC"/>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96C42"/>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03156"/>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71201"/>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D2D7E"/>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5" w15:restartNumberingAfterBreak="0">
    <w:nsid w:val="67B14830"/>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57475D"/>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5F14D6"/>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8" w15:restartNumberingAfterBreak="0">
    <w:nsid w:val="75604348"/>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A4E42"/>
    <w:multiLevelType w:val="hybridMultilevel"/>
    <w:tmpl w:val="BD62EA54"/>
    <w:lvl w:ilvl="0" w:tplc="DA962B26">
      <w:start w:val="1"/>
      <w:numFmt w:val="decimal"/>
      <w:lvlText w:val="（%1）"/>
      <w:lvlJc w:val="left"/>
      <w:pPr>
        <w:tabs>
          <w:tab w:val="num" w:pos="1077"/>
        </w:tabs>
        <w:ind w:left="1077" w:hanging="72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0" w15:restartNumberingAfterBreak="0">
    <w:nsid w:val="7B176FD6"/>
    <w:multiLevelType w:val="hybridMultilevel"/>
    <w:tmpl w:val="F0A224B6"/>
    <w:lvl w:ilvl="0" w:tplc="6D6A1E3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D5A3887"/>
    <w:multiLevelType w:val="multilevel"/>
    <w:tmpl w:val="CD98C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0"/>
  </w:num>
  <w:num w:numId="3">
    <w:abstractNumId w:val="17"/>
  </w:num>
  <w:num w:numId="4">
    <w:abstractNumId w:val="11"/>
  </w:num>
  <w:num w:numId="5">
    <w:abstractNumId w:val="15"/>
  </w:num>
  <w:num w:numId="6">
    <w:abstractNumId w:val="4"/>
  </w:num>
  <w:num w:numId="7">
    <w:abstractNumId w:val="18"/>
  </w:num>
  <w:num w:numId="8">
    <w:abstractNumId w:val="29"/>
  </w:num>
  <w:num w:numId="9">
    <w:abstractNumId w:val="7"/>
  </w:num>
  <w:num w:numId="10">
    <w:abstractNumId w:val="8"/>
  </w:num>
  <w:num w:numId="11">
    <w:abstractNumId w:val="28"/>
  </w:num>
  <w:num w:numId="12">
    <w:abstractNumId w:val="26"/>
  </w:num>
  <w:num w:numId="13">
    <w:abstractNumId w:val="1"/>
  </w:num>
  <w:num w:numId="14">
    <w:abstractNumId w:val="14"/>
  </w:num>
  <w:num w:numId="15">
    <w:abstractNumId w:val="25"/>
  </w:num>
  <w:num w:numId="16">
    <w:abstractNumId w:val="31"/>
  </w:num>
  <w:num w:numId="17">
    <w:abstractNumId w:val="3"/>
  </w:num>
  <w:num w:numId="18">
    <w:abstractNumId w:val="0"/>
  </w:num>
  <w:num w:numId="19">
    <w:abstractNumId w:val="24"/>
  </w:num>
  <w:num w:numId="20">
    <w:abstractNumId w:val="12"/>
  </w:num>
  <w:num w:numId="21">
    <w:abstractNumId w:val="27"/>
  </w:num>
  <w:num w:numId="22">
    <w:abstractNumId w:val="21"/>
  </w:num>
  <w:num w:numId="23">
    <w:abstractNumId w:val="19"/>
  </w:num>
  <w:num w:numId="24">
    <w:abstractNumId w:val="5"/>
  </w:num>
  <w:num w:numId="25">
    <w:abstractNumId w:val="13"/>
  </w:num>
  <w:num w:numId="26">
    <w:abstractNumId w:val="6"/>
  </w:num>
  <w:num w:numId="27">
    <w:abstractNumId w:val="22"/>
  </w:num>
  <w:num w:numId="28">
    <w:abstractNumId w:val="23"/>
  </w:num>
  <w:num w:numId="29">
    <w:abstractNumId w:val="9"/>
  </w:num>
  <w:num w:numId="30">
    <w:abstractNumId w:val="10"/>
  </w:num>
  <w:num w:numId="31">
    <w:abstractNumId w:val="1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DF"/>
    <w:rsid w:val="0000532F"/>
    <w:rsid w:val="0002715B"/>
    <w:rsid w:val="00027915"/>
    <w:rsid w:val="00046AC6"/>
    <w:rsid w:val="00051BCC"/>
    <w:rsid w:val="00056FD9"/>
    <w:rsid w:val="00070613"/>
    <w:rsid w:val="00075B50"/>
    <w:rsid w:val="00086EC5"/>
    <w:rsid w:val="00097B10"/>
    <w:rsid w:val="000A14E3"/>
    <w:rsid w:val="000B137C"/>
    <w:rsid w:val="000D325D"/>
    <w:rsid w:val="0010661A"/>
    <w:rsid w:val="00134CF4"/>
    <w:rsid w:val="00134D0B"/>
    <w:rsid w:val="0015334C"/>
    <w:rsid w:val="00156F8A"/>
    <w:rsid w:val="00176FA1"/>
    <w:rsid w:val="00181FA8"/>
    <w:rsid w:val="00182C7A"/>
    <w:rsid w:val="00190472"/>
    <w:rsid w:val="001A17FC"/>
    <w:rsid w:val="001A352B"/>
    <w:rsid w:val="001B438C"/>
    <w:rsid w:val="001E3CE9"/>
    <w:rsid w:val="002065D5"/>
    <w:rsid w:val="002150C2"/>
    <w:rsid w:val="0022397A"/>
    <w:rsid w:val="00227D56"/>
    <w:rsid w:val="002455B5"/>
    <w:rsid w:val="002621EC"/>
    <w:rsid w:val="00267633"/>
    <w:rsid w:val="0027691D"/>
    <w:rsid w:val="002A0C42"/>
    <w:rsid w:val="002A1518"/>
    <w:rsid w:val="002A2F5E"/>
    <w:rsid w:val="002C5B00"/>
    <w:rsid w:val="002E248E"/>
    <w:rsid w:val="002E78ED"/>
    <w:rsid w:val="00310E65"/>
    <w:rsid w:val="00340236"/>
    <w:rsid w:val="0034714B"/>
    <w:rsid w:val="003524EE"/>
    <w:rsid w:val="00383346"/>
    <w:rsid w:val="0038571A"/>
    <w:rsid w:val="00386977"/>
    <w:rsid w:val="003C2802"/>
    <w:rsid w:val="003F184B"/>
    <w:rsid w:val="004308A7"/>
    <w:rsid w:val="00443FDB"/>
    <w:rsid w:val="00444F59"/>
    <w:rsid w:val="00455E19"/>
    <w:rsid w:val="004569EC"/>
    <w:rsid w:val="00462110"/>
    <w:rsid w:val="00470E60"/>
    <w:rsid w:val="00476903"/>
    <w:rsid w:val="004F1D27"/>
    <w:rsid w:val="00526F0D"/>
    <w:rsid w:val="00527F3C"/>
    <w:rsid w:val="00533AE6"/>
    <w:rsid w:val="0053524E"/>
    <w:rsid w:val="00537DB0"/>
    <w:rsid w:val="00572D97"/>
    <w:rsid w:val="00576171"/>
    <w:rsid w:val="00581162"/>
    <w:rsid w:val="005A2A84"/>
    <w:rsid w:val="005B5002"/>
    <w:rsid w:val="005C4D6D"/>
    <w:rsid w:val="005C53AC"/>
    <w:rsid w:val="005D2D82"/>
    <w:rsid w:val="005D5199"/>
    <w:rsid w:val="005F1CE2"/>
    <w:rsid w:val="00600504"/>
    <w:rsid w:val="00611C8F"/>
    <w:rsid w:val="006308FF"/>
    <w:rsid w:val="0064050A"/>
    <w:rsid w:val="00652F64"/>
    <w:rsid w:val="00666B3C"/>
    <w:rsid w:val="00673AF5"/>
    <w:rsid w:val="00684603"/>
    <w:rsid w:val="006957B8"/>
    <w:rsid w:val="006A08FF"/>
    <w:rsid w:val="006C1930"/>
    <w:rsid w:val="006C63E8"/>
    <w:rsid w:val="006E2633"/>
    <w:rsid w:val="006E4A83"/>
    <w:rsid w:val="006E4DC3"/>
    <w:rsid w:val="006F5DE4"/>
    <w:rsid w:val="00704D8B"/>
    <w:rsid w:val="00706417"/>
    <w:rsid w:val="00727E32"/>
    <w:rsid w:val="007340D5"/>
    <w:rsid w:val="00736597"/>
    <w:rsid w:val="00741127"/>
    <w:rsid w:val="00760990"/>
    <w:rsid w:val="007806B7"/>
    <w:rsid w:val="007A3B6F"/>
    <w:rsid w:val="007A5EE5"/>
    <w:rsid w:val="007B5CEE"/>
    <w:rsid w:val="007D4867"/>
    <w:rsid w:val="007E4E7C"/>
    <w:rsid w:val="007F33D7"/>
    <w:rsid w:val="007F5B66"/>
    <w:rsid w:val="00804D8C"/>
    <w:rsid w:val="00832A91"/>
    <w:rsid w:val="00840245"/>
    <w:rsid w:val="008515E9"/>
    <w:rsid w:val="0086414B"/>
    <w:rsid w:val="00874E30"/>
    <w:rsid w:val="008C57D8"/>
    <w:rsid w:val="008D3DC8"/>
    <w:rsid w:val="008E35E9"/>
    <w:rsid w:val="008F1F65"/>
    <w:rsid w:val="0091131E"/>
    <w:rsid w:val="00921E8C"/>
    <w:rsid w:val="00924CE1"/>
    <w:rsid w:val="00931712"/>
    <w:rsid w:val="009328FB"/>
    <w:rsid w:val="00975024"/>
    <w:rsid w:val="0098206B"/>
    <w:rsid w:val="0099002F"/>
    <w:rsid w:val="00990FBE"/>
    <w:rsid w:val="00994369"/>
    <w:rsid w:val="009A5FAB"/>
    <w:rsid w:val="009B5E7E"/>
    <w:rsid w:val="009B676B"/>
    <w:rsid w:val="009D1D4F"/>
    <w:rsid w:val="009F5030"/>
    <w:rsid w:val="00A00185"/>
    <w:rsid w:val="00A04E6B"/>
    <w:rsid w:val="00A0500E"/>
    <w:rsid w:val="00A05AD4"/>
    <w:rsid w:val="00A12523"/>
    <w:rsid w:val="00A223A0"/>
    <w:rsid w:val="00A371D6"/>
    <w:rsid w:val="00A60E5C"/>
    <w:rsid w:val="00A63853"/>
    <w:rsid w:val="00A6752F"/>
    <w:rsid w:val="00A736E2"/>
    <w:rsid w:val="00A73BCB"/>
    <w:rsid w:val="00A81D52"/>
    <w:rsid w:val="00A840CE"/>
    <w:rsid w:val="00AA6E4B"/>
    <w:rsid w:val="00AB4062"/>
    <w:rsid w:val="00AF1FDF"/>
    <w:rsid w:val="00B0075D"/>
    <w:rsid w:val="00B03750"/>
    <w:rsid w:val="00B312B1"/>
    <w:rsid w:val="00B3519F"/>
    <w:rsid w:val="00B4690F"/>
    <w:rsid w:val="00B5666A"/>
    <w:rsid w:val="00B67D31"/>
    <w:rsid w:val="00B77602"/>
    <w:rsid w:val="00B961CE"/>
    <w:rsid w:val="00B9657F"/>
    <w:rsid w:val="00BA7F0A"/>
    <w:rsid w:val="00BC0051"/>
    <w:rsid w:val="00C10EAB"/>
    <w:rsid w:val="00C34C5B"/>
    <w:rsid w:val="00C36D9E"/>
    <w:rsid w:val="00C66531"/>
    <w:rsid w:val="00C83C2B"/>
    <w:rsid w:val="00C86E6B"/>
    <w:rsid w:val="00C90D4E"/>
    <w:rsid w:val="00CA3AD4"/>
    <w:rsid w:val="00CA50DA"/>
    <w:rsid w:val="00CB0FC2"/>
    <w:rsid w:val="00CB2407"/>
    <w:rsid w:val="00CC6088"/>
    <w:rsid w:val="00CC61F1"/>
    <w:rsid w:val="00CF62A2"/>
    <w:rsid w:val="00D02622"/>
    <w:rsid w:val="00D05741"/>
    <w:rsid w:val="00D1102F"/>
    <w:rsid w:val="00D2211D"/>
    <w:rsid w:val="00D273CC"/>
    <w:rsid w:val="00D61EA7"/>
    <w:rsid w:val="00D74142"/>
    <w:rsid w:val="00D77D93"/>
    <w:rsid w:val="00D81C3F"/>
    <w:rsid w:val="00D873A9"/>
    <w:rsid w:val="00DA179A"/>
    <w:rsid w:val="00DA2B91"/>
    <w:rsid w:val="00DC30CE"/>
    <w:rsid w:val="00DC3555"/>
    <w:rsid w:val="00DC3CD1"/>
    <w:rsid w:val="00DE4673"/>
    <w:rsid w:val="00DE5FB8"/>
    <w:rsid w:val="00E01C4E"/>
    <w:rsid w:val="00E105C7"/>
    <w:rsid w:val="00E231BE"/>
    <w:rsid w:val="00E30DD7"/>
    <w:rsid w:val="00E3622F"/>
    <w:rsid w:val="00E5687A"/>
    <w:rsid w:val="00E57213"/>
    <w:rsid w:val="00E57A81"/>
    <w:rsid w:val="00E62F8E"/>
    <w:rsid w:val="00E73195"/>
    <w:rsid w:val="00E83B8F"/>
    <w:rsid w:val="00E841DC"/>
    <w:rsid w:val="00EA154B"/>
    <w:rsid w:val="00EA643A"/>
    <w:rsid w:val="00EB3C51"/>
    <w:rsid w:val="00ED110C"/>
    <w:rsid w:val="00ED452D"/>
    <w:rsid w:val="00F12117"/>
    <w:rsid w:val="00F44C34"/>
    <w:rsid w:val="00F47BC6"/>
    <w:rsid w:val="00F52468"/>
    <w:rsid w:val="00F706FD"/>
    <w:rsid w:val="00F72FCD"/>
    <w:rsid w:val="00F7315C"/>
    <w:rsid w:val="00F81CFE"/>
    <w:rsid w:val="00F875EC"/>
    <w:rsid w:val="00FA3B93"/>
    <w:rsid w:val="00FB070A"/>
    <w:rsid w:val="00FB260E"/>
    <w:rsid w:val="00FB6F71"/>
    <w:rsid w:val="00FC2B84"/>
    <w:rsid w:val="00FF0F61"/>
    <w:rsid w:val="00FF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0E9F7-F2B3-4CA5-8041-B949B003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B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09ystyle1">
    <w:name w:val="text09y style1"/>
    <w:basedOn w:val="a"/>
    <w:rsid w:val="00AF1FDF"/>
    <w:pPr>
      <w:widowControl/>
      <w:spacing w:before="100" w:beforeAutospacing="1" w:after="100" w:afterAutospacing="1"/>
    </w:pPr>
    <w:rPr>
      <w:rFonts w:ascii="新細明體" w:hAnsi="新細明體" w:cs="新細明體"/>
      <w:kern w:val="0"/>
    </w:rPr>
  </w:style>
  <w:style w:type="paragraph" w:styleId="Web">
    <w:name w:val="Normal (Web)"/>
    <w:basedOn w:val="a"/>
    <w:rsid w:val="00AF1FDF"/>
    <w:pPr>
      <w:widowControl/>
      <w:spacing w:before="100" w:beforeAutospacing="1" w:after="100" w:afterAutospacing="1"/>
    </w:pPr>
    <w:rPr>
      <w:rFonts w:ascii="新細明體" w:hAnsi="新細明體" w:cs="新細明體"/>
      <w:kern w:val="0"/>
    </w:rPr>
  </w:style>
  <w:style w:type="character" w:styleId="a3">
    <w:name w:val="Strong"/>
    <w:qFormat/>
    <w:rsid w:val="00AF1FDF"/>
    <w:rPr>
      <w:b/>
      <w:bCs/>
    </w:rPr>
  </w:style>
  <w:style w:type="paragraph" w:styleId="a4">
    <w:name w:val="footer"/>
    <w:basedOn w:val="a"/>
    <w:rsid w:val="006F5DE4"/>
    <w:pPr>
      <w:tabs>
        <w:tab w:val="center" w:pos="4153"/>
        <w:tab w:val="right" w:pos="8306"/>
      </w:tabs>
      <w:snapToGrid w:val="0"/>
    </w:pPr>
    <w:rPr>
      <w:sz w:val="20"/>
      <w:szCs w:val="20"/>
    </w:rPr>
  </w:style>
  <w:style w:type="character" w:styleId="a5">
    <w:name w:val="page number"/>
    <w:basedOn w:val="a0"/>
    <w:rsid w:val="006F5DE4"/>
  </w:style>
  <w:style w:type="paragraph" w:styleId="a6">
    <w:name w:val="header"/>
    <w:basedOn w:val="a"/>
    <w:rsid w:val="006F5DE4"/>
    <w:pPr>
      <w:tabs>
        <w:tab w:val="center" w:pos="4153"/>
        <w:tab w:val="right" w:pos="8306"/>
      </w:tabs>
      <w:snapToGrid w:val="0"/>
    </w:pPr>
    <w:rPr>
      <w:sz w:val="20"/>
      <w:szCs w:val="20"/>
    </w:rPr>
  </w:style>
  <w:style w:type="paragraph" w:styleId="HTML">
    <w:name w:val="HTML Preformatted"/>
    <w:basedOn w:val="a"/>
    <w:rsid w:val="00075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paragraph" w:styleId="a7">
    <w:name w:val="Balloon Text"/>
    <w:basedOn w:val="a"/>
    <w:semiHidden/>
    <w:rsid w:val="00C90D4E"/>
    <w:rPr>
      <w:rFonts w:ascii="Arial" w:hAnsi="Arial"/>
      <w:sz w:val="18"/>
      <w:szCs w:val="18"/>
    </w:rPr>
  </w:style>
  <w:style w:type="character" w:styleId="a8">
    <w:name w:val="Hyperlink"/>
    <w:rsid w:val="00D873A9"/>
    <w:rPr>
      <w:color w:val="0000FF"/>
      <w:u w:val="single"/>
    </w:rPr>
  </w:style>
  <w:style w:type="character" w:styleId="a9">
    <w:name w:val="FollowedHyperlink"/>
    <w:rsid w:val="00D873A9"/>
    <w:rPr>
      <w:color w:val="800080"/>
      <w:u w:val="single"/>
    </w:rPr>
  </w:style>
  <w:style w:type="paragraph" w:styleId="aa">
    <w:name w:val="List Paragraph"/>
    <w:basedOn w:val="a"/>
    <w:uiPriority w:val="34"/>
    <w:qFormat/>
    <w:rsid w:val="00874E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134</Words>
  <Characters>768</Characters>
  <Application>Microsoft Office Word</Application>
  <DocSecurity>0</DocSecurity>
  <Lines>6</Lines>
  <Paragraphs>1</Paragraphs>
  <ScaleCrop>false</ScaleCrop>
  <Company>sfb</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陳榆璇yuhsuanchen</dc:creator>
  <cp:lastModifiedBy>陳榆璇yuhsuanchen</cp:lastModifiedBy>
  <cp:revision>6</cp:revision>
  <cp:lastPrinted>2017-04-17T10:17:00Z</cp:lastPrinted>
  <dcterms:created xsi:type="dcterms:W3CDTF">2022-08-16T09:06:00Z</dcterms:created>
  <dcterms:modified xsi:type="dcterms:W3CDTF">2022-09-06T07:32:00Z</dcterms:modified>
</cp:coreProperties>
</file>