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E1EA064" w14:textId="1FBF5597" w:rsidR="001E1CA1" w:rsidRDefault="001E1CA1" w:rsidP="001E1CA1">
      <w:pPr>
        <w:autoSpaceDE w:val="0"/>
        <w:spacing w:line="13.55pt" w:lineRule="exact"/>
        <w:ind w:start="6.90pt" w:end="0.15pt"/>
        <w:jc w:val="center"/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5C6677BE" w14:textId="10CCE6CF" w:rsidR="002C258E" w:rsidRDefault="00A42C77" w:rsidP="001E1CA1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29B58FCC" w14:textId="77777777" w:rsidR="00BA1863" w:rsidRDefault="00BA1863"/>
    <w:p w14:paraId="620C9009" w14:textId="77777777" w:rsidR="001E1CA1" w:rsidRDefault="001E1CA1">
      <w:pPr>
        <w:sectPr w:rsidR="001E1CA1" w:rsidSect="001E1CA1">
          <w:footerReference w:type="default" r:id="rId7"/>
          <w:pgSz w:w="596pt" w:h="842pt"/>
          <w:pgMar w:top="70pt" w:right="72pt" w:bottom="14pt" w:left="83pt" w:header="36pt" w:footer="36pt" w:gutter="0pt"/>
          <w:cols w:space="36pt" w:equalWidth="0">
            <w:col w:w="441pt" w:space="26.9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000000">
      <w:pPr>
        <w:autoSpaceDE w:val="0"/>
        <w:spacing w:before="4.20pt"/>
        <w:ind w:start="6.90pt" w:end="-1pt"/>
      </w:pPr>
      <w:hyperlink r:id="rId9" w:history="1">
        <w:r w:rsidR="002C258E"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60B9F327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bookmarkStart w:id="0" w:name="_Hlk217460064"/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  <w:bookmarkEnd w:id="0"/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3F76AA37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SinoPac Futures Co .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7CD24866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936AC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735D61" w14:textId="7CE3A60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Masterlink Securities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HuaNan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Optiver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First Securities Inc .</w:t>
            </w:r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E.Sun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0A2468">
              <w:rPr>
                <w:rFonts w:ascii="Times New Roman" w:hAnsi="Times New Roman"/>
              </w:rPr>
              <w:t>SinoPac Securities Corp.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5B00E709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Co.,Ltd</w:t>
            </w:r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Morgan stanley taiwan limted.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Citigroup Global Markets Taiwan Securities  Co.,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Oriental Securities Co.,Ltd</w:t>
            </w:r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02B58238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A96CA33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041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44E1CA" w14:textId="1B72487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MasterLink </w:t>
            </w:r>
            <w:r w:rsidR="00633ABF" w:rsidRPr="00633ABF">
              <w:rPr>
                <w:rFonts w:ascii="Times New Roman" w:hAnsi="Times New Roman"/>
              </w:rPr>
              <w:t xml:space="preserve">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30BA2E1D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 Corp.</w:t>
            </w:r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WIN-DOLLAR Security Investment Consultant CO.Ltd.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Hwashin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Invesment Consulting,Co,Ltd.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Harvest Securities Investmant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Richers securities investment consulting co.ltd.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Tarobo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04DBECBC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Securities Investment Trust Co.,Ltd.</w:t>
            </w:r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DD5A37">
              <w:rPr>
                <w:rFonts w:ascii="Times New Roman" w:hAnsi="Times New Roman"/>
              </w:rPr>
              <w:t>SinoPac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>CTBC Investments Co.,Ltd.</w:t>
            </w:r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49DDE56F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7F41CF88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C2948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3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HuaNan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SinoPac Securities Corp.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>Land Bank Of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3764E0D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76660" w14:textId="65AA56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F2541" w14:textId="6C38773D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Master Link Securities Corp.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Primasia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Kuanzho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Fushan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International Securities Co..Ltd.</w:t>
            </w:r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5641E88D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8C8BE4" w14:textId="6E38808D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F5EBB" w14:textId="22C6E881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Taishin Securities Co.,Ltd</w:t>
            </w:r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Securities Co.,Ltd</w:t>
            </w:r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1E9E707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550C2864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Union Bank of Taiwan Co., Ltd.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6276E00" w14:textId="77777777" w:rsidR="00863EF1" w:rsidRDefault="00863EF1">
      <w:r>
        <w:separator/>
      </w:r>
    </w:p>
  </w:endnote>
  <w:endnote w:type="continuationSeparator" w:id="0">
    <w:p w14:paraId="56CC8438" w14:textId="77777777" w:rsidR="00863EF1" w:rsidRDefault="0086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D8BD81" w14:textId="4A6EF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73A7D1" w14:textId="499A40A9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D64D32" w14:textId="33FD0F6B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43A010" w14:textId="04A185CC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C91E3D" w14:textId="0E560404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810F7C" w14:textId="6B960FBF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73B5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D0A2C6" w14:textId="77777777" w:rsidR="00863EF1" w:rsidRDefault="00863EF1">
      <w:r>
        <w:rPr>
          <w:color w:val="000000"/>
        </w:rPr>
        <w:separator/>
      </w:r>
    </w:p>
  </w:footnote>
  <w:footnote w:type="continuationSeparator" w:id="0">
    <w:p w14:paraId="31A104D9" w14:textId="77777777" w:rsidR="00863EF1" w:rsidRDefault="0086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55EE"/>
    <w:rsid w:val="00062FAC"/>
    <w:rsid w:val="0006342E"/>
    <w:rsid w:val="00063B97"/>
    <w:rsid w:val="0008209C"/>
    <w:rsid w:val="000A2468"/>
    <w:rsid w:val="000F2863"/>
    <w:rsid w:val="001204B8"/>
    <w:rsid w:val="00127F36"/>
    <w:rsid w:val="001325C9"/>
    <w:rsid w:val="001566B0"/>
    <w:rsid w:val="0016509C"/>
    <w:rsid w:val="00182500"/>
    <w:rsid w:val="00184229"/>
    <w:rsid w:val="00186EF7"/>
    <w:rsid w:val="001973B5"/>
    <w:rsid w:val="001A6E61"/>
    <w:rsid w:val="001C3256"/>
    <w:rsid w:val="001D4991"/>
    <w:rsid w:val="001E1CA1"/>
    <w:rsid w:val="002239EA"/>
    <w:rsid w:val="0023543C"/>
    <w:rsid w:val="002B4D26"/>
    <w:rsid w:val="002B5861"/>
    <w:rsid w:val="002C258E"/>
    <w:rsid w:val="002D1136"/>
    <w:rsid w:val="002E1FD3"/>
    <w:rsid w:val="00302044"/>
    <w:rsid w:val="00323B90"/>
    <w:rsid w:val="003371CF"/>
    <w:rsid w:val="00375181"/>
    <w:rsid w:val="003900C5"/>
    <w:rsid w:val="003C56DF"/>
    <w:rsid w:val="003E2A2E"/>
    <w:rsid w:val="003F70E9"/>
    <w:rsid w:val="004107E0"/>
    <w:rsid w:val="00415373"/>
    <w:rsid w:val="004305A3"/>
    <w:rsid w:val="004466DB"/>
    <w:rsid w:val="00447923"/>
    <w:rsid w:val="00452C9D"/>
    <w:rsid w:val="00473508"/>
    <w:rsid w:val="0048534D"/>
    <w:rsid w:val="004A45A0"/>
    <w:rsid w:val="004C621D"/>
    <w:rsid w:val="00541157"/>
    <w:rsid w:val="00544315"/>
    <w:rsid w:val="00567F51"/>
    <w:rsid w:val="005705AD"/>
    <w:rsid w:val="0057685E"/>
    <w:rsid w:val="0058656D"/>
    <w:rsid w:val="005D020E"/>
    <w:rsid w:val="00630BB1"/>
    <w:rsid w:val="00633ABF"/>
    <w:rsid w:val="006B2291"/>
    <w:rsid w:val="006C1396"/>
    <w:rsid w:val="006E6344"/>
    <w:rsid w:val="00753D5A"/>
    <w:rsid w:val="00757708"/>
    <w:rsid w:val="00766CF7"/>
    <w:rsid w:val="00773504"/>
    <w:rsid w:val="00776B94"/>
    <w:rsid w:val="007D79AB"/>
    <w:rsid w:val="007E7AFA"/>
    <w:rsid w:val="007F3C35"/>
    <w:rsid w:val="00813A64"/>
    <w:rsid w:val="00837954"/>
    <w:rsid w:val="00862DF8"/>
    <w:rsid w:val="00863EF1"/>
    <w:rsid w:val="008B18D3"/>
    <w:rsid w:val="008B7457"/>
    <w:rsid w:val="008C3A01"/>
    <w:rsid w:val="008C60B9"/>
    <w:rsid w:val="008D2F80"/>
    <w:rsid w:val="008E7527"/>
    <w:rsid w:val="00906F3F"/>
    <w:rsid w:val="00953300"/>
    <w:rsid w:val="00991D1F"/>
    <w:rsid w:val="009A7EAE"/>
    <w:rsid w:val="00A06521"/>
    <w:rsid w:val="00A10688"/>
    <w:rsid w:val="00A23B1A"/>
    <w:rsid w:val="00A42C77"/>
    <w:rsid w:val="00A51BA4"/>
    <w:rsid w:val="00A5561B"/>
    <w:rsid w:val="00A75FCD"/>
    <w:rsid w:val="00A77564"/>
    <w:rsid w:val="00A97E91"/>
    <w:rsid w:val="00AA1F67"/>
    <w:rsid w:val="00AB0DFA"/>
    <w:rsid w:val="00AC304C"/>
    <w:rsid w:val="00AC6D3B"/>
    <w:rsid w:val="00AD6453"/>
    <w:rsid w:val="00B10519"/>
    <w:rsid w:val="00B143FE"/>
    <w:rsid w:val="00B344CC"/>
    <w:rsid w:val="00B464DF"/>
    <w:rsid w:val="00B73D3B"/>
    <w:rsid w:val="00BA1863"/>
    <w:rsid w:val="00BB2D77"/>
    <w:rsid w:val="00BB77CF"/>
    <w:rsid w:val="00BD4769"/>
    <w:rsid w:val="00BF2B7B"/>
    <w:rsid w:val="00C07DB3"/>
    <w:rsid w:val="00C2285E"/>
    <w:rsid w:val="00C326A8"/>
    <w:rsid w:val="00C765E7"/>
    <w:rsid w:val="00C77D91"/>
    <w:rsid w:val="00C8357F"/>
    <w:rsid w:val="00CD5560"/>
    <w:rsid w:val="00CF08FC"/>
    <w:rsid w:val="00D15D9A"/>
    <w:rsid w:val="00D83C2A"/>
    <w:rsid w:val="00D915D5"/>
    <w:rsid w:val="00DC2948"/>
    <w:rsid w:val="00DC6A87"/>
    <w:rsid w:val="00DD5A37"/>
    <w:rsid w:val="00DD7928"/>
    <w:rsid w:val="00DE576A"/>
    <w:rsid w:val="00E31984"/>
    <w:rsid w:val="00E34455"/>
    <w:rsid w:val="00E644A2"/>
    <w:rsid w:val="00E77E7B"/>
    <w:rsid w:val="00E85833"/>
    <w:rsid w:val="00E91635"/>
    <w:rsid w:val="00E96C13"/>
    <w:rsid w:val="00EB0E94"/>
    <w:rsid w:val="00EB34C1"/>
    <w:rsid w:val="00EB36E2"/>
    <w:rsid w:val="00ED2B1A"/>
    <w:rsid w:val="00F045F7"/>
    <w:rsid w:val="00F04D04"/>
    <w:rsid w:val="00F26DDF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8C3E57-EEB7-4090-A721-0711DAC64F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6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許美玲</cp:lastModifiedBy>
  <cp:revision>3</cp:revision>
  <cp:lastPrinted>2024-10-01T02:24:00Z</cp:lastPrinted>
  <dcterms:created xsi:type="dcterms:W3CDTF">2026-02-25T06:49:00Z</dcterms:created>
  <dcterms:modified xsi:type="dcterms:W3CDTF">2026-02-25T06:49:00Z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